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p>
      <w:pPr>
        <w:spacing w:line="620" w:lineRule="exact" w:before="0"/>
        <w:ind w:left="346" w:right="1323" w:firstLine="0"/>
        <w:jc w:val="center"/>
        <w:rPr>
          <w:rFonts w:ascii="楷体" w:hAnsi="楷体" w:cs="楷体" w:eastAsia="楷体" w:hint="default"/>
          <w:sz w:val="52"/>
          <w:szCs w:val="52"/>
        </w:rPr>
      </w:pPr>
      <w:r>
        <w:rPr/>
        <w:pict>
          <v:group style="position:absolute;margin-left:55.200001pt;margin-top:-99.693123pt;width:484.95pt;height:.1pt;mso-position-horizontal-relative:page;mso-position-vertical-relative:paragraph;z-index:0" coordorigin="1104,-1994" coordsize="9699,2">
            <v:shape style="position:absolute;left:1104;top:-1994;width:9699;height:2" coordorigin="1104,-1994" coordsize="9699,0" path="m1104,-1994l10802,-1994e" filled="false" stroked="true" strokeweight=".71997pt" strokecolor="#000000">
              <v:path arrowok="t"/>
            </v:shape>
            <w10:wrap type="none"/>
          </v:group>
        </w:pict>
      </w:r>
      <w:r>
        <w:rPr>
          <w:rFonts w:ascii="楷体" w:hAnsi="楷体" w:cs="楷体" w:eastAsia="楷体" w:hint="default"/>
          <w:b/>
          <w:bCs/>
          <w:sz w:val="52"/>
          <w:szCs w:val="52"/>
        </w:rPr>
        <w:t>新开普电子股份有限公司</w:t>
      </w:r>
      <w:r>
        <w:rPr>
          <w:rFonts w:ascii="楷体" w:hAnsi="楷体" w:cs="楷体" w:eastAsia="楷体" w:hint="default"/>
          <w:sz w:val="52"/>
          <w:szCs w:val="52"/>
        </w:rPr>
      </w:r>
    </w:p>
    <w:p>
      <w:pPr>
        <w:spacing w:line="240" w:lineRule="auto" w:before="6"/>
        <w:rPr>
          <w:rFonts w:ascii="楷体" w:hAnsi="楷体" w:cs="楷体" w:eastAsia="楷体" w:hint="default"/>
          <w:b/>
          <w:bCs/>
          <w:sz w:val="36"/>
          <w:szCs w:val="36"/>
        </w:rPr>
      </w:pPr>
    </w:p>
    <w:p>
      <w:pPr>
        <w:spacing w:before="0"/>
        <w:ind w:left="346" w:right="1321" w:firstLine="0"/>
        <w:jc w:val="center"/>
        <w:rPr>
          <w:rFonts w:ascii="Times New Roman" w:hAnsi="Times New Roman" w:cs="Times New Roman" w:eastAsia="Times New Roman" w:hint="default"/>
          <w:sz w:val="30"/>
          <w:szCs w:val="30"/>
        </w:rPr>
      </w:pPr>
      <w:r>
        <w:rPr>
          <w:rFonts w:ascii="Times New Roman"/>
          <w:sz w:val="30"/>
        </w:rPr>
        <w:t>Newcapec Electronics Co.,</w:t>
      </w:r>
      <w:r>
        <w:rPr>
          <w:rFonts w:ascii="Times New Roman"/>
          <w:spacing w:val="-10"/>
          <w:sz w:val="30"/>
        </w:rPr>
        <w:t> </w:t>
      </w:r>
      <w:r>
        <w:rPr>
          <w:rFonts w:ascii="Times New Roman"/>
          <w:sz w:val="30"/>
        </w:rPr>
        <w:t>Ltd.</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5"/>
          <w:szCs w:val="25"/>
        </w:rPr>
      </w:pPr>
    </w:p>
    <w:p>
      <w:pPr>
        <w:spacing w:line="1874" w:lineRule="exact"/>
        <w:ind w:left="362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drawing>
          <wp:inline distT="0" distB="0" distL="0" distR="0">
            <wp:extent cx="1727635" cy="1190148"/>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727635" cy="1190148"/>
                    </a:xfrm>
                    <a:prstGeom prst="rect">
                      <a:avLst/>
                    </a:prstGeom>
                  </pic:spPr>
                </pic:pic>
              </a:graphicData>
            </a:graphic>
          </wp:inline>
        </w:drawing>
      </w:r>
      <w:r>
        <w:rPr>
          <w:rFonts w:ascii="Times New Roman" w:hAnsi="Times New Roman" w:cs="Times New Roman" w:eastAsia="Times New Roman" w:hint="default"/>
          <w:position w:val="-36"/>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62"/>
        <w:ind w:left="346" w:right="1322" w:firstLine="0"/>
        <w:jc w:val="center"/>
        <w:rPr>
          <w:rFonts w:ascii="楷体" w:hAnsi="楷体" w:cs="楷体" w:eastAsia="楷体" w:hint="default"/>
          <w:sz w:val="52"/>
          <w:szCs w:val="52"/>
        </w:rPr>
      </w:pPr>
      <w:r>
        <w:rPr>
          <w:rFonts w:ascii="Times New Roman" w:hAnsi="Times New Roman" w:cs="Times New Roman" w:eastAsia="Times New Roman" w:hint="default"/>
          <w:b/>
          <w:bCs/>
          <w:sz w:val="52"/>
          <w:szCs w:val="52"/>
        </w:rPr>
        <w:t>2019</w:t>
      </w:r>
      <w:r>
        <w:rPr>
          <w:rFonts w:ascii="Times New Roman" w:hAnsi="Times New Roman" w:cs="Times New Roman" w:eastAsia="Times New Roman" w:hint="default"/>
          <w:b/>
          <w:bCs/>
          <w:spacing w:val="-3"/>
          <w:sz w:val="52"/>
          <w:szCs w:val="52"/>
        </w:rPr>
        <w:t> </w:t>
      </w:r>
      <w:r>
        <w:rPr>
          <w:rFonts w:ascii="楷体" w:hAnsi="楷体" w:cs="楷体" w:eastAsia="楷体" w:hint="default"/>
          <w:b/>
          <w:bCs/>
          <w:sz w:val="52"/>
          <w:szCs w:val="52"/>
        </w:rPr>
        <w:t>年年度报告</w:t>
      </w:r>
      <w:r>
        <w:rPr>
          <w:rFonts w:ascii="楷体" w:hAnsi="楷体" w:cs="楷体" w:eastAsia="楷体" w:hint="default"/>
          <w:sz w:val="52"/>
          <w:szCs w:val="52"/>
        </w:rPr>
      </w:r>
    </w:p>
    <w:p>
      <w:pPr>
        <w:spacing w:line="240" w:lineRule="auto" w:before="2"/>
        <w:rPr>
          <w:rFonts w:ascii="楷体" w:hAnsi="楷体" w:cs="楷体" w:eastAsia="楷体" w:hint="default"/>
          <w:b/>
          <w:bCs/>
          <w:sz w:val="58"/>
          <w:szCs w:val="58"/>
        </w:rPr>
      </w:pPr>
    </w:p>
    <w:p>
      <w:pPr>
        <w:spacing w:line="367" w:lineRule="auto" w:before="0"/>
        <w:ind w:left="2981" w:right="3958" w:firstLine="0"/>
        <w:jc w:val="center"/>
        <w:rPr>
          <w:rFonts w:ascii="楷体" w:hAnsi="楷体" w:cs="楷体" w:eastAsia="楷体" w:hint="default"/>
          <w:sz w:val="36"/>
          <w:szCs w:val="36"/>
        </w:rPr>
      </w:pPr>
      <w:r>
        <w:rPr>
          <w:rFonts w:ascii="楷体" w:hAnsi="楷体" w:cs="楷体" w:eastAsia="楷体" w:hint="default"/>
          <w:b/>
          <w:bCs/>
          <w:sz w:val="36"/>
          <w:szCs w:val="36"/>
        </w:rPr>
        <w:t>股票代码：</w:t>
      </w:r>
      <w:r>
        <w:rPr>
          <w:rFonts w:ascii="Times New Roman" w:hAnsi="Times New Roman" w:cs="Times New Roman" w:eastAsia="Times New Roman" w:hint="default"/>
          <w:b/>
          <w:bCs/>
          <w:sz w:val="36"/>
          <w:szCs w:val="36"/>
        </w:rPr>
        <w:t>300248 </w:t>
      </w:r>
      <w:r>
        <w:rPr>
          <w:rFonts w:ascii="楷体" w:hAnsi="楷体" w:cs="楷体" w:eastAsia="楷体" w:hint="default"/>
          <w:b/>
          <w:bCs/>
          <w:sz w:val="36"/>
          <w:szCs w:val="36"/>
        </w:rPr>
        <w:t>股票简称：新开普</w:t>
      </w:r>
      <w:r>
        <w:rPr>
          <w:rFonts w:ascii="楷体" w:hAnsi="楷体" w:cs="楷体" w:eastAsia="楷体" w:hint="default"/>
          <w:b/>
          <w:bCs/>
          <w:spacing w:val="1"/>
          <w:w w:val="99"/>
          <w:sz w:val="36"/>
          <w:szCs w:val="36"/>
        </w:rPr>
        <w:t> </w:t>
      </w:r>
      <w:r>
        <w:rPr>
          <w:rFonts w:ascii="楷体" w:hAnsi="楷体" w:cs="楷体" w:eastAsia="楷体" w:hint="default"/>
          <w:b/>
          <w:bCs/>
          <w:w w:val="95"/>
          <w:sz w:val="36"/>
          <w:szCs w:val="36"/>
        </w:rPr>
        <w:t>披露日期：</w:t>
      </w:r>
      <w:r>
        <w:rPr>
          <w:rFonts w:ascii="Times New Roman" w:hAnsi="Times New Roman" w:cs="Times New Roman" w:eastAsia="Times New Roman" w:hint="default"/>
          <w:b/>
          <w:bCs/>
          <w:w w:val="95"/>
          <w:sz w:val="36"/>
          <w:szCs w:val="36"/>
        </w:rPr>
        <w:t>2020</w:t>
      </w:r>
      <w:r>
        <w:rPr>
          <w:rFonts w:ascii="楷体" w:hAnsi="楷体" w:cs="楷体" w:eastAsia="楷体" w:hint="default"/>
          <w:b/>
          <w:bCs/>
          <w:w w:val="95"/>
          <w:sz w:val="36"/>
          <w:szCs w:val="36"/>
        </w:rPr>
        <w:t>年</w:t>
      </w:r>
      <w:r>
        <w:rPr>
          <w:rFonts w:ascii="Times New Roman" w:hAnsi="Times New Roman" w:cs="Times New Roman" w:eastAsia="Times New Roman" w:hint="default"/>
          <w:b/>
          <w:bCs/>
          <w:w w:val="95"/>
          <w:sz w:val="36"/>
          <w:szCs w:val="36"/>
        </w:rPr>
        <w:t>4</w:t>
      </w:r>
      <w:r>
        <w:rPr>
          <w:rFonts w:ascii="楷体" w:hAnsi="楷体" w:cs="楷体" w:eastAsia="楷体" w:hint="default"/>
          <w:b/>
          <w:bCs/>
          <w:w w:val="95"/>
          <w:sz w:val="36"/>
          <w:szCs w:val="36"/>
        </w:rPr>
        <w:t>月</w:t>
      </w:r>
      <w:r>
        <w:rPr>
          <w:rFonts w:ascii="Times New Roman" w:hAnsi="Times New Roman" w:cs="Times New Roman" w:eastAsia="Times New Roman" w:hint="default"/>
          <w:b/>
          <w:bCs/>
          <w:w w:val="95"/>
          <w:sz w:val="36"/>
          <w:szCs w:val="36"/>
        </w:rPr>
        <w:t>16</w:t>
      </w:r>
      <w:r>
        <w:rPr>
          <w:rFonts w:ascii="楷体" w:hAnsi="楷体" w:cs="楷体" w:eastAsia="楷体" w:hint="default"/>
          <w:b/>
          <w:bCs/>
          <w:w w:val="95"/>
          <w:sz w:val="36"/>
          <w:szCs w:val="36"/>
        </w:rPr>
        <w:t>日</w:t>
      </w:r>
      <w:r>
        <w:rPr>
          <w:rFonts w:ascii="楷体" w:hAnsi="楷体" w:cs="楷体" w:eastAsia="楷体" w:hint="default"/>
          <w:sz w:val="36"/>
          <w:szCs w:val="36"/>
        </w:rPr>
      </w:r>
    </w:p>
    <w:p>
      <w:pPr>
        <w:spacing w:after="0" w:line="367" w:lineRule="auto"/>
        <w:jc w:val="center"/>
        <w:rPr>
          <w:rFonts w:ascii="楷体" w:hAnsi="楷体" w:cs="楷体" w:eastAsia="楷体" w:hint="default"/>
          <w:sz w:val="36"/>
          <w:szCs w:val="36"/>
        </w:rPr>
        <w:sectPr>
          <w:headerReference w:type="default" r:id="rId5"/>
          <w:footerReference w:type="default" r:id="rId6"/>
          <w:type w:val="continuous"/>
          <w:pgSz w:w="11910" w:h="16840"/>
          <w:pgMar w:header="747" w:footer="982" w:top="1060" w:bottom="1180" w:left="980" w:right="0"/>
        </w:sectPr>
      </w:pPr>
    </w:p>
    <w:p>
      <w:pPr>
        <w:spacing w:line="240" w:lineRule="auto" w:before="12"/>
        <w:rPr>
          <w:rFonts w:ascii="楷体" w:hAnsi="楷体" w:cs="楷体" w:eastAsia="楷体" w:hint="default"/>
          <w:b/>
          <w:bCs/>
          <w:sz w:val="2"/>
          <w:szCs w:val="2"/>
        </w:rPr>
      </w:pPr>
    </w:p>
    <w:p>
      <w:pPr>
        <w:spacing w:line="20" w:lineRule="exact"/>
        <w:ind w:left="116" w:right="0" w:firstLine="0"/>
        <w:rPr>
          <w:rFonts w:ascii="楷体" w:hAnsi="楷体" w:cs="楷体" w:eastAsia="楷体" w:hint="default"/>
          <w:sz w:val="2"/>
          <w:szCs w:val="2"/>
        </w:rPr>
      </w:pPr>
      <w:r>
        <w:rPr>
          <w:rFonts w:ascii="楷体" w:hAnsi="楷体" w:cs="楷体" w:eastAsia="楷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楷体" w:hAnsi="楷体" w:cs="楷体" w:eastAsia="楷体" w:hint="default"/>
          <w:sz w:val="2"/>
          <w:szCs w:val="2"/>
        </w:rPr>
      </w:r>
    </w:p>
    <w:p>
      <w:pPr>
        <w:spacing w:line="240" w:lineRule="auto" w:before="0"/>
        <w:rPr>
          <w:rFonts w:ascii="楷体" w:hAnsi="楷体" w:cs="楷体" w:eastAsia="楷体" w:hint="default"/>
          <w:b/>
          <w:bCs/>
          <w:sz w:val="20"/>
          <w:szCs w:val="20"/>
        </w:rPr>
      </w:pPr>
    </w:p>
    <w:p>
      <w:pPr>
        <w:spacing w:line="240" w:lineRule="auto" w:before="0"/>
        <w:rPr>
          <w:rFonts w:ascii="楷体" w:hAnsi="楷体" w:cs="楷体" w:eastAsia="楷体" w:hint="default"/>
          <w:b/>
          <w:bCs/>
          <w:sz w:val="20"/>
          <w:szCs w:val="20"/>
        </w:rPr>
      </w:pPr>
    </w:p>
    <w:p>
      <w:pPr>
        <w:spacing w:line="240" w:lineRule="auto" w:before="11"/>
        <w:rPr>
          <w:rFonts w:ascii="楷体" w:hAnsi="楷体" w:cs="楷体" w:eastAsia="楷体" w:hint="default"/>
          <w:b/>
          <w:bCs/>
          <w:sz w:val="18"/>
          <w:szCs w:val="18"/>
        </w:rPr>
      </w:pPr>
    </w:p>
    <w:p>
      <w:pPr>
        <w:pStyle w:val="Heading1"/>
        <w:spacing w:line="240" w:lineRule="auto"/>
        <w:ind w:left="2885" w:right="1113"/>
        <w:jc w:val="left"/>
        <w:rPr>
          <w:b w:val="0"/>
          <w:bCs w:val="0"/>
        </w:rPr>
      </w:pPr>
      <w:bookmarkStart w:name="_TOC_250012" w:id="1"/>
      <w:r>
        <w:rPr/>
        <w:t>第一节重要提示、目录和释义</w:t>
      </w:r>
      <w:bookmarkEnd w:id="1"/>
      <w:r>
        <w:rPr>
          <w:b w:val="0"/>
          <w:bCs w:val="0"/>
        </w:rPr>
      </w:r>
    </w:p>
    <w:p>
      <w:pPr>
        <w:spacing w:line="240" w:lineRule="auto" w:before="10"/>
        <w:rPr>
          <w:rFonts w:ascii="宋体" w:hAnsi="宋体" w:cs="宋体" w:eastAsia="宋体" w:hint="default"/>
          <w:b/>
          <w:bCs/>
          <w:sz w:val="44"/>
          <w:szCs w:val="44"/>
        </w:rPr>
      </w:pPr>
    </w:p>
    <w:p>
      <w:pPr>
        <w:pStyle w:val="Heading2"/>
        <w:spacing w:line="357" w:lineRule="auto"/>
        <w:ind w:left="153" w:right="1113" w:firstLine="482"/>
        <w:jc w:val="left"/>
        <w:rPr>
          <w:b w:val="0"/>
          <w:bCs w:val="0"/>
        </w:rPr>
      </w:pPr>
      <w:r>
        <w:rPr/>
        <w:t>公司董事会、监事会及董事、监事、高级管理人员保证年度报告内容的真实、准确、完</w:t>
      </w:r>
      <w:r>
        <w:rPr>
          <w:spacing w:val="1"/>
          <w:w w:val="99"/>
        </w:rPr>
        <w:t> </w:t>
      </w:r>
      <w:r>
        <w:rPr/>
        <w:t>整，不存在虚假记载、误导性陈述或重大遗漏，并承担个别和连带的法律责任。</w:t>
      </w:r>
      <w:r>
        <w:rPr>
          <w:b w:val="0"/>
          <w:bCs w:val="0"/>
        </w:rPr>
      </w:r>
    </w:p>
    <w:p>
      <w:pPr>
        <w:pStyle w:val="Heading2"/>
        <w:spacing w:line="357" w:lineRule="auto" w:before="36"/>
        <w:ind w:left="153" w:right="1113" w:firstLine="482"/>
        <w:jc w:val="left"/>
        <w:rPr>
          <w:b w:val="0"/>
          <w:bCs w:val="0"/>
        </w:rPr>
      </w:pPr>
      <w:r>
        <w:rPr/>
        <w:t>公司负责人杨维国、主管会计工作负责人李玉玲及会计机构负责人（会计主管人员）张</w:t>
      </w:r>
      <w:r>
        <w:rPr>
          <w:spacing w:val="1"/>
          <w:w w:val="99"/>
        </w:rPr>
        <w:t> </w:t>
      </w:r>
      <w:r>
        <w:rPr/>
        <w:t>翀声明：保证年度报告中财务报告的真实、准确、完整。</w:t>
      </w:r>
      <w:r>
        <w:rPr>
          <w:b w:val="0"/>
          <w:bCs w:val="0"/>
        </w:rPr>
      </w:r>
    </w:p>
    <w:p>
      <w:pPr>
        <w:pStyle w:val="Heading2"/>
        <w:spacing w:line="357" w:lineRule="auto" w:before="36"/>
        <w:ind w:left="636" w:right="1112"/>
        <w:jc w:val="left"/>
        <w:rPr>
          <w:b w:val="0"/>
          <w:bCs w:val="0"/>
        </w:rPr>
      </w:pPr>
      <w:r>
        <w:rPr/>
        <w:t>所有董事均已出席了审议本报告的董事会会议。</w:t>
      </w:r>
      <w:r>
        <w:rPr>
          <w:w w:val="99"/>
        </w:rPr>
        <w:t> </w:t>
      </w:r>
      <w:r>
        <w:rPr/>
        <w:t>本报告中如有涉及未来的计划、业绩预测等方面的内容，均不构成本公司对任何投资者</w:t>
      </w:r>
      <w:r>
        <w:rPr>
          <w:b w:val="0"/>
          <w:bCs w:val="0"/>
        </w:rPr>
      </w:r>
    </w:p>
    <w:p>
      <w:pPr>
        <w:pStyle w:val="Heading2"/>
        <w:spacing w:line="357" w:lineRule="auto" w:before="36"/>
        <w:ind w:left="153" w:right="1128"/>
        <w:jc w:val="both"/>
        <w:rPr>
          <w:b w:val="0"/>
          <w:bCs w:val="0"/>
        </w:rPr>
      </w:pPr>
      <w:r>
        <w:rPr/>
        <w:t>及相关人士的实质承诺，投资者及相关人士均应对此保持足够的风险认识，并且应当理解计</w:t>
      </w:r>
      <w:r>
        <w:rPr>
          <w:spacing w:val="1"/>
          <w:w w:val="99"/>
        </w:rPr>
        <w:t> </w:t>
      </w:r>
      <w:r>
        <w:rPr/>
        <w:t>划、预测与承诺之间的差异。</w:t>
      </w:r>
      <w:r>
        <w:rPr>
          <w:b w:val="0"/>
          <w:bCs w:val="0"/>
        </w:rPr>
      </w:r>
    </w:p>
    <w:p>
      <w:pPr>
        <w:spacing w:line="338" w:lineRule="auto" w:before="36"/>
        <w:ind w:left="633" w:right="1113"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、生产经营季节性波动风险 学校是公司的主要下游客户，存在比较明显的季节性特征：一般而言，学校在寒假过后</w:t>
      </w:r>
    </w:p>
    <w:p>
      <w:pPr>
        <w:spacing w:line="348" w:lineRule="auto" w:before="55"/>
        <w:ind w:left="153" w:right="1128" w:firstLine="0"/>
        <w:jc w:val="both"/>
        <w:rPr>
          <w:rFonts w:ascii="宋体" w:hAnsi="宋体" w:cs="宋体" w:eastAsia="宋体" w:hint="default"/>
          <w:sz w:val="24"/>
          <w:szCs w:val="24"/>
        </w:rPr>
      </w:pPr>
      <w:r>
        <w:rPr>
          <w:rFonts w:ascii="宋体" w:hAnsi="宋体" w:cs="宋体" w:eastAsia="宋体" w:hint="default"/>
          <w:sz w:val="24"/>
          <w:szCs w:val="24"/>
        </w:rPr>
        <w:t>的</w:t>
      </w:r>
      <w:r>
        <w:rPr>
          <w:rFonts w:ascii="宋体" w:hAnsi="宋体" w:cs="宋体" w:eastAsia="宋体" w:hint="default"/>
          <w:spacing w:val="-80"/>
          <w:sz w:val="24"/>
          <w:szCs w:val="24"/>
        </w:rPr>
        <w:t> </w:t>
      </w:r>
      <w:r>
        <w:rPr>
          <w:rFonts w:ascii="Times New Roman" w:hAnsi="Times New Roman" w:cs="Times New Roman" w:eastAsia="Times New Roman" w:hint="default"/>
          <w:sz w:val="24"/>
          <w:szCs w:val="24"/>
        </w:rPr>
        <w:t>3-4</w:t>
      </w:r>
      <w:r>
        <w:rPr>
          <w:rFonts w:ascii="Times New Roman" w:hAnsi="Times New Roman" w:cs="Times New Roman" w:eastAsia="Times New Roman" w:hint="default"/>
          <w:spacing w:val="-20"/>
          <w:sz w:val="24"/>
          <w:szCs w:val="24"/>
        </w:rPr>
        <w:t> </w:t>
      </w:r>
      <w:r>
        <w:rPr>
          <w:rFonts w:ascii="宋体" w:hAnsi="宋体" w:cs="宋体" w:eastAsia="宋体" w:hint="default"/>
          <w:sz w:val="24"/>
          <w:szCs w:val="24"/>
        </w:rPr>
        <w:t>月启动信息化项目建设计划；</w:t>
      </w:r>
      <w:r>
        <w:rPr>
          <w:rFonts w:ascii="Times New Roman" w:hAnsi="Times New Roman" w:cs="Times New Roman" w:eastAsia="Times New Roman" w:hint="default"/>
          <w:sz w:val="24"/>
          <w:szCs w:val="24"/>
        </w:rPr>
        <w:t>5-7</w:t>
      </w:r>
      <w:r>
        <w:rPr>
          <w:rFonts w:ascii="Times New Roman" w:hAnsi="Times New Roman" w:cs="Times New Roman" w:eastAsia="Times New Roman" w:hint="default"/>
          <w:spacing w:val="-20"/>
          <w:sz w:val="24"/>
          <w:szCs w:val="24"/>
        </w:rPr>
        <w:t> </w:t>
      </w:r>
      <w:r>
        <w:rPr>
          <w:rFonts w:ascii="宋体" w:hAnsi="宋体" w:cs="宋体" w:eastAsia="宋体" w:hint="default"/>
          <w:sz w:val="24"/>
          <w:szCs w:val="24"/>
        </w:rPr>
        <w:t>月通过项目招标等方式确定供应商；暑期开始大规模 </w:t>
      </w:r>
      <w:r>
        <w:rPr>
          <w:rFonts w:ascii="宋体" w:hAnsi="宋体" w:cs="宋体" w:eastAsia="宋体" w:hint="default"/>
          <w:spacing w:val="-3"/>
          <w:sz w:val="24"/>
          <w:szCs w:val="24"/>
        </w:rPr>
        <w:t>施工以确保开学时基本功能投入使用，</w:t>
      </w:r>
      <w:r>
        <w:rPr>
          <w:rFonts w:ascii="Times New Roman" w:hAnsi="Times New Roman" w:cs="Times New Roman" w:eastAsia="Times New Roman" w:hint="default"/>
          <w:spacing w:val="-3"/>
          <w:sz w:val="24"/>
          <w:szCs w:val="24"/>
        </w:rPr>
        <w:t>7-9 </w:t>
      </w:r>
      <w:r>
        <w:rPr>
          <w:rFonts w:ascii="宋体" w:hAnsi="宋体" w:cs="宋体" w:eastAsia="宋体" w:hint="default"/>
          <w:spacing w:val="-4"/>
          <w:sz w:val="24"/>
          <w:szCs w:val="24"/>
        </w:rPr>
        <w:t>月为校园信息化系统建设高峰期，并随项目实施进</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pacing w:val="-4"/>
          <w:sz w:val="24"/>
          <w:szCs w:val="24"/>
        </w:rPr>
        <w:t>度逐步验收，</w:t>
      </w:r>
      <w:r>
        <w:rPr>
          <w:rFonts w:ascii="Times New Roman" w:hAnsi="Times New Roman" w:cs="Times New Roman" w:eastAsia="Times New Roman" w:hint="default"/>
          <w:spacing w:val="-4"/>
          <w:sz w:val="24"/>
          <w:szCs w:val="24"/>
        </w:rPr>
        <w:t>10-12 </w:t>
      </w:r>
      <w:r>
        <w:rPr>
          <w:rFonts w:ascii="宋体" w:hAnsi="宋体" w:cs="宋体" w:eastAsia="宋体" w:hint="default"/>
          <w:spacing w:val="-4"/>
          <w:sz w:val="24"/>
          <w:szCs w:val="24"/>
        </w:rPr>
        <w:t>月进入项目验收的高峰期。但是，由于校园信息化项目的实施至验收涉及</w:t>
      </w:r>
      <w:r>
        <w:rPr>
          <w:rFonts w:ascii="宋体" w:hAnsi="宋体" w:cs="宋体" w:eastAsia="宋体" w:hint="default"/>
          <w:spacing w:val="-76"/>
          <w:sz w:val="24"/>
          <w:szCs w:val="24"/>
        </w:rPr>
        <w:t> </w:t>
      </w:r>
      <w:r>
        <w:rPr>
          <w:rFonts w:ascii="宋体" w:hAnsi="宋体" w:cs="宋体" w:eastAsia="宋体" w:hint="default"/>
          <w:spacing w:val="-76"/>
          <w:sz w:val="24"/>
          <w:szCs w:val="24"/>
        </w:rPr>
      </w:r>
      <w:r>
        <w:rPr>
          <w:rFonts w:ascii="宋体" w:hAnsi="宋体" w:cs="宋体" w:eastAsia="宋体" w:hint="default"/>
          <w:spacing w:val="-1"/>
          <w:sz w:val="24"/>
          <w:szCs w:val="24"/>
        </w:rPr>
        <w:t>运营商</w:t>
      </w:r>
      <w:r>
        <w:rPr>
          <w:rFonts w:ascii="Times New Roman" w:hAnsi="Times New Roman" w:cs="Times New Roman" w:eastAsia="Times New Roman" w:hint="default"/>
          <w:spacing w:val="-1"/>
          <w:sz w:val="24"/>
          <w:szCs w:val="24"/>
        </w:rPr>
        <w:t>/</w:t>
      </w:r>
      <w:r>
        <w:rPr>
          <w:rFonts w:ascii="宋体" w:hAnsi="宋体" w:cs="宋体" w:eastAsia="宋体" w:hint="default"/>
          <w:spacing w:val="-1"/>
          <w:sz w:val="24"/>
          <w:szCs w:val="24"/>
        </w:rPr>
        <w:t>银行和学校的多个部门，各个部门的配合程度、决策流程各不相同，对部分校园信息</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化项目而言，学校为保证系统的稳定性和可靠性会要求较长试运行期，在项目实施和试运行</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期间也会临时要求增加或改动功能，从而导致部分项目的验收期延长。受上述季节性因素影</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响，公司在第三季度进入发货高峰期，随发货后安装调试及验收开始确认收入，在第四季度</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进入确认收入及收取货款高峰期，上述季节性特征使得公司的采购、生产、发货、安装验收</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和收付款在年度内各期间存在较大的不均衡性，对公司生产经营管理的有效组织和资源的利</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用效率提出了较大挑战。</w:t>
      </w:r>
    </w:p>
    <w:p>
      <w:pPr>
        <w:spacing w:line="338" w:lineRule="auto" w:before="46"/>
        <w:ind w:left="633" w:right="1113"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、应收账款较高的风险 公司前期主要业务为一卡通项目建设，项目集成度高、建设周期较长，项目投入使用后</w:t>
      </w:r>
    </w:p>
    <w:p>
      <w:pPr>
        <w:spacing w:line="357" w:lineRule="auto" w:before="55"/>
        <w:ind w:left="153" w:right="1128" w:firstLine="0"/>
        <w:jc w:val="both"/>
        <w:rPr>
          <w:rFonts w:ascii="宋体" w:hAnsi="宋体" w:cs="宋体" w:eastAsia="宋体" w:hint="default"/>
          <w:sz w:val="24"/>
          <w:szCs w:val="24"/>
        </w:rPr>
      </w:pPr>
      <w:r>
        <w:rPr>
          <w:rFonts w:ascii="宋体" w:hAnsi="宋体" w:cs="宋体" w:eastAsia="宋体" w:hint="default"/>
          <w:sz w:val="24"/>
          <w:szCs w:val="24"/>
        </w:rPr>
        <w:t>还需要经过客户的试运行和验收。随着近几年一卡通建设由用户自行购买到由银行、运营商</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客户投资购买，项目的验收及付款流程更加复杂和漫长，销售回款周期也随之增加。由于学</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校等客户的信誉较好，公司应收账款的收回有较高保障，且从历史经验看相关应收账款回收</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良好。但是应收账款的快速增长对公司现金流状况产生了一定影响，增加了公司对业务运营</w:t>
      </w:r>
    </w:p>
    <w:p>
      <w:pPr>
        <w:spacing w:after="0" w:line="357" w:lineRule="auto"/>
        <w:jc w:val="both"/>
        <w:rPr>
          <w:rFonts w:ascii="宋体" w:hAnsi="宋体" w:cs="宋体" w:eastAsia="宋体" w:hint="default"/>
          <w:sz w:val="24"/>
          <w:szCs w:val="24"/>
        </w:rPr>
        <w:sectPr>
          <w:footerReference w:type="default" r:id="rId8"/>
          <w:pgSz w:w="11910" w:h="16840"/>
          <w:pgMar w:footer="982" w:header="747" w:top="1060" w:bottom="1180" w:left="980" w:right="0"/>
          <w:pgNumType w:start="2"/>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spacing w:line="357" w:lineRule="auto" w:before="26"/>
        <w:ind w:left="153" w:right="1128" w:firstLine="0"/>
        <w:jc w:val="both"/>
        <w:rPr>
          <w:rFonts w:ascii="宋体" w:hAnsi="宋体" w:cs="宋体" w:eastAsia="宋体" w:hint="default"/>
          <w:sz w:val="24"/>
          <w:szCs w:val="24"/>
        </w:rPr>
      </w:pPr>
      <w:r>
        <w:rPr>
          <w:rFonts w:ascii="宋体" w:hAnsi="宋体" w:cs="宋体" w:eastAsia="宋体" w:hint="default"/>
          <w:sz w:val="24"/>
          <w:szCs w:val="24"/>
        </w:rPr>
        <w:t>资金的需求。随着公司业务规模的扩大，应收账款可能会进一步增加，如果出现应收账款不</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能按期回收或无法回收发生坏账的情况，公司将面临流动资金短缺的风险，从而对公司的持</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续盈利能力造成一定的不利影响。</w:t>
      </w:r>
    </w:p>
    <w:p>
      <w:pPr>
        <w:spacing w:line="338" w:lineRule="auto" w:before="36"/>
        <w:ind w:left="633" w:right="993"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、核心技术及知识产权保护风险 </w:t>
      </w:r>
      <w:r>
        <w:rPr>
          <w:rFonts w:ascii="宋体" w:hAnsi="宋体" w:cs="宋体" w:eastAsia="宋体" w:hint="default"/>
          <w:spacing w:val="-3"/>
          <w:sz w:val="24"/>
          <w:szCs w:val="24"/>
        </w:rPr>
        <w:t>公司拥有的智慧校园、智慧政企应用整体解决方案相关核心技术在行业内处于先进水平，</w:t>
      </w:r>
    </w:p>
    <w:p>
      <w:pPr>
        <w:spacing w:before="55"/>
        <w:ind w:left="153" w:right="0" w:firstLine="0"/>
        <w:jc w:val="both"/>
        <w:rPr>
          <w:rFonts w:ascii="宋体" w:hAnsi="宋体" w:cs="宋体" w:eastAsia="宋体" w:hint="default"/>
          <w:sz w:val="24"/>
          <w:szCs w:val="24"/>
        </w:rPr>
      </w:pPr>
      <w:r>
        <w:rPr>
          <w:rFonts w:ascii="宋体" w:hAnsi="宋体" w:cs="宋体" w:eastAsia="宋体" w:hint="default"/>
          <w:sz w:val="24"/>
          <w:szCs w:val="24"/>
        </w:rPr>
        <w:t>在核心技术上拥有自主知识产权。尽管公司已经采取了核心技术人员持股、与研发人员签署</w:t>
      </w:r>
    </w:p>
    <w:p>
      <w:pPr>
        <w:spacing w:line="357" w:lineRule="auto" w:before="154"/>
        <w:ind w:left="153" w:right="993" w:firstLine="0"/>
        <w:jc w:val="left"/>
        <w:rPr>
          <w:rFonts w:ascii="宋体" w:hAnsi="宋体" w:cs="宋体" w:eastAsia="宋体" w:hint="default"/>
          <w:sz w:val="24"/>
          <w:szCs w:val="24"/>
        </w:rPr>
      </w:pPr>
      <w:r>
        <w:rPr>
          <w:rFonts w:ascii="宋体" w:hAnsi="宋体" w:cs="宋体" w:eastAsia="宋体" w:hint="default"/>
          <w:sz w:val="24"/>
          <w:szCs w:val="24"/>
        </w:rPr>
        <w:t>《保密协议》申请专利及著作权保护、加强企业文化建设、不断增强企业凝聚力等措施，但</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并不能完全消除技术泄密或核心技术人员流失的风险。如果出现技术外泄或者核心技术人员</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流失的情况，将对本公司的持续技术创新能力产生一定的负面影响。公司拥有多项专利技术</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pacing w:val="-2"/>
          <w:sz w:val="24"/>
          <w:szCs w:val="24"/>
        </w:rPr>
        <w:t>及计算机软件著作权，截至目前并未发生严重盗版或侵权事件，但软件具有易于复制的特点，</w:t>
      </w:r>
      <w:r>
        <w:rPr>
          <w:rFonts w:ascii="宋体" w:hAnsi="宋体" w:cs="宋体" w:eastAsia="宋体" w:hint="default"/>
          <w:sz w:val="24"/>
          <w:szCs w:val="24"/>
        </w:rPr>
        <w:t> 而我国对软件等知识产权的保护还较弱，侵权及盗版已经成为制约我国软件行业发展和软件</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企业成长的重要障碍。如果公司的软件遭遇较大范围的盗版、仿冒或侵权，将对公司的经营</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产生不利影响。</w:t>
      </w:r>
    </w:p>
    <w:p>
      <w:pPr>
        <w:spacing w:line="338" w:lineRule="auto" w:before="36"/>
        <w:ind w:left="633" w:right="1113"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、募集资金投资项目实施风险 </w:t>
      </w:r>
      <w:r>
        <w:rPr>
          <w:rFonts w:ascii="宋体" w:hAnsi="宋体" w:cs="宋体" w:eastAsia="宋体" w:hint="default"/>
          <w:spacing w:val="-3"/>
          <w:sz w:val="24"/>
          <w:szCs w:val="24"/>
        </w:rPr>
        <w:t>经公司第四届董事会第三十次会议、第四届监事会第二十五次会议和</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年第五次临时</w:t>
      </w:r>
    </w:p>
    <w:p>
      <w:pPr>
        <w:spacing w:line="357" w:lineRule="auto" w:before="27"/>
        <w:ind w:left="154" w:right="1128" w:firstLine="0"/>
        <w:jc w:val="both"/>
        <w:rPr>
          <w:rFonts w:ascii="宋体" w:hAnsi="宋体" w:cs="宋体" w:eastAsia="宋体" w:hint="default"/>
          <w:sz w:val="24"/>
          <w:szCs w:val="24"/>
        </w:rPr>
      </w:pPr>
      <w:r>
        <w:rPr>
          <w:rFonts w:ascii="宋体" w:hAnsi="宋体" w:cs="宋体" w:eastAsia="宋体" w:hint="default"/>
          <w:sz w:val="24"/>
          <w:szCs w:val="24"/>
        </w:rPr>
        <w:t>股东大会审议，同意公司变更募集资金用途，将尚未使用的募集资金及理财收益和利息收入</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用于新开普智慧教育研发产业基地项目及永久补充流动资金，新开普智慧教育研发产业基地</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项目是公司通过长期市场调研以及慎重的可行性研究论证后决定的，并聘请了相关机构进行</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了详实的可行性研究，根据可行性研究报告，本项目建设具备可行性，但不排除受宏观经济</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环境、国家产业政策、国内外市场环境等因素变化的影响，在项目实施过程中仍然可能存在</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无法达到预定目标的风险，进而影响公司未来的经营业绩。</w:t>
      </w:r>
    </w:p>
    <w:p>
      <w:pPr>
        <w:spacing w:before="181"/>
        <w:ind w:left="715" w:right="993"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4"/>
          <w:sz w:val="28"/>
          <w:szCs w:val="28"/>
        </w:rPr>
        <w:t> </w:t>
      </w:r>
      <w:r>
        <w:rPr>
          <w:rFonts w:ascii="Times New Roman" w:hAnsi="Times New Roman" w:cs="Times New Roman" w:eastAsia="Times New Roman" w:hint="default"/>
          <w:b/>
          <w:bCs/>
          <w:sz w:val="28"/>
          <w:szCs w:val="28"/>
        </w:rPr>
        <w:t>481,092,495</w:t>
      </w:r>
      <w:r>
        <w:rPr>
          <w:rFonts w:ascii="Times New Roman" w:hAnsi="Times New Roman" w:cs="Times New Roman" w:eastAsia="Times New Roman" w:hint="default"/>
          <w:b/>
          <w:bCs/>
          <w:spacing w:val="-24"/>
          <w:sz w:val="28"/>
          <w:szCs w:val="28"/>
        </w:rPr>
        <w:t> </w:t>
      </w:r>
      <w:r>
        <w:rPr>
          <w:rFonts w:ascii="宋体" w:hAnsi="宋体" w:cs="宋体" w:eastAsia="宋体" w:hint="default"/>
          <w:b/>
          <w:bCs/>
          <w:spacing w:val="-5"/>
          <w:sz w:val="28"/>
          <w:szCs w:val="28"/>
        </w:rPr>
        <w:t>为基数，向</w:t>
      </w:r>
      <w:r>
        <w:rPr>
          <w:rFonts w:ascii="宋体" w:hAnsi="宋体" w:cs="宋体" w:eastAsia="宋体" w:hint="default"/>
          <w:spacing w:val="-5"/>
          <w:sz w:val="28"/>
          <w:szCs w:val="28"/>
        </w:rPr>
      </w:r>
    </w:p>
    <w:p>
      <w:pPr>
        <w:spacing w:before="235"/>
        <w:ind w:left="153" w:right="0" w:firstLine="0"/>
        <w:jc w:val="both"/>
        <w:rPr>
          <w:rFonts w:ascii="宋体" w:hAnsi="宋体" w:cs="宋体" w:eastAsia="宋体" w:hint="default"/>
          <w:sz w:val="28"/>
          <w:szCs w:val="28"/>
        </w:rPr>
      </w:pPr>
      <w:r>
        <w:rPr>
          <w:rFonts w:ascii="宋体" w:hAnsi="宋体" w:cs="宋体" w:eastAsia="宋体" w:hint="default"/>
          <w:b/>
          <w:bCs/>
          <w:spacing w:val="1"/>
          <w:w w:val="99"/>
          <w:sz w:val="28"/>
          <w:szCs w:val="28"/>
        </w:rPr>
        <w:t>全体股东</w:t>
      </w:r>
      <w:r>
        <w:rPr>
          <w:rFonts w:ascii="宋体" w:hAnsi="宋体" w:cs="宋体" w:eastAsia="宋体" w:hint="default"/>
          <w:b/>
          <w:bCs/>
          <w:w w:val="99"/>
          <w:sz w:val="28"/>
          <w:szCs w:val="28"/>
        </w:rPr>
        <w:t>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
          <w:w w:val="99"/>
          <w:sz w:val="28"/>
          <w:szCs w:val="28"/>
        </w:rPr>
        <w:t>股派发现金红</w:t>
      </w:r>
      <w:r>
        <w:rPr>
          <w:rFonts w:ascii="宋体" w:hAnsi="宋体" w:cs="宋体" w:eastAsia="宋体" w:hint="default"/>
          <w:b/>
          <w:bCs/>
          <w:w w:val="99"/>
          <w:sz w:val="28"/>
          <w:szCs w:val="28"/>
        </w:rPr>
        <w:t>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0.6</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1"/>
          <w:w w:val="99"/>
          <w:sz w:val="28"/>
          <w:szCs w:val="28"/>
        </w:rPr>
        <w:t>元（含税</w:t>
      </w:r>
      <w:r>
        <w:rPr>
          <w:rFonts w:ascii="宋体" w:hAnsi="宋体" w:cs="宋体" w:eastAsia="宋体" w:hint="default"/>
          <w:b/>
          <w:bCs/>
          <w:spacing w:val="-140"/>
          <w:w w:val="99"/>
          <w:sz w:val="28"/>
          <w:szCs w:val="28"/>
        </w:rPr>
        <w:t>）</w:t>
      </w:r>
      <w:r>
        <w:rPr>
          <w:rFonts w:ascii="宋体" w:hAnsi="宋体" w:cs="宋体" w:eastAsia="宋体" w:hint="default"/>
          <w:b/>
          <w:bCs/>
          <w:spacing w:val="1"/>
          <w:w w:val="99"/>
          <w:sz w:val="28"/>
          <w:szCs w:val="28"/>
        </w:rPr>
        <w:t>，送红</w:t>
      </w:r>
      <w:r>
        <w:rPr>
          <w:rFonts w:ascii="宋体" w:hAnsi="宋体" w:cs="宋体" w:eastAsia="宋体" w:hint="default"/>
          <w:b/>
          <w:bCs/>
          <w:w w:val="99"/>
          <w:sz w:val="28"/>
          <w:szCs w:val="28"/>
        </w:rPr>
        <w:t>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
          <w:w w:val="99"/>
          <w:sz w:val="28"/>
          <w:szCs w:val="28"/>
        </w:rPr>
        <w:t>股（含税</w:t>
      </w:r>
      <w:r>
        <w:rPr>
          <w:rFonts w:ascii="宋体" w:hAnsi="宋体" w:cs="宋体" w:eastAsia="宋体" w:hint="default"/>
          <w:b/>
          <w:bCs/>
          <w:spacing w:val="-139"/>
          <w:w w:val="99"/>
          <w:sz w:val="28"/>
          <w:szCs w:val="28"/>
        </w:rPr>
        <w:t>）</w:t>
      </w:r>
      <w:r>
        <w:rPr>
          <w:rFonts w:ascii="宋体" w:hAnsi="宋体" w:cs="宋体" w:eastAsia="宋体" w:hint="default"/>
          <w:b/>
          <w:bCs/>
          <w:spacing w:val="1"/>
          <w:w w:val="99"/>
          <w:sz w:val="28"/>
          <w:szCs w:val="28"/>
        </w:rPr>
        <w:t>，以资本公</w:t>
      </w:r>
      <w:r>
        <w:rPr>
          <w:rFonts w:ascii="宋体" w:hAnsi="宋体" w:cs="宋体" w:eastAsia="宋体" w:hint="default"/>
          <w:sz w:val="28"/>
          <w:szCs w:val="28"/>
        </w:rPr>
      </w:r>
    </w:p>
    <w:p>
      <w:pPr>
        <w:spacing w:before="237"/>
        <w:ind w:left="153" w:right="0" w:firstLine="0"/>
        <w:jc w:val="both"/>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pgSz w:w="11910" w:h="16840"/>
          <w:pgMar w:header="747" w:footer="982" w:top="1060" w:bottom="118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346" w:right="132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1" w:val="right" w:leader="dot"/>
            </w:tabs>
            <w:spacing w:line="240" w:lineRule="auto" w:before="0"/>
            <w:ind w:left="154"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2">
            <w:r>
              <w:rPr/>
              <w:t>第一节</w:t>
            </w:r>
            <w:r>
              <w:rPr>
                <w:spacing w:val="-19"/>
              </w:rPr>
              <w:t> </w:t>
            </w:r>
            <w:r>
              <w:rPr/>
              <w:t>重要提示、目录和释义</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11">
            <w:r>
              <w:rPr/>
              <w:t>第二节</w:t>
            </w:r>
            <w:r>
              <w:rPr>
                <w:spacing w:val="-18"/>
              </w:rPr>
              <w:t> </w:t>
            </w:r>
            <w:r>
              <w:rPr/>
              <w:t>公司简介和主要财务指标</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第三节</w:t>
            </w:r>
            <w:r>
              <w:rPr>
                <w:spacing w:val="-18"/>
              </w:rPr>
              <w:t> </w:t>
            </w:r>
            <w:r>
              <w:rPr/>
              <w:t>公司业务概要</w:t>
            </w:r>
            <w:r>
              <w:rPr>
                <w:rFonts w:ascii="Times New Roman" w:hAnsi="Times New Roman" w:cs="Times New Roman" w:eastAsia="Times New Roman" w:hint="default"/>
              </w:rPr>
              <w:tab/>
              <w:t>25</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第四节</w:t>
            </w:r>
            <w:r>
              <w:rPr>
                <w:spacing w:val="-19"/>
              </w:rPr>
              <w:t> </w:t>
            </w:r>
            <w:r>
              <w:rPr/>
              <w:t>经营情况讨论与分析</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第五节</w:t>
            </w:r>
            <w:r>
              <w:rPr>
                <w:spacing w:val="-19"/>
              </w:rPr>
              <w:t> </w:t>
            </w:r>
            <w:r>
              <w:rPr/>
              <w:t>重要事项</w:t>
            </w:r>
            <w:r>
              <w:rPr>
                <w:rFonts w:ascii="Times New Roman" w:hAnsi="Times New Roman" w:cs="Times New Roman" w:eastAsia="Times New Roman" w:hint="default"/>
              </w:rPr>
              <w:tab/>
            </w:r>
            <w:r>
              <w:rPr>
                <w:rFonts w:ascii="Times New Roman" w:hAnsi="Times New Roman" w:cs="Times New Roman" w:eastAsia="Times New Roman" w:hint="default"/>
                <w:spacing w:val="-5"/>
              </w:rPr>
              <w:t>118</w:t>
            </w:r>
            <w:r>
              <w:rPr>
                <w:rFonts w:ascii="Times New Roman" w:hAnsi="Times New Roman" w:cs="Times New Roman" w:eastAsia="Times New Roman" w:hint="default"/>
                <w:b w:val="0"/>
                <w:bCs w:val="0"/>
                <w:spacing w:val="-5"/>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第六节</w:t>
            </w:r>
            <w:r>
              <w:rPr>
                <w:spacing w:val="-19"/>
              </w:rPr>
              <w:t> </w:t>
            </w:r>
            <w:r>
              <w:rPr/>
              <w:t>股份变动及股东情况</w:t>
            </w:r>
            <w:r>
              <w:rPr>
                <w:rFonts w:ascii="Times New Roman" w:hAnsi="Times New Roman" w:cs="Times New Roman" w:eastAsia="Times New Roman" w:hint="default"/>
              </w:rPr>
              <w:tab/>
              <w:t>125</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第七节</w:t>
            </w:r>
            <w:r>
              <w:rPr>
                <w:spacing w:val="-19"/>
              </w:rPr>
              <w:t> </w:t>
            </w:r>
            <w:r>
              <w:rPr/>
              <w:t>优先股相关情况</w:t>
            </w:r>
            <w:r>
              <w:rPr>
                <w:rFonts w:ascii="Times New Roman" w:hAnsi="Times New Roman" w:cs="Times New Roman" w:eastAsia="Times New Roman" w:hint="default"/>
              </w:rPr>
              <w:tab/>
              <w:t>125</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第八节</w:t>
            </w:r>
            <w:r>
              <w:rPr>
                <w:spacing w:val="-18"/>
              </w:rPr>
              <w:t> </w:t>
            </w:r>
            <w:r>
              <w:rPr/>
              <w:t>可转换公司债券相关情况</w:t>
            </w:r>
            <w:r>
              <w:rPr>
                <w:rFonts w:ascii="Times New Roman" w:hAnsi="Times New Roman" w:cs="Times New Roman" w:eastAsia="Times New Roman" w:hint="default"/>
              </w:rPr>
              <w:tab/>
              <w:t>125</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第九节</w:t>
            </w:r>
            <w:r>
              <w:rPr>
                <w:spacing w:val="-19"/>
              </w:rPr>
              <w:t> </w:t>
            </w:r>
            <w:r>
              <w:rPr/>
              <w:t>董事、监事、高级管理人员和员工情况</w:t>
            </w:r>
            <w:r>
              <w:rPr>
                <w:rFonts w:ascii="Times New Roman" w:hAnsi="Times New Roman" w:cs="Times New Roman" w:eastAsia="Times New Roman" w:hint="default"/>
              </w:rPr>
              <w:tab/>
              <w:t>126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第十节</w:t>
            </w:r>
            <w:r>
              <w:rPr>
                <w:spacing w:val="-19"/>
              </w:rPr>
              <w:t> </w:t>
            </w:r>
            <w:r>
              <w:rPr/>
              <w:t>公司治理</w:t>
            </w:r>
            <w:r>
              <w:rPr>
                <w:rFonts w:ascii="Times New Roman" w:hAnsi="Times New Roman" w:cs="Times New Roman" w:eastAsia="Times New Roman" w:hint="default"/>
              </w:rPr>
              <w:tab/>
              <w:t>127</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第十一节</w:t>
            </w:r>
            <w:r>
              <w:rPr>
                <w:spacing w:val="-19"/>
              </w:rPr>
              <w:t> </w:t>
            </w:r>
            <w:r>
              <w:rPr/>
              <w:t>公司债券相关情况</w:t>
            </w:r>
            <w:r>
              <w:rPr>
                <w:rFonts w:ascii="Times New Roman" w:hAnsi="Times New Roman" w:cs="Times New Roman" w:eastAsia="Times New Roman" w:hint="default"/>
              </w:rPr>
              <w:tab/>
              <w:t>140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第十二节</w:t>
            </w:r>
            <w:r>
              <w:rPr>
                <w:spacing w:val="-19"/>
              </w:rPr>
              <w:t> </w:t>
            </w:r>
            <w:r>
              <w:rPr/>
              <w:t>财务报告</w:t>
            </w:r>
            <w:r>
              <w:rPr>
                <w:rFonts w:ascii="Times New Roman" w:hAnsi="Times New Roman" w:cs="Times New Roman" w:eastAsia="Times New Roman" w:hint="default"/>
              </w:rPr>
              <w:tab/>
              <w:t>150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第十三节</w:t>
            </w:r>
            <w:r>
              <w:rPr>
                <w:spacing w:val="-20"/>
              </w:rPr>
              <w:t> </w:t>
            </w:r>
            <w:r>
              <w:rPr/>
              <w:t>备查文件目录</w:t>
            </w:r>
            <w:r>
              <w:rPr>
                <w:rFonts w:ascii="Times New Roman" w:hAnsi="Times New Roman" w:cs="Times New Roman" w:eastAsia="Times New Roman" w:hint="default"/>
              </w:rPr>
              <w:tab/>
              <w:t>151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82" w:top="1060" w:bottom="1180" w:left="980" w:right="0"/>
        </w:sectPr>
      </w:pPr>
    </w:p>
    <w:p>
      <w:pPr>
        <w:spacing w:before="946"/>
        <w:ind w:left="346" w:right="132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4"/>
        <w:gridCol w:w="620"/>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本公司、公司、新开普</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新开普电子股份有限公司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创业板</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深圳证券交易所创业板</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新开普电子股份有限公司股东大会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新开普电子股份有限公司董事会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新开普电子股份有限公司监事会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迪科远望</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北京迪科远望科技有限公司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上海树维</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上海树维信息科技有限公司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福建新开普</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福建新开普信息科技有限公司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北京乐智</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北京乐智科技有限公司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成都兰途</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成都兰途网络科技有限公司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丹诚开普</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嘉兴丹诚开普股权投资合伙企业（有限合伙）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华夏海纳</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河南华夏海纳创业投资集团有限公司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凯里通卡公司</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凯里智慧城市通卡管理有限公司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上海微令</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上海微令信息科技有限公司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郑州佳辰</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郑州佳辰企业管理咨询中心（有限合伙）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丹诚资管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北京丹诚资产管理有限公司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希嘉教育</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北京希嘉创智教育科技有限公司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完美数联</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完美数联（杭州）科技有限公司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上海云鑫</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上海云鑫创业投资有限公司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华驰联创</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北京华驰联创科技有限公司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上海新开普志成</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上海新开普志成信息科技有限公司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天维恒瑞</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上海天维恒瑞企业管理合伙企业（有限合伙）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蚂蚁金服</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浙江蚂蚁小微金融服务集团股份有限公司</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4"/>
        <w:gridCol w:w="620"/>
        <w:gridCol w:w="5424"/>
      </w:tblGrid>
      <w:tr>
        <w:trPr>
          <w:trHeight w:val="258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数字化校园</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是校园信息化建设的高级阶段，以数字化信息和网络为基础，在计算</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机和网络技术上建立起来的对教学、科研、管理、技术服务、生活服</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务等校园信息的收集、处理、整合、存储、传输和应用，使数字资源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得到充分优化。利用一种虚拟教育环境，通过实现从环境、资源到应</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用的全部数字化，在传统校园基础上构建一个数字空间，以拓展现实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校园的时间和空间维度，提升传统校园的运行效率，扩展传统校园的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业务功能，最终实现教育过程的全面信息化，从而达到提高管理水平</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和效率的目的</w:t>
            </w:r>
          </w:p>
        </w:tc>
      </w:tr>
      <w:tr>
        <w:trPr>
          <w:trHeight w:val="165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完美校园</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新开普电子股份有限公司旗下平台软件，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完美校园</w:t>
            </w:r>
            <w:r>
              <w:rPr>
                <w:rFonts w:ascii="Times New Roman" w:hAnsi="Times New Roman" w:cs="Times New Roman" w:eastAsia="Times New Roman" w:hint="default"/>
                <w:sz w:val="18"/>
                <w:szCs w:val="18"/>
              </w:rPr>
              <w:t>"</w:t>
            </w:r>
            <w:r>
              <w:rPr>
                <w:rFonts w:ascii="宋体" w:hAnsi="宋体" w:cs="宋体" w:eastAsia="宋体" w:hint="default"/>
                <w:sz w:val="18"/>
                <w:szCs w:val="18"/>
              </w:rPr>
              <w:t>是由原有的面向 高校的移动端产品</w:t>
            </w:r>
            <w:r>
              <w:rPr>
                <w:rFonts w:ascii="Times New Roman" w:hAnsi="Times New Roman" w:cs="Times New Roman" w:eastAsia="Times New Roman" w:hint="default"/>
                <w:sz w:val="18"/>
                <w:szCs w:val="18"/>
              </w:rPr>
              <w:t>"</w:t>
            </w:r>
            <w:r>
              <w:rPr>
                <w:rFonts w:ascii="宋体" w:hAnsi="宋体" w:cs="宋体" w:eastAsia="宋体" w:hint="default"/>
                <w:sz w:val="18"/>
                <w:szCs w:val="18"/>
              </w:rPr>
              <w:t>玩校</w:t>
            </w:r>
            <w:r>
              <w:rPr>
                <w:rFonts w:ascii="Times New Roman" w:hAnsi="Times New Roman" w:cs="Times New Roman" w:eastAsia="Times New Roman" w:hint="default"/>
                <w:sz w:val="18"/>
                <w:szCs w:val="18"/>
              </w:rPr>
              <w:t>"</w:t>
            </w:r>
            <w:r>
              <w:rPr>
                <w:rFonts w:ascii="宋体" w:hAnsi="宋体" w:cs="宋体" w:eastAsia="宋体" w:hint="default"/>
                <w:sz w:val="18"/>
                <w:szCs w:val="18"/>
              </w:rPr>
              <w:t>升级而来，基于智慧校园服务平台，在校园 </w:t>
            </w:r>
            <w:r>
              <w:rPr>
                <w:rFonts w:ascii="宋体" w:hAnsi="宋体" w:cs="宋体" w:eastAsia="宋体" w:hint="default"/>
                <w:spacing w:val="-2"/>
                <w:sz w:val="18"/>
                <w:szCs w:val="18"/>
              </w:rPr>
              <w:t>卡、移动支付、学习、生活服务的基础上，增加了人才成长体系，致</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力于与学校共同创造，服务学生</w:t>
            </w:r>
            <w:r>
              <w:rPr>
                <w:rFonts w:ascii="Times New Roman" w:hAnsi="Times New Roman" w:cs="Times New Roman" w:eastAsia="Times New Roman" w:hint="default"/>
                <w:sz w:val="18"/>
                <w:szCs w:val="18"/>
              </w:rPr>
              <w:t>"</w:t>
            </w:r>
            <w:r>
              <w:rPr>
                <w:rFonts w:ascii="宋体" w:hAnsi="宋体" w:cs="宋体" w:eastAsia="宋体" w:hint="default"/>
                <w:sz w:val="18"/>
                <w:szCs w:val="18"/>
              </w:rPr>
              <w:t>轻松生活、快乐成长</w:t>
            </w:r>
            <w:r>
              <w:rPr>
                <w:rFonts w:ascii="Times New Roman" w:hAnsi="Times New Roman" w:cs="Times New Roman" w:eastAsia="Times New Roman" w:hint="default"/>
                <w:sz w:val="18"/>
                <w:szCs w:val="18"/>
              </w:rPr>
              <w:t>"</w:t>
            </w:r>
            <w:r>
              <w:rPr>
                <w:rFonts w:ascii="宋体" w:hAnsi="宋体" w:cs="宋体" w:eastAsia="宋体" w:hint="default"/>
                <w:sz w:val="18"/>
                <w:szCs w:val="18"/>
              </w:rPr>
              <w:t>的未来校园高 级形态</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NB-IoT</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又称窄带物联网，是由</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3GPP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标准化组织定义的一种技术标准，是一 种专为物联网设计的窄带射频技术</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智慧校园</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数字化校园结合物联网技术所形成的高端校园信息化形态</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移动互联网</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
              <w:jc w:val="both"/>
              <w:rPr>
                <w:rFonts w:ascii="宋体" w:hAnsi="宋体" w:cs="宋体" w:eastAsia="宋体" w:hint="default"/>
                <w:sz w:val="18"/>
                <w:szCs w:val="18"/>
              </w:rPr>
            </w:pPr>
            <w:r>
              <w:rPr>
                <w:rFonts w:ascii="宋体" w:hAnsi="宋体" w:cs="宋体" w:eastAsia="宋体" w:hint="default"/>
                <w:spacing w:val="-2"/>
                <w:sz w:val="18"/>
                <w:szCs w:val="18"/>
              </w:rPr>
              <w:t>移动通信和互联网二者结合起来，成为一体，是一种通过智能移动终</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端，采用移动无线通信方式获取业务和服务的新兴业态，包含终端、 软件和应用三个层面。</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卡又称为芯片银行卡，是以芯片作为介质的银行卡。芯片卡 </w:t>
            </w:r>
            <w:r>
              <w:rPr>
                <w:rFonts w:ascii="宋体" w:hAnsi="宋体" w:cs="宋体" w:eastAsia="宋体" w:hint="default"/>
                <w:spacing w:val="-2"/>
                <w:sz w:val="18"/>
                <w:szCs w:val="18"/>
              </w:rPr>
              <w:t>容量大，可以存储密钥、数字证书、指纹等信息，其工作原理类似于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微型计算机，能够同时处理多种功能，为持卡人提供一卡多用的便利</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NFC</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Near Field Communication</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缩写，即近距离无线通讯技术。是一种短距</w:t>
            </w:r>
            <w:r>
              <w:rPr>
                <w:rFonts w:ascii="宋体" w:hAnsi="宋体" w:cs="宋体" w:eastAsia="宋体" w:hint="default"/>
                <w:sz w:val="18"/>
                <w:szCs w:val="18"/>
              </w:rPr>
              <w:t> </w:t>
            </w:r>
            <w:r>
              <w:rPr>
                <w:rFonts w:ascii="宋体" w:hAnsi="宋体" w:cs="宋体" w:eastAsia="宋体" w:hint="default"/>
                <w:spacing w:val="-2"/>
                <w:sz w:val="18"/>
                <w:szCs w:val="18"/>
              </w:rPr>
              <w:t>离的高频无线通信技术，允许电子设备之间进行非接触式点对点数据</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传输</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App/</w:t>
            </w:r>
            <w:r>
              <w:rPr>
                <w:rFonts w:ascii="宋体" w:hAnsi="宋体" w:cs="宋体" w:eastAsia="宋体" w:hint="default"/>
                <w:sz w:val="18"/>
                <w:szCs w:val="18"/>
              </w:rPr>
              <w:t>移动应用</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运行在智能手机、平板电脑等移动终端上的应用程序</w:t>
            </w:r>
          </w:p>
        </w:tc>
      </w:tr>
      <w:tr>
        <w:trPr>
          <w:trHeight w:val="165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SaaS</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Software-as-a-Service</w:t>
            </w:r>
            <w:r>
              <w:rPr>
                <w:rFonts w:ascii="宋体" w:hAnsi="宋体" w:cs="宋体" w:eastAsia="宋体" w:hint="default"/>
                <w:spacing w:val="-1"/>
                <w:sz w:val="18"/>
                <w:szCs w:val="18"/>
              </w:rPr>
              <w:t>（软件即服务）的简称，它是一种通过互联网提</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供软件服务的模式，软件厂商将应用软件统一部署在自己的服务器 </w:t>
            </w:r>
            <w:r>
              <w:rPr>
                <w:rFonts w:ascii="宋体" w:hAnsi="宋体" w:cs="宋体" w:eastAsia="宋体" w:hint="default"/>
                <w:spacing w:val="-2"/>
                <w:sz w:val="18"/>
                <w:szCs w:val="18"/>
              </w:rPr>
              <w:t>上，客户可以根据自己实际需求，通过互联网向软件厂商定购和获得</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所需的应用软件服务，并按定购的服务多少和时间长短向软件厂商支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付相关费用</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ITSS</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信息技术服务标准，是在工业和信息化部、国家标准化委的领导和支</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7"/>
                <w:sz w:val="18"/>
                <w:szCs w:val="18"/>
              </w:rPr>
              <w:t>持下，由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ITSS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工作组研制的一套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服务领域的标准库和一套提供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 </w:t>
            </w:r>
            <w:r>
              <w:rPr>
                <w:rFonts w:ascii="宋体" w:hAnsi="宋体" w:cs="宋体" w:eastAsia="宋体" w:hint="default"/>
                <w:sz w:val="18"/>
                <w:szCs w:val="18"/>
              </w:rPr>
              <w:t>服务的方法论。</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无法在一定时间范围内用常规软件工具进行捕捉、管理和处理的数据</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集合，是需要新处理模式才能具有更强的决策力、洞察发现力和流程</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优化能力的海量、高增长率和多样化的信息资产</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是基于互联网的相关服务的增加、使用和交互模式，通常涉及通过互</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联网来提供动态易扩展且经常是虚拟化的资源</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LoRa</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一种基于扩频技术的超远距离无线传输方案</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2"/>
          <w:szCs w:val="22"/>
        </w:rPr>
      </w:pPr>
    </w:p>
    <w:p>
      <w:pPr>
        <w:spacing w:before="44"/>
        <w:ind w:left="0" w:right="1137" w:firstLine="0"/>
        <w:jc w:val="right"/>
        <w:rPr>
          <w:rFonts w:ascii="宋体" w:hAnsi="宋体" w:cs="宋体" w:eastAsia="宋体" w:hint="default"/>
          <w:sz w:val="18"/>
          <w:szCs w:val="18"/>
        </w:rPr>
      </w:pPr>
      <w:r>
        <w:rPr/>
        <w:pict>
          <v:shape style="position:absolute;margin-left:56.459999pt;margin-top:-201.547897pt;width:479.2pt;height:455.6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0"/>
                    <w:gridCol w:w="5424"/>
                  </w:tblGrid>
                  <w:tr>
                    <w:trPr>
                      <w:trHeight w:val="165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一卡通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在同一张卡上实现多种不同功能，通行多种智能设备。一卡通系统集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技术、嵌入系统开发技术、智能卡应用技术、计算机网络技术 等于一体，通过</w:t>
                        </w:r>
                        <w:r>
                          <w:rPr>
                            <w:rFonts w:ascii="Times New Roman" w:hAnsi="Times New Roman" w:cs="Times New Roman" w:eastAsia="Times New Roman" w:hint="default"/>
                            <w:sz w:val="18"/>
                            <w:szCs w:val="18"/>
                          </w:rPr>
                          <w:t>"</w:t>
                        </w:r>
                        <w:r>
                          <w:rPr>
                            <w:rFonts w:ascii="宋体" w:hAnsi="宋体" w:cs="宋体" w:eastAsia="宋体" w:hint="default"/>
                            <w:sz w:val="18"/>
                            <w:szCs w:val="18"/>
                          </w:rPr>
                          <w:t>信息共享、集中控制</w:t>
                        </w:r>
                        <w:r>
                          <w:rPr>
                            <w:rFonts w:ascii="Times New Roman" w:hAnsi="Times New Roman" w:cs="Times New Roman" w:eastAsia="Times New Roman" w:hint="default"/>
                            <w:sz w:val="18"/>
                            <w:szCs w:val="18"/>
                          </w:rPr>
                          <w:t>"</w:t>
                        </w:r>
                        <w:r>
                          <w:rPr>
                            <w:rFonts w:ascii="宋体" w:hAnsi="宋体" w:cs="宋体" w:eastAsia="宋体" w:hint="default"/>
                            <w:sz w:val="18"/>
                            <w:szCs w:val="18"/>
                          </w:rPr>
                          <w:t>实现某一区域的智能化管理。 </w:t>
                        </w:r>
                        <w:r>
                          <w:rPr>
                            <w:rFonts w:ascii="宋体" w:hAnsi="宋体" w:cs="宋体" w:eastAsia="宋体" w:hint="default"/>
                            <w:spacing w:val="-2"/>
                            <w:sz w:val="18"/>
                            <w:szCs w:val="18"/>
                          </w:rPr>
                          <w:t>广泛应用于校园，企事业，城市等领域。随着技术发展，介质卡片已</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卡发展至及手机卡等多种实现形式</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校园一卡通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一卡通系统在校园内的应用形态，实现学生、教师及职工的</w:t>
                        </w:r>
                        <w:r>
                          <w:rPr>
                            <w:rFonts w:ascii="Times New Roman" w:hAnsi="Times New Roman" w:cs="Times New Roman" w:eastAsia="Times New Roman" w:hint="default"/>
                            <w:sz w:val="18"/>
                            <w:szCs w:val="18"/>
                          </w:rPr>
                          <w:t>"</w:t>
                        </w:r>
                        <w:r>
                          <w:rPr>
                            <w:rFonts w:ascii="宋体" w:hAnsi="宋体" w:cs="宋体" w:eastAsia="宋体" w:hint="default"/>
                            <w:sz w:val="18"/>
                            <w:szCs w:val="18"/>
                          </w:rPr>
                          <w:t>一卡在 手，走遍校园，一卡通用，一卡多用</w:t>
                        </w:r>
                        <w:r>
                          <w:rPr>
                            <w:rFonts w:ascii="Times New Roman" w:hAnsi="Times New Roman" w:cs="Times New Roman" w:eastAsia="Times New Roman" w:hint="default"/>
                            <w:sz w:val="18"/>
                            <w:szCs w:val="18"/>
                          </w:rPr>
                          <w:t>"</w:t>
                        </w:r>
                      </w:p>
                    </w:tc>
                  </w:tr>
                  <w:tr>
                    <w:trPr>
                      <w:trHeight w:val="165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RFID</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Radio Frequency Identification</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的缩写，即射频识别技术，是一种利用 射频通信实现的非接触式数据采集技术</w:t>
                        </w:r>
                        <w:r>
                          <w:rPr>
                            <w:rFonts w:ascii="Times New Roman" w:hAnsi="Times New Roman" w:cs="Times New Roman" w:eastAsia="Times New Roman" w:hint="default"/>
                            <w:sz w:val="18"/>
                            <w:szCs w:val="18"/>
                          </w:rPr>
                          <w:t>,</w:t>
                        </w:r>
                        <w:r>
                          <w:rPr>
                            <w:rFonts w:ascii="宋体" w:hAnsi="宋体" w:cs="宋体" w:eastAsia="宋体" w:hint="default"/>
                            <w:sz w:val="18"/>
                            <w:szCs w:val="18"/>
                          </w:rPr>
                          <w:t>它通过射频信号自动识别目 </w:t>
                        </w:r>
                        <w:r>
                          <w:rPr>
                            <w:rFonts w:ascii="宋体" w:hAnsi="宋体" w:cs="宋体" w:eastAsia="宋体" w:hint="default"/>
                            <w:spacing w:val="-2"/>
                            <w:sz w:val="18"/>
                            <w:szCs w:val="18"/>
                          </w:rPr>
                          <w:t>标对象并获取相关数据。在单一芯片上结合感应式读卡器、感应式卡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片和点对点的功能，通过频谱中无线频率部分的电磁感应耦合方式传</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递信息，传输范围由于频率不同分为中低频和高频两类</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智能卡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r>
                          <w:rPr>
                            <w:rFonts w:ascii="宋体" w:hAnsi="宋体" w:cs="宋体" w:eastAsia="宋体" w:hint="default"/>
                            <w:spacing w:val="-48"/>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Integrated Circuit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7"/>
                            <w:sz w:val="18"/>
                            <w:szCs w:val="18"/>
                          </w:rPr>
                          <w:t>Card</w:t>
                        </w:r>
                        <w:r>
                          <w:rPr>
                            <w:rFonts w:ascii="宋体" w:hAnsi="宋体" w:cs="宋体" w:eastAsia="宋体" w:hint="default"/>
                            <w:spacing w:val="-7"/>
                            <w:sz w:val="18"/>
                            <w:szCs w:val="18"/>
                          </w:rPr>
                          <w:t>，集成电路卡）也称智能卡（</w:t>
                        </w:r>
                        <w:r>
                          <w:rPr>
                            <w:rFonts w:ascii="Times New Roman" w:hAnsi="Times New Roman" w:cs="Times New Roman" w:eastAsia="Times New Roman" w:hint="default"/>
                            <w:spacing w:val="-7"/>
                            <w:sz w:val="18"/>
                            <w:szCs w:val="18"/>
                          </w:rPr>
                          <w:t>Smart</w:t>
                        </w:r>
                        <w:r>
                          <w:rPr>
                            <w:rFonts w:ascii="Times New Roman" w:hAnsi="Times New Roman" w:cs="Times New Roman" w:eastAsia="Times New Roman" w:hint="default"/>
                            <w:sz w:val="18"/>
                            <w:szCs w:val="18"/>
                          </w:rPr>
                          <w:t> card</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智慧卡（</w:t>
                        </w:r>
                        <w:r>
                          <w:rPr>
                            <w:rFonts w:ascii="Times New Roman" w:hAnsi="Times New Roman" w:cs="Times New Roman" w:eastAsia="Times New Roman" w:hint="default"/>
                            <w:spacing w:val="-3"/>
                            <w:sz w:val="18"/>
                            <w:szCs w:val="18"/>
                          </w:rPr>
                          <w:t>Intelligent </w:t>
                        </w:r>
                        <w:r>
                          <w:rPr>
                            <w:rFonts w:ascii="Times New Roman" w:hAnsi="Times New Roman" w:cs="Times New Roman" w:eastAsia="Times New Roman" w:hint="default"/>
                            <w:spacing w:val="-4"/>
                            <w:sz w:val="18"/>
                            <w:szCs w:val="18"/>
                          </w:rPr>
                          <w:t>card</w:t>
                        </w:r>
                        <w:r>
                          <w:rPr>
                            <w:rFonts w:ascii="宋体" w:hAnsi="宋体" w:cs="宋体" w:eastAsia="宋体" w:hint="default"/>
                            <w:spacing w:val="-4"/>
                            <w:sz w:val="18"/>
                            <w:szCs w:val="18"/>
                          </w:rPr>
                          <w:t>）微电路卡（</w:t>
                        </w:r>
                        <w:r>
                          <w:rPr>
                            <w:rFonts w:ascii="Times New Roman" w:hAnsi="Times New Roman" w:cs="Times New Roman" w:eastAsia="Times New Roman" w:hint="default"/>
                            <w:spacing w:val="-4"/>
                            <w:sz w:val="18"/>
                            <w:szCs w:val="18"/>
                          </w:rPr>
                          <w:t>Microcircuit card</w:t>
                        </w:r>
                        <w:r>
                          <w:rPr>
                            <w:rFonts w:ascii="宋体" w:hAnsi="宋体" w:cs="宋体" w:eastAsia="宋体" w:hint="default"/>
                            <w:spacing w:val="-4"/>
                            <w:sz w:val="18"/>
                            <w:szCs w:val="18"/>
                          </w:rPr>
                          <w:t>）或微芯片卡等</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它是将一个微电子芯片嵌入符合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ISO7816</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标准的卡基中，做成卡片形</w:t>
                        </w:r>
                        <w:r>
                          <w:rPr>
                            <w:rFonts w:ascii="宋体" w:hAnsi="宋体" w:cs="宋体" w:eastAsia="宋体" w:hint="default"/>
                            <w:sz w:val="18"/>
                            <w:szCs w:val="18"/>
                          </w:rPr>
                          <w:t> 式</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POS</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Point Of Sale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的缩写，即销售终端，是一种多功能终端，把它安装在 商户和受理网点中与计算机联成网络，就能实现电子资金自动转帐， 它具有支持消费、预授权、余额查询和转帐等功能，使用起来安全、 快捷、可靠</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《新开普电子股份有限公司章程》</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
              </w:txbxContent>
            </v:textbox>
            <w10:wrap type="none"/>
          </v:shape>
        </w:pict>
      </w:r>
      <w:r>
        <w:rPr>
          <w:rFonts w:ascii="宋体" w:hAnsi="宋体" w:cs="宋体" w:eastAsia="宋体" w:hint="default"/>
          <w:sz w:val="18"/>
          <w:szCs w:val="18"/>
        </w:rPr>
        <w:t>）</w:t>
      </w:r>
    </w:p>
    <w:p>
      <w:pPr>
        <w:spacing w:before="76"/>
        <w:ind w:left="0" w:right="113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724" w:right="1113"/>
        <w:jc w:val="left"/>
        <w:rPr>
          <w:b w:val="0"/>
          <w:bCs w:val="0"/>
        </w:rPr>
      </w:pPr>
      <w:bookmarkStart w:name="_TOC_250011" w:id="2"/>
      <w:r>
        <w:rPr/>
        <w:t>第二节公司简介和主要财务指标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13"/>
        <w:jc w:val="left"/>
        <w:rPr>
          <w:b w:val="0"/>
          <w:bCs w:val="0"/>
        </w:rPr>
      </w:pPr>
      <w:r>
        <w:rPr/>
        <w:pict>
          <v:shape style="position:absolute;margin-left:138pt;margin-top:114.735939pt;width:396.9pt;height:19.6pt;mso-position-horizontal-relative:page;mso-position-vertical-relative:paragraph;z-index:-159968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300248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新开普电子股份有限公司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新开普</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Newcapec Electronics Co.,</w:t>
            </w:r>
            <w:r>
              <w:rPr>
                <w:rFonts w:ascii="Times New Roman"/>
                <w:spacing w:val="-7"/>
                <w:sz w:val="18"/>
              </w:rPr>
              <w:t> </w:t>
            </w:r>
            <w:r>
              <w:rPr>
                <w:rFonts w:ascii="Times New Roman"/>
                <w:sz w:val="18"/>
              </w:rPr>
              <w:t>Ltd.</w:t>
            </w:r>
          </w:p>
        </w:tc>
      </w:tr>
      <w:tr>
        <w:trPr>
          <w:trHeight w:val="402" w:hRule="exact"/>
        </w:trPr>
        <w:tc>
          <w:tcPr>
            <w:tcW w:w="2284" w:type="dxa"/>
            <w:tcBorders>
              <w:top w:val="single" w:sz="4" w:space="0" w:color="000000"/>
              <w:left w:val="single" w:sz="4" w:space="0" w:color="000000"/>
              <w:bottom w:val="single" w:sz="4" w:space="0" w:color="000000"/>
              <w:right w:val="single" w:sz="10" w:space="0" w:color="FFFFFF"/>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5" w:type="dxa"/>
            <w:gridSpan w:val="3"/>
            <w:tcBorders>
              <w:top w:val="single" w:sz="4" w:space="0" w:color="000000"/>
              <w:left w:val="single" w:sz="10" w:space="0" w:color="FFFFFF"/>
              <w:bottom w:val="single" w:sz="4" w:space="0" w:color="000000"/>
              <w:right w:val="single" w:sz="9" w:space="0" w:color="FFFFFF"/>
            </w:tcBorders>
          </w:tcPr>
          <w:p>
            <w:pPr>
              <w:pStyle w:val="TableParagraph"/>
              <w:spacing w:line="240" w:lineRule="auto" w:before="92"/>
              <w:ind w:left="16" w:right="0"/>
              <w:jc w:val="left"/>
              <w:rPr>
                <w:rFonts w:ascii="Times New Roman" w:hAnsi="Times New Roman" w:cs="Times New Roman" w:eastAsia="Times New Roman" w:hint="default"/>
                <w:sz w:val="18"/>
                <w:szCs w:val="18"/>
              </w:rPr>
            </w:pPr>
            <w:r>
              <w:rPr>
                <w:rFonts w:ascii="Times New Roman"/>
                <w:sz w:val="18"/>
              </w:rPr>
              <w:t>Newcapec</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杨维国</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郑州市高新技术产业开发区迎春街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450001</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郑州市高新技术产业开发区迎春街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450001</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9">
              <w:r>
                <w:rPr>
                  <w:rFonts w:ascii="Times New Roman"/>
                  <w:sz w:val="18"/>
                </w:rPr>
                <w:t>http://www.newcapec.com.cn/</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0">
              <w:r>
                <w:rPr>
                  <w:rFonts w:ascii="Times New Roman"/>
                  <w:sz w:val="18"/>
                </w:rPr>
                <w:t>zqswb@newcapec.net</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113"/>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赵鑫</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郑州市高新技术产业开发区迎春街</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郑州市高新技术产业开发区迎春街</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0371-56599758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0371-56599758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0371-56599716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0371-56599716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zhaoxuan@newcapec.net</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zhaoxin@newcapec.net</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113"/>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2"/>
        <w:gridCol w:w="5575"/>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line="240" w:lineRule="auto" w:before="2"/>
        <w:rPr>
          <w:rFonts w:ascii="宋体" w:hAnsi="宋体" w:cs="宋体" w:eastAsia="宋体" w:hint="default"/>
          <w:b/>
          <w:bCs/>
          <w:sz w:val="18"/>
          <w:szCs w:val="18"/>
        </w:rPr>
      </w:pPr>
    </w:p>
    <w:p>
      <w:pPr>
        <w:pStyle w:val="Heading2"/>
        <w:spacing w:line="240" w:lineRule="auto" w:before="26"/>
        <w:ind w:right="1113"/>
        <w:jc w:val="left"/>
        <w:rPr>
          <w:b w:val="0"/>
          <w:bCs w:val="0"/>
        </w:rPr>
      </w:pPr>
      <w:r>
        <w:rPr/>
        <w:t>四、其他有关资料</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号新黄浦金融大厦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王娜、王幈</w:t>
            </w: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240" w:lineRule="auto" w:before="12"/>
        <w:rPr>
          <w:rFonts w:ascii="宋体" w:hAnsi="宋体" w:cs="宋体" w:eastAsia="宋体" w:hint="default"/>
          <w:sz w:val="20"/>
          <w:szCs w:val="20"/>
        </w:rPr>
      </w:pPr>
    </w:p>
    <w:p>
      <w:pPr>
        <w:spacing w:before="0"/>
        <w:ind w:left="153"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363" w:hRule="exact"/>
        </w:trPr>
        <w:tc>
          <w:tcPr>
            <w:tcW w:w="2392" w:type="dxa"/>
            <w:tcBorders>
              <w:top w:val="single" w:sz="4" w:space="0" w:color="000000"/>
              <w:left w:val="single" w:sz="4" w:space="0" w:color="000000"/>
              <w:bottom w:val="nil" w:sz="6" w:space="0" w:color="auto"/>
              <w:right w:val="single" w:sz="4" w:space="0" w:color="000000"/>
            </w:tcBorders>
          </w:tcPr>
          <w:p>
            <w:pPr/>
          </w:p>
        </w:tc>
        <w:tc>
          <w:tcPr>
            <w:tcW w:w="2393"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日至公司非公</w:t>
            </w:r>
          </w:p>
        </w:tc>
      </w:tr>
      <w:tr>
        <w:trPr>
          <w:trHeight w:val="313"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南京证券股份有限公司</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南京市江东中路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张睿、封燕</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开发行股票募集资金使用完</w:t>
            </w:r>
          </w:p>
        </w:tc>
      </w:tr>
      <w:tr>
        <w:trPr>
          <w:trHeight w:val="351" w:hRule="exact"/>
        </w:trPr>
        <w:tc>
          <w:tcPr>
            <w:tcW w:w="2392" w:type="dxa"/>
            <w:tcBorders>
              <w:top w:val="nil" w:sz="6" w:space="0" w:color="auto"/>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毕</w:t>
            </w: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line="240" w:lineRule="auto" w:before="10"/>
        <w:rPr>
          <w:rFonts w:ascii="宋体" w:hAnsi="宋体" w:cs="宋体" w:eastAsia="宋体" w:hint="default"/>
          <w:sz w:val="20"/>
          <w:szCs w:val="20"/>
        </w:rPr>
      </w:pPr>
    </w:p>
    <w:p>
      <w:pPr>
        <w:spacing w:before="0"/>
        <w:ind w:left="153"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2"/>
        <w:spacing w:line="240" w:lineRule="auto" w:before="157"/>
        <w:ind w:right="1113"/>
        <w:jc w:val="left"/>
        <w:rPr>
          <w:b w:val="0"/>
          <w:bCs w:val="0"/>
        </w:rPr>
      </w:pPr>
      <w:r>
        <w:rPr/>
        <w:t>五、主要会计数据和财务指标</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line="240" w:lineRule="auto" w:before="12"/>
        <w:rPr>
          <w:rFonts w:ascii="宋体" w:hAnsi="宋体" w:cs="宋体" w:eastAsia="宋体" w:hint="default"/>
          <w:sz w:val="20"/>
          <w:szCs w:val="20"/>
        </w:rPr>
      </w:pPr>
    </w:p>
    <w:p>
      <w:pPr>
        <w:spacing w:before="0"/>
        <w:ind w:left="153"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964,023,443.78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837,627,576.70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769,619,720.03</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157,690,483.05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96,112,608.43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64.07%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119,671,217.16</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125,806,653.01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84,840,232.07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48.29%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114,225,842.90</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175,277,941.85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30,446,464.52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475.69%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65,411,485.56</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0.3278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0.2443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0.3278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0.2443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9.57%</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2,306,479,205.61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2,109,236,347.89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2,038,092,539.69</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1,658,695,122.46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1,442,579,183.48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1,361,604,158.46</w:t>
            </w:r>
          </w:p>
        </w:tc>
      </w:tr>
    </w:tbl>
    <w:p>
      <w:pPr>
        <w:spacing w:line="240" w:lineRule="auto" w:before="2"/>
        <w:rPr>
          <w:rFonts w:ascii="宋体" w:hAnsi="宋体" w:cs="宋体" w:eastAsia="宋体" w:hint="default"/>
          <w:sz w:val="18"/>
          <w:szCs w:val="18"/>
        </w:rPr>
      </w:pPr>
    </w:p>
    <w:p>
      <w:pPr>
        <w:pStyle w:val="Heading2"/>
        <w:spacing w:line="240" w:lineRule="auto" w:before="26"/>
        <w:ind w:right="1113"/>
        <w:jc w:val="left"/>
        <w:rPr>
          <w:b w:val="0"/>
          <w:bCs w:val="0"/>
        </w:rPr>
      </w:pPr>
      <w:r>
        <w:rPr/>
        <w:t>六、分季度主要财务指标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163,998,303.51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159,127,921.98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233,668,515.83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407,228,702.46</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5,081,570.68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5,372,660.50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43,023,424.78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104,212,827.09</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2,828,462.98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-4,315,386.47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36,352,683.22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90,940,893.28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-119,943,462.85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-24,781,101.72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-33,785,950.76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353,788,457.18</w:t>
            </w: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line="240" w:lineRule="auto" w:before="12"/>
        <w:rPr>
          <w:rFonts w:ascii="宋体" w:hAnsi="宋体" w:cs="宋体" w:eastAsia="宋体" w:hint="default"/>
          <w:sz w:val="20"/>
          <w:szCs w:val="20"/>
        </w:rPr>
      </w:pPr>
    </w:p>
    <w:p>
      <w:pPr>
        <w:spacing w:before="0"/>
        <w:ind w:left="153"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2"/>
        <w:spacing w:line="240" w:lineRule="auto" w:before="155"/>
        <w:ind w:right="1113"/>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32"/>
          <w:szCs w:val="32"/>
        </w:rPr>
      </w:pPr>
    </w:p>
    <w:p>
      <w:pPr>
        <w:spacing w:line="489" w:lineRule="auto" w:before="0"/>
        <w:ind w:left="154" w:right="175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6"/>
        <w:rPr>
          <w:rFonts w:ascii="宋体" w:hAnsi="宋体" w:cs="宋体" w:eastAsia="宋体" w:hint="default"/>
          <w:sz w:val="18"/>
          <w:szCs w:val="18"/>
        </w:rPr>
      </w:pPr>
    </w:p>
    <w:p>
      <w:pPr>
        <w:pStyle w:val="Heading3"/>
        <w:spacing w:line="240" w:lineRule="auto"/>
        <w:ind w:right="111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32"/>
          <w:szCs w:val="32"/>
        </w:rPr>
      </w:pPr>
    </w:p>
    <w:p>
      <w:pPr>
        <w:spacing w:line="489" w:lineRule="auto" w:before="0"/>
        <w:ind w:left="154" w:right="26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16"/>
          <w:szCs w:val="16"/>
        </w:rPr>
      </w:pPr>
    </w:p>
    <w:p>
      <w:pPr>
        <w:pStyle w:val="Heading2"/>
        <w:spacing w:line="240" w:lineRule="auto"/>
        <w:ind w:right="1113"/>
        <w:jc w:val="left"/>
        <w:rPr>
          <w:b w:val="0"/>
          <w:bCs w:val="0"/>
        </w:rPr>
      </w:pPr>
      <w:r>
        <w:rPr/>
        <w:t>八、非经常性损益项目及金额</w:t>
      </w:r>
      <w:r>
        <w:rPr>
          <w:b w:val="0"/>
          <w:bCs w:val="0"/>
        </w:rPr>
      </w:r>
    </w:p>
    <w:p>
      <w:pPr>
        <w:spacing w:line="240" w:lineRule="auto" w:before="8"/>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1"/>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-219,409.62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-225,825.93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-106,446.49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28,401,291.94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6,170,396.86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3,751,268.00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54"/>
              <w:jc w:val="left"/>
              <w:rPr>
                <w:rFonts w:ascii="宋体" w:hAnsi="宋体" w:cs="宋体" w:eastAsia="宋体" w:hint="default"/>
                <w:sz w:val="18"/>
                <w:szCs w:val="18"/>
              </w:rPr>
            </w:pPr>
            <w:r>
              <w:rPr>
                <w:rFonts w:ascii="宋体" w:hAnsi="宋体" w:cs="宋体" w:eastAsia="宋体" w:hint="default"/>
                <w:sz w:val="18"/>
                <w:szCs w:val="18"/>
              </w:rPr>
              <w:t>除增值税退税外的政 府补助</w:t>
            </w: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-299,435.39</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273" w:type="dxa"/>
            <w:tcBorders>
              <w:top w:val="single" w:sz="4" w:space="0" w:color="000000"/>
              <w:left w:val="single" w:sz="4" w:space="0" w:color="000000"/>
              <w:bottom w:val="nil" w:sz="6" w:space="0" w:color="auto"/>
              <w:right w:val="single" w:sz="4" w:space="0" w:color="000000"/>
            </w:tcBorders>
            <w:shd w:val="clear" w:color="auto" w:fill="D3D3D3"/>
          </w:tcPr>
          <w:p>
            <w:pPr/>
          </w:p>
        </w:tc>
        <w:tc>
          <w:tcPr>
            <w:tcW w:w="15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0" w:right="0"/>
              <w:jc w:val="left"/>
              <w:rPr>
                <w:rFonts w:ascii="Times New Roman" w:hAnsi="Times New Roman" w:cs="Times New Roman" w:eastAsia="Times New Roman" w:hint="default"/>
                <w:sz w:val="18"/>
                <w:szCs w:val="18"/>
              </w:rPr>
            </w:pPr>
            <w:r>
              <w:rPr>
                <w:rFonts w:ascii="Times New Roman"/>
                <w:sz w:val="18"/>
              </w:rPr>
              <w:t>7,553,114.06</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3" w:right="0"/>
              <w:jc w:val="left"/>
              <w:rPr>
                <w:rFonts w:ascii="Times New Roman" w:hAnsi="Times New Roman" w:cs="Times New Roman" w:eastAsia="Times New Roman" w:hint="default"/>
                <w:sz w:val="18"/>
                <w:szCs w:val="18"/>
              </w:rPr>
            </w:pPr>
            <w:r>
              <w:rPr>
                <w:rFonts w:ascii="Times New Roman"/>
                <w:sz w:val="18"/>
              </w:rPr>
              <w:t>2,048,388.38</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4" w:right="0"/>
              <w:jc w:val="left"/>
              <w:rPr>
                <w:rFonts w:ascii="Times New Roman" w:hAnsi="Times New Roman" w:cs="Times New Roman" w:eastAsia="Times New Roman" w:hint="default"/>
                <w:sz w:val="18"/>
                <w:szCs w:val="18"/>
              </w:rPr>
            </w:pPr>
            <w:r>
              <w:rPr>
                <w:rFonts w:ascii="Times New Roman"/>
                <w:sz w:val="18"/>
              </w:rPr>
              <w:t>2,868,931.51</w:t>
            </w:r>
          </w:p>
        </w:tc>
        <w:tc>
          <w:tcPr>
            <w:tcW w:w="1710"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募集资金购买理财产 品收入</w:t>
            </w:r>
          </w:p>
        </w:tc>
      </w:tr>
      <w:tr>
        <w:trPr>
          <w:trHeight w:val="392" w:hRule="exact"/>
        </w:trPr>
        <w:tc>
          <w:tcPr>
            <w:tcW w:w="327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1"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161" w:hRule="exact"/>
        </w:trPr>
        <w:tc>
          <w:tcPr>
            <w:tcW w:w="3273" w:type="dxa"/>
            <w:tcBorders>
              <w:top w:val="nil" w:sz="6" w:space="0" w:color="auto"/>
              <w:left w:val="single" w:sz="4" w:space="0" w:color="000000"/>
              <w:bottom w:val="single" w:sz="4" w:space="0" w:color="000000"/>
              <w:right w:val="single" w:sz="4" w:space="0" w:color="000000"/>
            </w:tcBorders>
            <w:shd w:val="clear" w:color="auto" w:fill="D3D3D3"/>
          </w:tcPr>
          <w:p>
            <w:pPr/>
          </w:p>
        </w:tc>
        <w:tc>
          <w:tcPr>
            <w:tcW w:w="1531" w:type="dxa"/>
            <w:vMerge/>
            <w:tcBorders>
              <w:left w:val="single" w:sz="4" w:space="0" w:color="000000"/>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6"/>
        <w:gridCol w:w="1519"/>
        <w:gridCol w:w="1520"/>
        <w:gridCol w:w="1522"/>
        <w:gridCol w:w="1710"/>
      </w:tblGrid>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3,132,000.00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6,402,000.00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-1,148,599.46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-994,558.02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40,938.08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195,931.39</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5,638,323.82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2,010,060.19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983,203.66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92,739.06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117,964.74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126,113.18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31,883,830.04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11,272,376.36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5,445,374.26</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spacing w:before="44"/>
        <w:ind w:left="154" w:right="993"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r>
    </w:p>
    <w:p>
      <w:pPr>
        <w:spacing w:line="240" w:lineRule="auto" w:before="9"/>
        <w:rPr>
          <w:rFonts w:ascii="宋体" w:hAnsi="宋体" w:cs="宋体" w:eastAsia="宋体" w:hint="default"/>
          <w:sz w:val="16"/>
          <w:szCs w:val="16"/>
        </w:rPr>
      </w:pPr>
    </w:p>
    <w:p>
      <w:pPr>
        <w:spacing w:line="451" w:lineRule="auto" w:before="0"/>
        <w:ind w:left="154" w:right="1117"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113"/>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9"/>
          <w:szCs w:val="19"/>
        </w:rPr>
      </w:pPr>
    </w:p>
    <w:p>
      <w:pPr>
        <w:spacing w:line="451" w:lineRule="auto" w:before="0"/>
        <w:ind w:left="154" w:right="1114"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451"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27" w:right="1113"/>
        <w:jc w:val="left"/>
        <w:rPr>
          <w:b w:val="0"/>
          <w:bCs w:val="0"/>
        </w:rPr>
      </w:pPr>
      <w:bookmarkStart w:name="_TOC_250010" w:id="3"/>
      <w:r>
        <w:rPr/>
        <w:t>第三节公司业务概要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1113"/>
        <w:jc w:val="left"/>
        <w:rPr>
          <w:b w:val="0"/>
          <w:bCs w:val="0"/>
        </w:rPr>
      </w:pPr>
      <w:r>
        <w:rPr/>
        <w:t>一、报告期内公司从事的主要业务</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021" w:firstLine="420"/>
        <w:jc w:val="left"/>
      </w:pPr>
      <w:r>
        <w:rPr/>
        <w:t>公司是国内高校信息化龙头公司，始终专注于校园管理信息化、教育信息化解决方案建设，并不断拓 </w:t>
      </w:r>
      <w:r>
        <w:rPr>
          <w:spacing w:val="-3"/>
        </w:rPr>
        <w:t>展多行业信息化应用服务，持续围绕研发及运营的核心优势，以使命愿景凝聚团队、以科技创新拓展市场、</w:t>
      </w:r>
      <w:r>
        <w:rPr>
          <w:spacing w:val="-90"/>
        </w:rPr>
        <w:t> </w:t>
      </w:r>
      <w:r>
        <w:rPr>
          <w:spacing w:val="-90"/>
        </w:rPr>
      </w:r>
      <w:r>
        <w:rPr/>
        <w:t>以一线持续的卓越品质服务，赢得客户的长期信赖，为全国各地的高校、高职、中职、普高等学校提供校</w:t>
      </w:r>
      <w:r>
        <w:rPr/>
        <w:t> 园管理信息化、教育信息化产品、定制化整体解决方案及运营服务。公司依托自身科技服务能力，向客户 科技赋能，为客户提供教育行业产业互联网科技服务、物联网科技服务。目前公司已经转型为智慧校园中 台及包含一卡通、数字化校园平台与应用、教务管理系统、综合缴费云服务、大数据服务平台、就业管理 </w:t>
      </w:r>
      <w:r>
        <w:rPr>
          <w:spacing w:val="-3"/>
        </w:rPr>
        <w:t>系统、移动互联网服务、多场景物联网智能终端在内的各类应用系统、服务的智慧校园综合云平台服务商。</w:t>
      </w:r>
      <w:r>
        <w:rPr>
          <w:spacing w:val="-90"/>
        </w:rPr>
        <w:t> </w:t>
      </w:r>
      <w:r>
        <w:rPr>
          <w:spacing w:val="-90"/>
        </w:rPr>
      </w:r>
      <w:r>
        <w:rPr/>
        <w:t>同时，公司布局的职业教育、校企合作及专业共建等业务也为公司智慧校园战略的实施落地，增加了强有</w:t>
      </w:r>
      <w:r>
        <w:rPr/>
        <w:t> 力的内涵支持。</w:t>
      </w:r>
    </w:p>
    <w:p>
      <w:pPr>
        <w:pStyle w:val="BodyText"/>
        <w:spacing w:line="403" w:lineRule="auto"/>
        <w:ind w:left="153" w:right="1022" w:firstLine="420"/>
        <w:jc w:val="left"/>
      </w:pPr>
      <w:r>
        <w:rPr/>
        <w:t>报告期内，公司基于</w:t>
      </w:r>
      <w:r>
        <w:rPr>
          <w:rFonts w:ascii="Times New Roman" w:hAnsi="Times New Roman" w:cs="Times New Roman" w:eastAsia="Times New Roman" w:hint="default"/>
        </w:rPr>
        <w:t>“</w:t>
      </w:r>
      <w:r>
        <w:rPr/>
        <w:t>智能物联、移动互联、数据决策、开放融合</w:t>
      </w:r>
      <w:r>
        <w:rPr>
          <w:rFonts w:ascii="Times New Roman" w:hAnsi="Times New Roman" w:cs="Times New Roman" w:eastAsia="Times New Roman" w:hint="default"/>
        </w:rPr>
        <w:t>”</w:t>
      </w:r>
      <w:r>
        <w:rPr/>
        <w:t>的总体设计思路理念，通过科技创 新，助力打造数字化智慧政企，有效实现立体安防、高效办公、智慧生活、绿色能源的企业信息化管理， 通过生物识别、云计算、物联网、人工智能等新兴信息技术打造针对新一代智慧型企业、产业园区等信息 </w:t>
      </w:r>
      <w:r>
        <w:rPr>
          <w:spacing w:val="-3"/>
        </w:rPr>
        <w:t>化系统，不断开拓市场，为企业客户带来更精细、更个性化的服务。同时，公司依托产业互联网科技服务、</w:t>
      </w:r>
      <w:r>
        <w:rPr>
          <w:spacing w:val="-94"/>
        </w:rPr>
        <w:t> </w:t>
      </w:r>
      <w:r>
        <w:rPr>
          <w:spacing w:val="-94"/>
        </w:rPr>
      </w:r>
      <w:r>
        <w:rPr/>
        <w:t>物联网科技服务积累优势，积极拓展智慧水利、智能电力、智能燃气等业务板块，大力推进公司社会信息</w:t>
      </w:r>
      <w:r>
        <w:rPr/>
        <w:t> 化业务进展。</w:t>
      </w:r>
    </w:p>
    <w:p>
      <w:pPr>
        <w:pStyle w:val="BodyText"/>
        <w:spacing w:line="393" w:lineRule="auto" w:before="50"/>
        <w:ind w:left="153" w:right="1022" w:firstLine="420"/>
        <w:jc w:val="left"/>
      </w:pPr>
      <w:r>
        <w:rPr>
          <w:rFonts w:ascii="Times New Roman" w:hAnsi="Times New Roman" w:cs="Times New Roman" w:eastAsia="Times New Roman" w:hint="default"/>
        </w:rPr>
        <w:t>2019</w:t>
      </w:r>
      <w:r>
        <w:rPr/>
        <w:t>年度，公司持续围绕研发及运营的核心优势，以使命愿景凝聚团队、以科技创新拓展市场、以一 线持续的卓越品质服务赢得客户的长期信赖，为全国各地的高校、高职、中职、普高等学校提供校园信息 </w:t>
      </w:r>
      <w:r>
        <w:rPr>
          <w:spacing w:val="-3"/>
        </w:rPr>
        <w:t>化管理、教育信息化产品和定制化整体解决方案及运营服务。同时，公司通过移动互联网平台的创新服务，</w:t>
      </w:r>
      <w:r>
        <w:rPr>
          <w:spacing w:val="-90"/>
        </w:rPr>
        <w:t> </w:t>
      </w:r>
      <w:r>
        <w:rPr>
          <w:spacing w:val="-90"/>
        </w:rPr>
      </w:r>
      <w:r>
        <w:rPr>
          <w:spacing w:val="-2"/>
        </w:rPr>
        <w:t>构建大数据分析应用平台，围绕着</w:t>
      </w:r>
      <w:r>
        <w:rPr>
          <w:rFonts w:ascii="Times New Roman" w:hAnsi="Times New Roman" w:cs="Times New Roman" w:eastAsia="Times New Roman" w:hint="default"/>
          <w:spacing w:val="-2"/>
        </w:rPr>
        <w:t>“</w:t>
      </w:r>
      <w:r>
        <w:rPr>
          <w:spacing w:val="-2"/>
        </w:rPr>
        <w:t>硬件</w:t>
      </w:r>
      <w:r>
        <w:rPr>
          <w:rFonts w:ascii="Times New Roman" w:hAnsi="Times New Roman" w:cs="Times New Roman" w:eastAsia="Times New Roman" w:hint="default"/>
          <w:spacing w:val="-2"/>
        </w:rPr>
        <w:t>+</w:t>
      </w:r>
      <w:r>
        <w:rPr>
          <w:spacing w:val="-2"/>
        </w:rPr>
        <w:t>软件</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产品</w:t>
      </w:r>
      <w:r>
        <w:rPr>
          <w:rFonts w:ascii="Times New Roman" w:hAnsi="Times New Roman" w:cs="Times New Roman" w:eastAsia="Times New Roman" w:hint="default"/>
          <w:spacing w:val="-2"/>
        </w:rPr>
        <w:t>+</w:t>
      </w:r>
      <w:r>
        <w:rPr>
          <w:spacing w:val="-2"/>
        </w:rPr>
        <w:t>服务</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平台</w:t>
      </w:r>
      <w:r>
        <w:rPr>
          <w:rFonts w:ascii="Times New Roman" w:hAnsi="Times New Roman" w:cs="Times New Roman" w:eastAsia="Times New Roman" w:hint="default"/>
          <w:spacing w:val="-2"/>
        </w:rPr>
        <w:t>+</w:t>
      </w:r>
      <w:r>
        <w:rPr>
          <w:spacing w:val="-2"/>
        </w:rPr>
        <w:t>内容</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线上</w:t>
      </w:r>
      <w:r>
        <w:rPr>
          <w:rFonts w:ascii="Times New Roman" w:hAnsi="Times New Roman" w:cs="Times New Roman" w:eastAsia="Times New Roman" w:hint="default"/>
          <w:spacing w:val="-2"/>
        </w:rPr>
        <w:t>+</w:t>
      </w:r>
      <w:r>
        <w:rPr>
          <w:spacing w:val="-2"/>
        </w:rPr>
        <w:t>线下</w:t>
      </w:r>
      <w:r>
        <w:rPr>
          <w:rFonts w:ascii="Times New Roman" w:hAnsi="Times New Roman" w:cs="Times New Roman" w:eastAsia="Times New Roman" w:hint="default"/>
          <w:spacing w:val="-2"/>
        </w:rPr>
        <w:t>”</w:t>
      </w:r>
      <w:r>
        <w:rPr>
          <w:spacing w:val="-2"/>
        </w:rPr>
        <w:t>生态体系建设，</w:t>
      </w:r>
      <w:r>
        <w:rPr>
          <w:spacing w:val="-92"/>
        </w:rPr>
        <w:t> </w:t>
      </w:r>
      <w:r>
        <w:rPr>
          <w:spacing w:val="-92"/>
        </w:rPr>
      </w:r>
      <w:r>
        <w:rPr/>
        <w:t>为广大学校、大型企事业单位提供智慧解决方案、产业互联网、物联网运维服务。</w:t>
      </w:r>
      <w:r>
        <w:rPr>
          <w:rFonts w:ascii="Times New Roman" w:hAnsi="Times New Roman" w:cs="Times New Roman" w:eastAsia="Times New Roman" w:hint="default"/>
        </w:rPr>
        <w:t>2019</w:t>
      </w:r>
      <w:r>
        <w:rPr/>
        <w:t>年度，公司实现营 业收入</w:t>
      </w:r>
      <w:r>
        <w:rPr>
          <w:rFonts w:ascii="Times New Roman" w:hAnsi="Times New Roman" w:cs="Times New Roman" w:eastAsia="Times New Roman" w:hint="default"/>
        </w:rPr>
        <w:t>96,402.34</w:t>
      </w:r>
      <w:r>
        <w:rPr/>
        <w:t>万元，比上年同期增长</w:t>
      </w:r>
      <w:r>
        <w:rPr>
          <w:rFonts w:ascii="Times New Roman" w:hAnsi="Times New Roman" w:cs="Times New Roman" w:eastAsia="Times New Roman" w:hint="default"/>
        </w:rPr>
        <w:t>15.09%</w:t>
      </w:r>
      <w:r>
        <w:rPr/>
        <w:t>；实现归属于上市公司股东的净利润</w:t>
      </w:r>
      <w:r>
        <w:rPr>
          <w:rFonts w:ascii="Times New Roman" w:hAnsi="Times New Roman" w:cs="Times New Roman" w:eastAsia="Times New Roman" w:hint="default"/>
        </w:rPr>
        <w:t>15,769.05</w:t>
      </w:r>
      <w:r>
        <w:rPr/>
        <w:t>万元，比上年 同期增长</w:t>
      </w:r>
      <w:r>
        <w:rPr>
          <w:rFonts w:ascii="Times New Roman" w:hAnsi="Times New Roman" w:cs="Times New Roman" w:eastAsia="Times New Roman" w:hint="default"/>
        </w:rPr>
        <w:t>64.07%</w:t>
      </w:r>
      <w:r>
        <w:rPr/>
        <w:t>。</w:t>
      </w:r>
    </w:p>
    <w:p>
      <w:pPr>
        <w:pStyle w:val="Heading3"/>
        <w:spacing w:line="240" w:lineRule="auto" w:before="28"/>
        <w:ind w:left="573" w:right="1113"/>
        <w:jc w:val="left"/>
        <w:rPr>
          <w:b w:val="0"/>
          <w:bCs w:val="0"/>
        </w:rPr>
      </w:pPr>
      <w:r>
        <w:rPr/>
        <w:t>（一）公司所属行业特点</w:t>
      </w:r>
      <w:r>
        <w:rPr>
          <w:b w:val="0"/>
          <w:bCs w:val="0"/>
        </w:rPr>
      </w:r>
    </w:p>
    <w:p>
      <w:pPr>
        <w:spacing w:line="240" w:lineRule="auto" w:before="10"/>
        <w:rPr>
          <w:rFonts w:ascii="宋体" w:hAnsi="宋体" w:cs="宋体" w:eastAsia="宋体" w:hint="default"/>
          <w:b/>
          <w:bCs/>
          <w:sz w:val="14"/>
          <w:szCs w:val="14"/>
        </w:rPr>
      </w:pPr>
    </w:p>
    <w:p>
      <w:pPr>
        <w:pStyle w:val="BodyText"/>
        <w:spacing w:line="386" w:lineRule="auto" w:before="0"/>
        <w:ind w:left="573" w:right="1113"/>
        <w:jc w:val="left"/>
      </w:pPr>
      <w:r>
        <w:rPr>
          <w:rFonts w:ascii="Times New Roman" w:hAnsi="Times New Roman" w:cs="Times New Roman" w:eastAsia="Times New Roman" w:hint="default"/>
        </w:rPr>
        <w:t>1</w:t>
      </w:r>
      <w:r>
        <w:rPr/>
        <w:t>、《教育信息化</w:t>
      </w:r>
      <w:r>
        <w:rPr>
          <w:rFonts w:ascii="Times New Roman" w:hAnsi="Times New Roman" w:cs="Times New Roman" w:eastAsia="Times New Roman" w:hint="default"/>
        </w:rPr>
        <w:t>2.0</w:t>
      </w:r>
      <w:r>
        <w:rPr/>
        <w:t>行动计划》推进信息技术与教育教学深度融合 </w:t>
      </w:r>
      <w:r>
        <w:rPr>
          <w:spacing w:val="-1"/>
        </w:rPr>
        <w:t>教育信息化的核心内容是教学信息化。教学是教育领域的中心工作，教学信息化就是要使教学手段科</w:t>
      </w:r>
    </w:p>
    <w:p>
      <w:pPr>
        <w:spacing w:after="0" w:line="386"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技化、教育传播信息化、教学方式现代化。教育信息化，要求在教育过程中较全面地运用以计算机、多媒</w:t>
      </w:r>
      <w:r>
        <w:rPr>
          <w:spacing w:val="-83"/>
        </w:rPr>
        <w:t> </w:t>
      </w:r>
      <w:r>
        <w:rPr>
          <w:spacing w:val="-83"/>
        </w:rPr>
      </w:r>
      <w:r>
        <w:rPr>
          <w:spacing w:val="-1"/>
        </w:rPr>
        <w:t>体、大数据、人工智能和网络通讯为基础的新一代信息技术，促进教育改革，从而适应正在到来的信息化</w:t>
      </w:r>
      <w:r>
        <w:rPr>
          <w:spacing w:val="-82"/>
        </w:rPr>
        <w:t> </w:t>
      </w:r>
      <w:r>
        <w:rPr>
          <w:spacing w:val="-82"/>
        </w:rPr>
      </w:r>
      <w:r>
        <w:rPr/>
        <w:t>社会提出的新要求，对深化教育改革，实施素质教育，具有重大的意义。</w:t>
      </w:r>
    </w:p>
    <w:p>
      <w:pPr>
        <w:pStyle w:val="BodyText"/>
        <w:spacing w:line="391" w:lineRule="auto"/>
        <w:ind w:left="153" w:right="1127" w:firstLine="420"/>
        <w:jc w:val="both"/>
      </w:pPr>
      <w:r>
        <w:rPr>
          <w:spacing w:val="-2"/>
        </w:rPr>
        <w:t>通过实施教育信息化</w:t>
      </w:r>
      <w:r>
        <w:rPr>
          <w:rFonts w:ascii="Times New Roman" w:hAnsi="Times New Roman" w:cs="Times New Roman" w:eastAsia="Times New Roman" w:hint="default"/>
          <w:spacing w:val="-2"/>
        </w:rPr>
        <w:t>2.0</w:t>
      </w:r>
      <w:r>
        <w:rPr>
          <w:spacing w:val="-2"/>
        </w:rPr>
        <w:t>行动计划，到</w:t>
      </w:r>
      <w:r>
        <w:rPr>
          <w:rFonts w:ascii="Times New Roman" w:hAnsi="Times New Roman" w:cs="Times New Roman" w:eastAsia="Times New Roman" w:hint="default"/>
          <w:spacing w:val="-2"/>
        </w:rPr>
        <w:t>2022</w:t>
      </w:r>
      <w:r>
        <w:rPr>
          <w:spacing w:val="-2"/>
        </w:rPr>
        <w:t>年基本实现</w:t>
      </w:r>
      <w:r>
        <w:rPr>
          <w:rFonts w:ascii="Times New Roman" w:hAnsi="Times New Roman" w:cs="Times New Roman" w:eastAsia="Times New Roman" w:hint="default"/>
          <w:spacing w:val="-2"/>
        </w:rPr>
        <w:t>“</w:t>
      </w:r>
      <w:r>
        <w:rPr>
          <w:spacing w:val="-2"/>
        </w:rPr>
        <w:t>三全两高一大</w:t>
      </w:r>
      <w:r>
        <w:rPr>
          <w:rFonts w:ascii="Times New Roman" w:hAnsi="Times New Roman" w:cs="Times New Roman" w:eastAsia="Times New Roman" w:hint="default"/>
          <w:spacing w:val="-2"/>
        </w:rPr>
        <w:t>”</w:t>
      </w:r>
      <w:r>
        <w:rPr>
          <w:spacing w:val="-2"/>
        </w:rPr>
        <w:t>的发展目标，即教学应用覆盖全</w:t>
      </w:r>
      <w:r>
        <w:rPr/>
        <w:t> </w:t>
      </w:r>
      <w:r>
        <w:rPr>
          <w:spacing w:val="-1"/>
        </w:rPr>
        <w:t>体教师、学习应用覆盖全体适龄学生、数字校园建设覆盖全体学校，信息化应用水平和师生信息素养普遍</w:t>
      </w:r>
      <w:r>
        <w:rPr>
          <w:spacing w:val="-83"/>
        </w:rPr>
        <w:t> </w:t>
      </w:r>
      <w:r>
        <w:rPr>
          <w:spacing w:val="-83"/>
        </w:rPr>
      </w:r>
      <w:r>
        <w:rPr/>
        <w:t>提高，建成</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教育</w:t>
      </w:r>
      <w:r>
        <w:rPr>
          <w:rFonts w:ascii="Times New Roman" w:hAnsi="Times New Roman" w:cs="Times New Roman" w:eastAsia="Times New Roman" w:hint="default"/>
        </w:rPr>
        <w:t>”</w:t>
      </w:r>
      <w:r>
        <w:rPr/>
        <w:t>大平台，推动从教育专用资源向教育大资源转变、从提升师生信息技术应用能</w:t>
      </w:r>
      <w:r>
        <w:rPr>
          <w:spacing w:val="-29"/>
        </w:rPr>
        <w:t> </w:t>
      </w:r>
      <w:r>
        <w:rPr>
          <w:spacing w:val="-29"/>
        </w:rPr>
      </w:r>
      <w:r>
        <w:rPr/>
        <w:t>力向全面提升其信息素养转变、从融合应用向创新发展转变，努力构建</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条件下的人才培养新模</w:t>
      </w:r>
      <w:r>
        <w:rPr>
          <w:spacing w:val="-27"/>
        </w:rPr>
        <w:t> </w:t>
      </w:r>
      <w:r>
        <w:rPr>
          <w:spacing w:val="-27"/>
        </w:rPr>
      </w:r>
      <w:r>
        <w:rPr/>
        <w:t>式、发展基于互联网的教育服务新模式、探索信息时代教育治理新模式。</w:t>
      </w:r>
    </w:p>
    <w:p>
      <w:pPr>
        <w:pStyle w:val="BodyText"/>
        <w:spacing w:line="386" w:lineRule="auto" w:before="61"/>
        <w:ind w:left="573" w:right="1113" w:hanging="1"/>
        <w:jc w:val="left"/>
      </w:pPr>
      <w:r>
        <w:rPr>
          <w:rFonts w:ascii="Times New Roman" w:hAnsi="Times New Roman" w:cs="Times New Roman" w:eastAsia="Times New Roman" w:hint="default"/>
        </w:rPr>
        <w:t>2</w:t>
      </w:r>
      <w:r>
        <w:rPr/>
        <w:t>、《中国教育现代化</w:t>
      </w:r>
      <w:r>
        <w:rPr>
          <w:rFonts w:ascii="Times New Roman" w:hAnsi="Times New Roman" w:cs="Times New Roman" w:eastAsia="Times New Roman" w:hint="default"/>
        </w:rPr>
        <w:t>2035</w:t>
      </w:r>
      <w:r>
        <w:rPr/>
        <w:t>》提出加快信息化时代教育变革 </w:t>
      </w:r>
      <w:r>
        <w:rPr>
          <w:spacing w:val="-1"/>
        </w:rPr>
        <w:t>建设智能化校园，统筹建设一体化智能化教学、管理与服务平台。利用现代技术加快推动人才培养模</w:t>
      </w:r>
    </w:p>
    <w:p>
      <w:pPr>
        <w:pStyle w:val="BodyText"/>
        <w:spacing w:line="408" w:lineRule="auto" w:before="65"/>
        <w:ind w:left="153" w:right="1022"/>
        <w:jc w:val="left"/>
      </w:pPr>
      <w:r>
        <w:rPr>
          <w:spacing w:val="-3"/>
        </w:rPr>
        <w:t>式改革，实现规模化教育与个性化培养的有机结合。创新教育服务业态，建立数字教育资源共建共享机制，</w:t>
      </w:r>
      <w:r>
        <w:rPr>
          <w:spacing w:val="-90"/>
        </w:rPr>
        <w:t> </w:t>
      </w:r>
      <w:r>
        <w:rPr>
          <w:spacing w:val="-90"/>
        </w:rPr>
      </w:r>
      <w:r>
        <w:rPr/>
        <w:t>完善利益分配机制、知识产权保护制度和新型教育服务监管制度。推进教育治理方式变革，加快形成现代</w:t>
      </w:r>
      <w:r>
        <w:rPr/>
        <w:t> 化的教育管理与监测体系，推进管理精准化和决策科学化。</w:t>
      </w:r>
    </w:p>
    <w:p>
      <w:pPr>
        <w:pStyle w:val="BodyText"/>
        <w:spacing w:line="400" w:lineRule="auto"/>
        <w:ind w:left="153" w:right="1108" w:firstLine="420"/>
        <w:jc w:val="both"/>
      </w:pPr>
      <w:r>
        <w:rPr>
          <w:spacing w:val="-1"/>
        </w:rPr>
        <w:t>为确保教育现代化目标任务的实现，《中国教育现代化</w:t>
      </w:r>
      <w:r>
        <w:rPr>
          <w:rFonts w:ascii="Times New Roman" w:hAnsi="Times New Roman" w:cs="Times New Roman" w:eastAsia="Times New Roman" w:hint="default"/>
          <w:spacing w:val="-1"/>
        </w:rPr>
        <w:t>2035</w:t>
      </w:r>
      <w:r>
        <w:rPr>
          <w:spacing w:val="-1"/>
        </w:rPr>
        <w:t>》还明确了在财政支持上的保障措施：完</w:t>
      </w:r>
      <w:r>
        <w:rPr/>
        <w:t> </w:t>
      </w:r>
      <w:r>
        <w:rPr>
          <w:spacing w:val="-1"/>
        </w:rPr>
        <w:t>善教育现代化投入支撑体制。健全保证财政教育投入持续稳定增长的长效机制，确保财政一般公共预算教</w:t>
      </w:r>
      <w:r>
        <w:rPr>
          <w:spacing w:val="-81"/>
        </w:rPr>
        <w:t> </w:t>
      </w:r>
      <w:r>
        <w:rPr>
          <w:spacing w:val="-81"/>
        </w:rPr>
      </w:r>
      <w:r>
        <w:rPr>
          <w:spacing w:val="-1"/>
        </w:rPr>
        <w:t>育支出逐年只增不减，确保按在校学生人数平均的一般公共预算教育支出逐年只增不减，保证国家财政性</w:t>
      </w:r>
      <w:r>
        <w:rPr>
          <w:spacing w:val="-81"/>
        </w:rPr>
        <w:t> </w:t>
      </w:r>
      <w:r>
        <w:rPr>
          <w:spacing w:val="-81"/>
        </w:rPr>
      </w:r>
      <w:r>
        <w:rPr>
          <w:spacing w:val="-2"/>
        </w:rPr>
        <w:t>教育经费支出占国内生产总值的比例一般不低于</w:t>
      </w:r>
      <w:r>
        <w:rPr>
          <w:rFonts w:ascii="Times New Roman" w:hAnsi="Times New Roman" w:cs="Times New Roman" w:eastAsia="Times New Roman" w:hint="default"/>
          <w:spacing w:val="-2"/>
        </w:rPr>
        <w:t>4%</w:t>
      </w:r>
      <w:r>
        <w:rPr>
          <w:spacing w:val="-2"/>
        </w:rPr>
        <w:t>。依法落实各级政府教育支出责任，完善多渠道教育经</w:t>
      </w:r>
      <w:r>
        <w:rPr/>
        <w:t> </w:t>
      </w:r>
      <w:r>
        <w:rPr>
          <w:spacing w:val="-1"/>
        </w:rPr>
        <w:t>费筹措体制，完善国家、社会和受教育者合理分担非义务教育培养成本的机制，支持和规范社会力量兴办</w:t>
      </w:r>
      <w:r>
        <w:rPr>
          <w:spacing w:val="-83"/>
        </w:rPr>
        <w:t> </w:t>
      </w:r>
      <w:r>
        <w:rPr>
          <w:spacing w:val="-83"/>
        </w:rPr>
      </w:r>
      <w:r>
        <w:rPr/>
        <w:t>教育。优化教育经费使用结构，全面实施绩效管理，建立健全全覆盖全过程全方位的教育经费监管体系， 全面提高经费使用效益。</w:t>
      </w:r>
    </w:p>
    <w:p>
      <w:pPr>
        <w:pStyle w:val="Heading3"/>
        <w:spacing w:line="408" w:lineRule="auto" w:before="52"/>
        <w:ind w:left="573" w:right="7801"/>
        <w:jc w:val="left"/>
        <w:rPr>
          <w:b w:val="0"/>
          <w:bCs w:val="0"/>
        </w:rPr>
      </w:pPr>
      <w:r>
        <w:rPr/>
        <w:t>（二）公司主要从事业务</w:t>
      </w:r>
      <w:r>
        <w:rPr>
          <w:w w:val="99"/>
        </w:rPr>
        <w:t> </w:t>
      </w:r>
      <w:r>
        <w:rPr/>
        <w:t>一、智慧校园应用解决方案</w:t>
      </w:r>
      <w:r>
        <w:rPr>
          <w:b w:val="0"/>
          <w:bCs w:val="0"/>
        </w:rPr>
      </w:r>
    </w:p>
    <w:p>
      <w:pPr>
        <w:pStyle w:val="BodyText"/>
        <w:spacing w:line="408" w:lineRule="auto"/>
        <w:ind w:left="153" w:right="1131" w:firstLine="420"/>
        <w:jc w:val="both"/>
      </w:pPr>
      <w:r>
        <w:rPr>
          <w:spacing w:val="-1"/>
        </w:rPr>
        <w:t>智慧校园应用解决方案在传统一卡通的基础上，通过提供全面的移动互联网、大数据、云计算、物联</w:t>
      </w:r>
      <w:r>
        <w:rPr/>
        <w:t> </w:t>
      </w:r>
      <w:r>
        <w:rPr>
          <w:spacing w:val="-1"/>
        </w:rPr>
        <w:t>网服务，以校园内教师、学生、管理者等电子身份账户为校园信息化重要核心基础入口，覆盖服务校园生</w:t>
      </w:r>
      <w:r>
        <w:rPr>
          <w:spacing w:val="-82"/>
        </w:rPr>
        <w:t> </w:t>
      </w:r>
      <w:r>
        <w:rPr>
          <w:spacing w:val="-82"/>
        </w:rPr>
      </w:r>
      <w:r>
        <w:rPr>
          <w:spacing w:val="-1"/>
        </w:rPr>
        <w:t>活、教育、教学管理等多场景，为全面建设高校智慧校园提供多领域支撑并奠定夯实基础。多年深耕校园</w:t>
      </w:r>
      <w:r>
        <w:rPr>
          <w:spacing w:val="-82"/>
        </w:rPr>
        <w:t> </w:t>
      </w:r>
      <w:r>
        <w:rPr>
          <w:spacing w:val="-82"/>
        </w:rPr>
      </w:r>
      <w:r>
        <w:rPr>
          <w:spacing w:val="-1"/>
        </w:rPr>
        <w:t>领域，使得公司竞争优势不断加强，优质客户规模逐年扩大。公司凭借强大的研发能力，一流的产品制造</w:t>
      </w:r>
      <w:r>
        <w:rPr>
          <w:spacing w:val="-82"/>
        </w:rPr>
        <w:t> </w:t>
      </w:r>
      <w:r>
        <w:rPr>
          <w:spacing w:val="-82"/>
        </w:rPr>
      </w:r>
      <w:r>
        <w:rPr>
          <w:spacing w:val="-1"/>
        </w:rPr>
        <w:t>能力、优质深度的全国直销服务体系具备较强竞争优势。人脸识别、虚拟卡、扫码付、大数据等技术广泛</w:t>
      </w:r>
      <w:r>
        <w:rPr>
          <w:spacing w:val="-83"/>
        </w:rPr>
        <w:t> </w:t>
      </w:r>
      <w:r>
        <w:rPr>
          <w:spacing w:val="-83"/>
        </w:rPr>
      </w:r>
      <w:r>
        <w:rPr>
          <w:spacing w:val="-1"/>
        </w:rPr>
        <w:t>深入应用于不同产品和应用中，覆盖以后勤服务、能源管控、学生服务等为代表的生活管理领域，以教务</w:t>
      </w:r>
      <w:r>
        <w:rPr>
          <w:spacing w:val="-82"/>
        </w:rPr>
        <w:t> </w:t>
      </w:r>
      <w:r>
        <w:rPr>
          <w:spacing w:val="-82"/>
        </w:rPr>
      </w:r>
      <w:r>
        <w:rPr/>
        <w:t>教学管理、缴费管理、资产管理为代表的校园工作管理领域。</w:t>
      </w:r>
    </w:p>
    <w:p>
      <w:pPr>
        <w:pStyle w:val="BodyText"/>
        <w:spacing w:line="240" w:lineRule="auto"/>
        <w:ind w:left="573" w:right="993"/>
        <w:jc w:val="left"/>
      </w:pPr>
      <w:r>
        <w:rPr/>
        <w:t>报告期内，公司与蚂蚁金服战略合作，借助蚂蚁金服强大的技术优势，深度融合人脸识别算法，优化</w:t>
      </w:r>
    </w:p>
    <w:p>
      <w:pPr>
        <w:spacing w:after="0" w:line="240"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1"/>
        <w:jc w:val="left"/>
      </w:pPr>
      <w:r>
        <w:rPr/>
        <w:t>人脸认证服务平台，极大提升了公司的技术实力与多场景应用能力。目前已实现高校场景人脸识别应用的 全覆盖，推出自主研发的人脸识别消费终端、人脸识别点餐终端、人脸识别门禁、人脸识别通道、人脸识 别电子班牌、人脸识别考勤机、人脸迎新机、人脸签到机等，满足高校内各色场景人脸识别需求，构建智 慧校园新生态。公司与支付宝深度合作推出的校园码，可以实现全场景卡、码、脸双离线核身支付及合约 记账，即通过学校授信学生的信用额度及离校控制机制，以及依托支付宝、完美数联的核身认证以确保实 现双离线支付交易的安全机制。同时，公司基于物联网、云计算关键技术研发了水电能耗资源领域信息化 </w:t>
      </w:r>
      <w:r>
        <w:rPr>
          <w:spacing w:val="-3"/>
        </w:rPr>
        <w:t>管理，为学校客户群体提供对水、电资源的在线实时检测、数据采集、计量、付费、统计分析、预警报警、</w:t>
      </w:r>
      <w:r>
        <w:rPr>
          <w:spacing w:val="-90"/>
        </w:rPr>
        <w:t> </w:t>
      </w:r>
      <w:r>
        <w:rPr>
          <w:spacing w:val="-90"/>
        </w:rPr>
      </w:r>
      <w:r>
        <w:rPr/>
        <w:t>智能管控等服务，实现资源的实时化、可视化、智能化的管理。在用水安全方面，实现智能超温断电、恶</w:t>
      </w:r>
      <w:r>
        <w:rPr/>
        <w:t> 载断电、超载断电，防止用电不规范引发的安全事件。报告期内，公司智慧校园应用解决方案服务客户数 量持续增长，为河南理工大学、重庆理工大学、喀什大学、浙江师范大学、西南石油大学等高校上线了人 脸生物识别全场景核身系统、统一支付平台、大数据服务平台、校园综合收费服务平台等业务模块，提高 了校方的工作效率和信息化管理水平，方便学校师生生活。</w:t>
      </w:r>
    </w:p>
    <w:p>
      <w:pPr>
        <w:pStyle w:val="BodyText"/>
        <w:spacing w:line="396" w:lineRule="auto"/>
        <w:ind w:left="153" w:right="1022" w:firstLine="420"/>
        <w:jc w:val="left"/>
      </w:pPr>
      <w:r>
        <w:rPr/>
        <w:t>报告期内，公司智能终端进一步融合互联网和物联网技术，通过打造核心硬件平台，标准化智能终端 连接能力，分层次适配各类智能操作系统及虚拟机，缩短产品研发周期，加快产品迭代。智能终端全面升 级，支持大数据高速传输，在确保终端实时在线的同时支持高并发，支持音频、视频文件播放。实现全产 </w:t>
      </w:r>
      <w:r>
        <w:rPr>
          <w:spacing w:val="-2"/>
        </w:rPr>
        <w:t>品线互联网服务的灵活加载，优化</w:t>
      </w:r>
      <w:r>
        <w:rPr>
          <w:rFonts w:ascii="Times New Roman" w:hAnsi="Times New Roman" w:cs="Times New Roman" w:eastAsia="Times New Roman" w:hint="default"/>
          <w:spacing w:val="-2"/>
        </w:rPr>
        <w:t>“</w:t>
      </w:r>
      <w:r>
        <w:rPr>
          <w:spacing w:val="-2"/>
        </w:rPr>
        <w:t>云</w:t>
      </w:r>
      <w:r>
        <w:rPr>
          <w:rFonts w:ascii="Times New Roman" w:hAnsi="Times New Roman" w:cs="Times New Roman" w:eastAsia="Times New Roman" w:hint="default"/>
          <w:spacing w:val="-2"/>
        </w:rPr>
        <w:t>+</w:t>
      </w:r>
      <w:r>
        <w:rPr>
          <w:spacing w:val="-2"/>
        </w:rPr>
        <w:t>端</w:t>
      </w:r>
      <w:r>
        <w:rPr>
          <w:rFonts w:ascii="Times New Roman" w:hAnsi="Times New Roman" w:cs="Times New Roman" w:eastAsia="Times New Roman" w:hint="default"/>
          <w:spacing w:val="-2"/>
        </w:rPr>
        <w:t>”</w:t>
      </w:r>
      <w:r>
        <w:rPr>
          <w:spacing w:val="-2"/>
        </w:rPr>
        <w:t>的典型框架。围绕智能终端的</w:t>
      </w:r>
      <w:r>
        <w:rPr>
          <w:rFonts w:ascii="Times New Roman" w:hAnsi="Times New Roman" w:cs="Times New Roman" w:eastAsia="Times New Roman" w:hint="default"/>
          <w:spacing w:val="-2"/>
        </w:rPr>
        <w:t>“</w:t>
      </w:r>
      <w:r>
        <w:rPr>
          <w:spacing w:val="-2"/>
        </w:rPr>
        <w:t>智慧化</w:t>
      </w:r>
      <w:r>
        <w:rPr>
          <w:rFonts w:ascii="Times New Roman" w:hAnsi="Times New Roman" w:cs="Times New Roman" w:eastAsia="Times New Roman" w:hint="default"/>
          <w:spacing w:val="-2"/>
        </w:rPr>
        <w:t>”</w:t>
      </w:r>
      <w:r>
        <w:rPr>
          <w:spacing w:val="-2"/>
        </w:rPr>
        <w:t>，应用智能传感互联、生</w:t>
      </w:r>
      <w:r>
        <w:rPr>
          <w:spacing w:val="-103"/>
        </w:rPr>
        <w:t> </w:t>
      </w:r>
      <w:r>
        <w:rPr>
          <w:spacing w:val="-103"/>
        </w:rPr>
      </w:r>
      <w:r>
        <w:rPr>
          <w:spacing w:val="-2"/>
        </w:rPr>
        <w:t>物识别、新型显示、嵌入式</w:t>
      </w:r>
      <w:r>
        <w:rPr>
          <w:rFonts w:ascii="Times New Roman" w:hAnsi="Times New Roman" w:cs="Times New Roman" w:eastAsia="Times New Roman" w:hint="default"/>
          <w:spacing w:val="-2"/>
        </w:rPr>
        <w:t>AI</w:t>
      </w:r>
      <w:r>
        <w:rPr>
          <w:spacing w:val="-2"/>
        </w:rPr>
        <w:t>引擎、边缘计算、</w:t>
      </w:r>
      <w:r>
        <w:rPr>
          <w:rFonts w:ascii="Times New Roman" w:hAnsi="Times New Roman" w:cs="Times New Roman" w:eastAsia="Times New Roman" w:hint="default"/>
          <w:spacing w:val="-2"/>
        </w:rPr>
        <w:t>5G</w:t>
      </w:r>
      <w:r>
        <w:rPr>
          <w:spacing w:val="-2"/>
        </w:rPr>
        <w:t>通讯等技术，进一步提升小额支付、水电管理、身份识</w:t>
      </w:r>
      <w:r>
        <w:rPr>
          <w:spacing w:val="-94"/>
        </w:rPr>
        <w:t> </w:t>
      </w:r>
      <w:r>
        <w:rPr>
          <w:spacing w:val="-94"/>
        </w:rPr>
      </w:r>
      <w:r>
        <w:rPr>
          <w:spacing w:val="-3"/>
        </w:rPr>
        <w:t>别、图书借阅、自助服务等场景的终端性能，将智能终端承载的轻应用打造成校园企业用户新入口。同时，</w:t>
      </w:r>
      <w:r>
        <w:rPr>
          <w:spacing w:val="-96"/>
        </w:rPr>
        <w:t> </w:t>
      </w:r>
      <w:r>
        <w:rPr>
          <w:spacing w:val="-96"/>
        </w:rPr>
      </w:r>
      <w:r>
        <w:rPr/>
        <w:t>公司整合原教育科技虚拟现实产品、大数据产品、智能硬件等产品，结合高校新专业目录变化持续开发系</w:t>
      </w:r>
      <w:r>
        <w:rPr/>
        <w:t> 列的实验室产品和专业建设解决方案，包括计算机数字逻辑实验箱、计算机组成原理与体系结构实验箱、 </w:t>
      </w:r>
      <w:r>
        <w:rPr>
          <w:spacing w:val="-3"/>
        </w:rPr>
        <w:t>计算机操作系统和编译原理实验箱、大数据整合平台、大数据实训平台、人工智能实训平台、</w:t>
      </w:r>
      <w:r>
        <w:rPr>
          <w:rFonts w:ascii="Times New Roman" w:hAnsi="Times New Roman" w:cs="Times New Roman" w:eastAsia="Times New Roman" w:hint="default"/>
          <w:spacing w:val="-3"/>
        </w:rPr>
        <w:t>VR</w:t>
      </w:r>
      <w:r>
        <w:rPr>
          <w:spacing w:val="-3"/>
        </w:rPr>
        <w:t>数控仿真</w:t>
      </w:r>
      <w:r>
        <w:rPr>
          <w:spacing w:val="-72"/>
        </w:rPr>
        <w:t> </w:t>
      </w:r>
      <w:r>
        <w:rPr>
          <w:spacing w:val="-72"/>
        </w:rPr>
      </w:r>
      <w:r>
        <w:rPr/>
        <w:t>实训平台等产品。同时结合教育科技</w:t>
      </w:r>
      <w:r>
        <w:rPr>
          <w:rFonts w:ascii="Times New Roman" w:hAnsi="Times New Roman" w:cs="Times New Roman" w:eastAsia="Times New Roman" w:hint="default"/>
        </w:rPr>
        <w:t>webVR</w:t>
      </w:r>
      <w:r>
        <w:rPr/>
        <w:t>的技术与公司智慧校园整体解决方案优势，进一步升级校园云 </w:t>
      </w:r>
      <w:r>
        <w:rPr>
          <w:spacing w:val="-5"/>
        </w:rPr>
        <w:t>平台解决方案、虚拟现实教学中心、虚拟现实实验室、虚拟现实实训室、虚拟仿真实验室、</w:t>
      </w:r>
      <w:r>
        <w:rPr>
          <w:rFonts w:ascii="Times New Roman" w:hAnsi="Times New Roman" w:cs="Times New Roman" w:eastAsia="Times New Roman" w:hint="default"/>
          <w:spacing w:val="-5"/>
        </w:rPr>
        <w:t>VR</w:t>
      </w:r>
      <w:r>
        <w:rPr>
          <w:spacing w:val="-5"/>
        </w:rPr>
        <w:t>数字化校园、</w:t>
      </w:r>
      <w:r>
        <w:rPr>
          <w:spacing w:val="-75"/>
        </w:rPr>
        <w:t> </w:t>
      </w:r>
      <w:r>
        <w:rPr>
          <w:spacing w:val="-75"/>
        </w:rPr>
      </w:r>
      <w:r>
        <w:rPr>
          <w:rFonts w:ascii="Times New Roman" w:hAnsi="Times New Roman" w:cs="Times New Roman" w:eastAsia="Times New Roman" w:hint="default"/>
          <w:spacing w:val="-3"/>
        </w:rPr>
        <w:t>VR</w:t>
      </w:r>
      <w:r>
        <w:rPr>
          <w:spacing w:val="-3"/>
        </w:rPr>
        <w:t>数字博物馆等，打造沉浸式教学方式、提供一站式解决方案。同时，公司在教育部协同育人项目、师资</w:t>
      </w:r>
      <w:r>
        <w:rPr>
          <w:spacing w:val="-71"/>
        </w:rPr>
        <w:t> </w:t>
      </w:r>
      <w:r>
        <w:rPr>
          <w:spacing w:val="-71"/>
        </w:rPr>
      </w:r>
      <w:r>
        <w:rPr>
          <w:spacing w:val="-2"/>
        </w:rPr>
        <w:t>培训、专业教材、课程体系</w:t>
      </w:r>
      <w:r>
        <w:rPr>
          <w:rFonts w:ascii="Times New Roman" w:hAnsi="Times New Roman" w:cs="Times New Roman" w:eastAsia="Times New Roman" w:hint="default"/>
          <w:spacing w:val="-2"/>
        </w:rPr>
        <w:t>/</w:t>
      </w:r>
      <w:r>
        <w:rPr>
          <w:spacing w:val="-2"/>
        </w:rPr>
        <w:t>校企合作等方面也提供相应的产品和服务。</w:t>
      </w:r>
      <w:r>
        <w:rPr>
          <w:rFonts w:ascii="Times New Roman" w:hAnsi="Times New Roman" w:cs="Times New Roman" w:eastAsia="Times New Roman" w:hint="default"/>
          <w:spacing w:val="-2"/>
        </w:rPr>
        <w:t>2019</w:t>
      </w:r>
      <w:r>
        <w:rPr>
          <w:spacing w:val="-2"/>
        </w:rPr>
        <w:t>年度，智慧校园应用解决方案</w:t>
      </w:r>
      <w:r>
        <w:rPr>
          <w:spacing w:val="-94"/>
        </w:rPr>
        <w:t> </w:t>
      </w:r>
      <w:r>
        <w:rPr>
          <w:spacing w:val="-94"/>
        </w:rPr>
      </w:r>
      <w:r>
        <w:rPr/>
        <w:t>实现营业收入</w:t>
      </w:r>
      <w:r>
        <w:rPr>
          <w:rFonts w:ascii="Times New Roman" w:hAnsi="Times New Roman" w:cs="Times New Roman" w:eastAsia="Times New Roman" w:hint="default"/>
        </w:rPr>
        <w:t>54,271.51</w:t>
      </w:r>
      <w:r>
        <w:rPr/>
        <w:t>万元，比上年同期增长</w:t>
      </w:r>
      <w:r>
        <w:rPr>
          <w:rFonts w:ascii="Times New Roman" w:hAnsi="Times New Roman" w:cs="Times New Roman" w:eastAsia="Times New Roman" w:hint="default"/>
        </w:rPr>
        <w:t>9.85%</w:t>
      </w:r>
      <w:r>
        <w:rPr/>
        <w:t>。</w:t>
      </w:r>
    </w:p>
    <w:p>
      <w:pPr>
        <w:pStyle w:val="BodyText"/>
        <w:spacing w:line="408" w:lineRule="auto" w:before="26"/>
        <w:ind w:left="153" w:right="1130" w:firstLine="420"/>
        <w:jc w:val="both"/>
      </w:pPr>
      <w:r>
        <w:rPr>
          <w:spacing w:val="-1"/>
        </w:rPr>
        <w:t>抗击疫情，新开普在行动。报告期后，公司在抗击新冠肺炎疫情期间，紧跟教育部指导文件精神，为</w:t>
      </w:r>
      <w:r>
        <w:rPr/>
        <w:t> </w:t>
      </w:r>
      <w:r>
        <w:rPr>
          <w:spacing w:val="-1"/>
        </w:rPr>
        <w:t>落实《高等学校新型冠状病毒肺炎防控指南》要求推出校园全方位防控服务，打造虚拟卡全场景应用为基</w:t>
      </w:r>
      <w:r>
        <w:rPr>
          <w:spacing w:val="-83"/>
        </w:rPr>
        <w:t> </w:t>
      </w:r>
      <w:r>
        <w:rPr>
          <w:spacing w:val="-83"/>
        </w:rPr>
      </w:r>
      <w:r>
        <w:rPr>
          <w:spacing w:val="-1"/>
        </w:rPr>
        <w:t>础的疫情防控方案，以即时信息化全方位云服务产品全面提升学校疫情防控工作的即时性和准确性。公司</w:t>
      </w:r>
      <w:r>
        <w:rPr>
          <w:spacing w:val="-81"/>
        </w:rPr>
        <w:t> </w:t>
      </w:r>
      <w:r>
        <w:rPr>
          <w:spacing w:val="-81"/>
        </w:rPr>
      </w:r>
      <w:r>
        <w:rPr>
          <w:spacing w:val="-2"/>
        </w:rPr>
        <w:t>推出校园核身测温一体化系统方案，在各管控场所出入口部署人脸识别</w:t>
      </w:r>
      <w:r>
        <w:rPr>
          <w:rFonts w:ascii="Times New Roman" w:hAnsi="Times New Roman" w:cs="Times New Roman" w:eastAsia="Times New Roman" w:hint="default"/>
          <w:spacing w:val="-2"/>
        </w:rPr>
        <w:t>/</w:t>
      </w:r>
      <w:r>
        <w:rPr>
          <w:spacing w:val="-2"/>
        </w:rPr>
        <w:t>扫码</w:t>
      </w:r>
      <w:r>
        <w:rPr>
          <w:rFonts w:ascii="Times New Roman" w:hAnsi="Times New Roman" w:cs="Times New Roman" w:eastAsia="Times New Roman" w:hint="default"/>
          <w:spacing w:val="-2"/>
        </w:rPr>
        <w:t>/</w:t>
      </w:r>
      <w:r>
        <w:rPr>
          <w:spacing w:val="-2"/>
        </w:rPr>
        <w:t>刷卡</w:t>
      </w:r>
      <w:r>
        <w:rPr>
          <w:rFonts w:ascii="Times New Roman" w:hAnsi="Times New Roman" w:cs="Times New Roman" w:eastAsia="Times New Roman" w:hint="default"/>
          <w:spacing w:val="-2"/>
        </w:rPr>
        <w:t>+</w:t>
      </w:r>
      <w:r>
        <w:rPr>
          <w:spacing w:val="-2"/>
        </w:rPr>
        <w:t>测温一体化设备，认证</w:t>
      </w:r>
    </w:p>
    <w:p>
      <w:pPr>
        <w:spacing w:after="0" w:line="408" w:lineRule="auto"/>
        <w:jc w:val="both"/>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08"/>
        <w:jc w:val="both"/>
      </w:pPr>
      <w:r>
        <w:rPr>
          <w:spacing w:val="-1"/>
        </w:rPr>
        <w:t>后自动上报体温信息，精准管控人员进出的规范性，从源头实现强化校园封闭管理的要求。通过智能识别</w:t>
      </w:r>
      <w:r>
        <w:rPr>
          <w:spacing w:val="-83"/>
        </w:rPr>
        <w:t> </w:t>
      </w:r>
      <w:r>
        <w:rPr>
          <w:spacing w:val="-83"/>
        </w:rPr>
      </w:r>
      <w:r>
        <w:rPr>
          <w:spacing w:val="-1"/>
        </w:rPr>
        <w:t>设备和测温模块，将校园身份识别和测温数据采集上传，解决学校基本数据统计工作繁重、管理层决策缺</w:t>
      </w:r>
      <w:r>
        <w:rPr>
          <w:spacing w:val="-83"/>
        </w:rPr>
        <w:t> </w:t>
      </w:r>
      <w:r>
        <w:rPr>
          <w:spacing w:val="-83"/>
        </w:rPr>
      </w:r>
      <w:r>
        <w:rPr>
          <w:spacing w:val="-1"/>
        </w:rPr>
        <w:t>乏数据支撑等问题。并在大数据平台进行数据实时分析处理，使用大数据算法、传染病学理论建立校园疫</w:t>
      </w:r>
      <w:r>
        <w:rPr>
          <w:spacing w:val="-83"/>
        </w:rPr>
        <w:t> </w:t>
      </w:r>
      <w:r>
        <w:rPr>
          <w:spacing w:val="-83"/>
        </w:rPr>
      </w:r>
      <w:r>
        <w:rPr>
          <w:spacing w:val="-1"/>
        </w:rPr>
        <w:t>情分析预警、预测模型，最终使用简单易懂的数据可视化方式呈现学校疫情防控工作情况及防疫风险事件</w:t>
      </w:r>
      <w:r>
        <w:rPr>
          <w:spacing w:val="-81"/>
        </w:rPr>
        <w:t> </w:t>
      </w:r>
      <w:r>
        <w:rPr>
          <w:spacing w:val="-81"/>
        </w:rPr>
      </w:r>
      <w:r>
        <w:rPr/>
        <w:t>预警，以信息技术手段辅助学校防疫抗疫。目前，公司已经实现在校园全场景中应用人脸识别解决方案， </w:t>
      </w:r>
      <w:r>
        <w:rPr>
          <w:spacing w:val="-1"/>
        </w:rPr>
        <w:t>在各场合均可使用人脸识别进行精准人员识别管控，后台自动配置人员，并形成数据分析报告，为大数据</w:t>
      </w:r>
      <w:r>
        <w:rPr>
          <w:spacing w:val="-83"/>
        </w:rPr>
        <w:t> </w:t>
      </w:r>
      <w:r>
        <w:rPr>
          <w:spacing w:val="-83"/>
        </w:rPr>
      </w:r>
      <w:r>
        <w:rPr/>
        <w:t>分析、可视化安全校园管理提供便捷有效方式。</w:t>
      </w:r>
    </w:p>
    <w:p>
      <w:pPr>
        <w:spacing w:line="3735" w:lineRule="exact"/>
        <w:ind w:left="574" w:right="0" w:firstLine="0"/>
        <w:rPr>
          <w:rFonts w:ascii="宋体" w:hAnsi="宋体" w:cs="宋体" w:eastAsia="宋体" w:hint="default"/>
          <w:sz w:val="20"/>
          <w:szCs w:val="20"/>
        </w:rPr>
      </w:pPr>
      <w:r>
        <w:rPr>
          <w:rFonts w:ascii="宋体" w:hAnsi="宋体" w:cs="宋体" w:eastAsia="宋体" w:hint="default"/>
          <w:position w:val="-74"/>
          <w:sz w:val="20"/>
          <w:szCs w:val="20"/>
        </w:rPr>
        <w:drawing>
          <wp:inline distT="0" distB="0" distL="0" distR="0">
            <wp:extent cx="6022291" cy="237172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6022291" cy="2371725"/>
                    </a:xfrm>
                    <a:prstGeom prst="rect">
                      <a:avLst/>
                    </a:prstGeom>
                  </pic:spPr>
                </pic:pic>
              </a:graphicData>
            </a:graphic>
          </wp:inline>
        </w:drawing>
      </w:r>
      <w:r>
        <w:rPr>
          <w:rFonts w:ascii="宋体" w:hAnsi="宋体" w:cs="宋体" w:eastAsia="宋体" w:hint="default"/>
          <w:position w:val="-74"/>
          <w:sz w:val="20"/>
          <w:szCs w:val="20"/>
        </w:rPr>
      </w:r>
    </w:p>
    <w:p>
      <w:pPr>
        <w:spacing w:line="408" w:lineRule="auto" w:before="67"/>
        <w:ind w:left="573" w:right="1113" w:firstLine="0"/>
        <w:jc w:val="left"/>
        <w:rPr>
          <w:rFonts w:ascii="宋体" w:hAnsi="宋体" w:cs="宋体" w:eastAsia="宋体" w:hint="default"/>
          <w:sz w:val="21"/>
          <w:szCs w:val="21"/>
        </w:rPr>
      </w:pPr>
      <w:r>
        <w:rPr>
          <w:rFonts w:ascii="宋体" w:hAnsi="宋体" w:cs="宋体" w:eastAsia="宋体" w:hint="default"/>
          <w:b/>
          <w:bCs/>
          <w:sz w:val="21"/>
          <w:szCs w:val="21"/>
        </w:rPr>
        <w:t>二、智慧校园云平台解决方案</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智慧校园云平台解决方案通过云计算、大数据、物联网、人工智能、移动互联等技术与现有区域校园</w:t>
      </w:r>
    </w:p>
    <w:p>
      <w:pPr>
        <w:pStyle w:val="BodyText"/>
        <w:spacing w:line="398" w:lineRule="auto"/>
        <w:ind w:left="153" w:right="1128"/>
        <w:jc w:val="both"/>
      </w:pPr>
      <w:r>
        <w:rPr/>
        <w:t>生活环境、教学环境、教学过程全面进行融合，基于公司现有信息化成果，为校园提升</w:t>
      </w:r>
      <w:r>
        <w:rPr>
          <w:rFonts w:ascii="Times New Roman" w:hAnsi="Times New Roman" w:cs="Times New Roman" w:eastAsia="Times New Roman" w:hint="default"/>
        </w:rPr>
        <w:t>ICT</w:t>
      </w:r>
      <w:r>
        <w:rPr/>
        <w:t>服务水平，降</w:t>
      </w:r>
      <w:r>
        <w:rPr>
          <w:spacing w:val="-55"/>
        </w:rPr>
        <w:t> </w:t>
      </w:r>
      <w:r>
        <w:rPr>
          <w:spacing w:val="-55"/>
        </w:rPr>
      </w:r>
      <w:r>
        <w:rPr>
          <w:spacing w:val="-1"/>
        </w:rPr>
        <w:t>低建设成本，提供先进完整、稳定的综合云平台解决方案。智慧校园在校园内通过信息化技术为师生提供</w:t>
      </w:r>
      <w:r>
        <w:rPr>
          <w:spacing w:val="-83"/>
        </w:rPr>
        <w:t> </w:t>
      </w:r>
      <w:r>
        <w:rPr>
          <w:spacing w:val="-83"/>
        </w:rPr>
      </w:r>
      <w:r>
        <w:rPr>
          <w:spacing w:val="-1"/>
        </w:rPr>
        <w:t>更为便捷的数字化服务体验，随着技术的不断升级，从校园卡到虚拟卡，从刷卡支付到扫码支付再到人脸</w:t>
      </w:r>
      <w:r>
        <w:rPr>
          <w:spacing w:val="-83"/>
        </w:rPr>
        <w:t> </w:t>
      </w:r>
      <w:r>
        <w:rPr>
          <w:spacing w:val="-83"/>
        </w:rPr>
      </w:r>
      <w:r>
        <w:rPr/>
        <w:t>识别支付，互联网技术激活了师生的传统</w:t>
      </w:r>
      <w:r>
        <w:rPr>
          <w:rFonts w:ascii="Times New Roman" w:hAnsi="Times New Roman" w:cs="Times New Roman" w:eastAsia="Times New Roman" w:hint="default"/>
        </w:rPr>
        <w:t>“</w:t>
      </w:r>
      <w:r>
        <w:rPr/>
        <w:t>数字身份</w:t>
      </w:r>
      <w:r>
        <w:rPr>
          <w:rFonts w:ascii="Times New Roman" w:hAnsi="Times New Roman" w:cs="Times New Roman" w:eastAsia="Times New Roman" w:hint="default"/>
        </w:rPr>
        <w:t>”</w:t>
      </w:r>
      <w:r>
        <w:rPr/>
        <w:t>，为学校在人才培养、科学研究、管理决策、生活服 务等应用服务业务中提供完整的解决方案，成为新技术背景下的新校园服务。</w:t>
      </w:r>
    </w:p>
    <w:p>
      <w:pPr>
        <w:pStyle w:val="BodyText"/>
        <w:spacing w:line="405" w:lineRule="auto" w:before="54"/>
        <w:ind w:left="153" w:right="1022" w:firstLine="420"/>
        <w:jc w:val="left"/>
      </w:pPr>
      <w:r>
        <w:rPr/>
        <w:t>公司通过构建校园物联网、金融服务管理平台、校园生活服务平台、鉴权管理平台，为高校信息化建 </w:t>
      </w:r>
      <w:r>
        <w:rPr>
          <w:spacing w:val="-3"/>
        </w:rPr>
        <w:t>设提供基于智慧校园的顶层架构设计和全新的智能管理模式。平台采用微服务架构设计，分布式部署系统，</w:t>
      </w:r>
      <w:r>
        <w:rPr>
          <w:spacing w:val="-92"/>
        </w:rPr>
        <w:t> </w:t>
      </w:r>
      <w:r>
        <w:rPr>
          <w:spacing w:val="-92"/>
        </w:rPr>
      </w:r>
      <w:r>
        <w:rPr/>
        <w:t>建设师生、管理者电子身份全场景融合信息基础，实现全智能运维服务生态体系。将互联网</w:t>
      </w:r>
      <w:r>
        <w:rPr>
          <w:rFonts w:ascii="Times New Roman" w:hAnsi="Times New Roman" w:cs="Times New Roman" w:eastAsia="Times New Roman" w:hint="default"/>
        </w:rPr>
        <w:t>+</w:t>
      </w:r>
      <w:r>
        <w:rPr/>
        <w:t>、物联网、</w:t>
      </w:r>
      <w:r>
        <w:rPr>
          <w:spacing w:val="-48"/>
        </w:rPr>
        <w:t> </w:t>
      </w:r>
      <w:r>
        <w:rPr>
          <w:spacing w:val="-48"/>
        </w:rPr>
      </w:r>
      <w:r>
        <w:rPr/>
        <w:t>大数据、云计算等技术落地到校园信息化建设过程中，服务全体师生。报告期内进行快速技术迭代后的业</w:t>
      </w:r>
      <w:r>
        <w:rPr/>
        <w:t> 务中台，包含三个核心系统：融合收入平台、融合身份权鉴平台和基于数据的运营管理平台，通过实现设 备无关、跨业务系统融合、业务系统联动等技术，支持学校更多的边缘应用、标准应用集成、业务联动和 智能应用。</w:t>
      </w:r>
    </w:p>
    <w:p>
      <w:pPr>
        <w:pStyle w:val="BodyText"/>
        <w:spacing w:line="240" w:lineRule="auto" w:before="48"/>
        <w:ind w:left="573" w:right="993"/>
        <w:jc w:val="left"/>
      </w:pPr>
      <w:r>
        <w:rPr/>
        <w:t>报告期内，公司为多个国有商业银行总行及部分省级分行打造基于银行金融科技能力的智慧校园普惠</w:t>
      </w:r>
    </w:p>
    <w:p>
      <w:pPr>
        <w:spacing w:after="0" w:line="240"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393" w:lineRule="auto" w:before="174"/>
        <w:ind w:left="153" w:right="993"/>
        <w:jc w:val="left"/>
      </w:pPr>
      <w:r>
        <w:rPr/>
        <w:t>服务云平台，融合学校生活、学习服务领域私有云服务应用和新开普公有云</w:t>
      </w:r>
      <w:r>
        <w:rPr>
          <w:rFonts w:ascii="Times New Roman" w:hAnsi="Times New Roman" w:cs="Times New Roman" w:eastAsia="Times New Roman" w:hint="default"/>
        </w:rPr>
        <w:t>SaaS</w:t>
      </w:r>
      <w:r>
        <w:rPr/>
        <w:t>服务群以及银行普惠金融 服务能力（聚合支付、二三类账户、</w:t>
      </w:r>
      <w:r>
        <w:rPr>
          <w:rFonts w:ascii="Times New Roman" w:hAnsi="Times New Roman" w:cs="Times New Roman" w:eastAsia="Times New Roman" w:hint="default"/>
        </w:rPr>
        <w:t>B2C</w:t>
      </w:r>
      <w:r>
        <w:rPr/>
        <w:t>、</w:t>
      </w:r>
      <w:r>
        <w:rPr>
          <w:rFonts w:ascii="Times New Roman" w:hAnsi="Times New Roman" w:cs="Times New Roman" w:eastAsia="Times New Roman" w:hint="default"/>
        </w:rPr>
        <w:t>B2B</w:t>
      </w:r>
      <w:r>
        <w:rPr/>
        <w:t>），为教育信息化行业产业互联网的行业云产品服务模式</w:t>
      </w:r>
      <w:r>
        <w:rPr>
          <w:spacing w:val="-67"/>
        </w:rPr>
        <w:t> </w:t>
      </w:r>
      <w:r>
        <w:rPr>
          <w:spacing w:val="-67"/>
        </w:rPr>
      </w:r>
      <w:r>
        <w:rPr>
          <w:spacing w:val="-2"/>
        </w:rPr>
        <w:t>提出了新的解决方案。该模式为银行客户带来了</w:t>
      </w:r>
      <w:r>
        <w:rPr>
          <w:rFonts w:ascii="Times New Roman" w:hAnsi="Times New Roman" w:cs="Times New Roman" w:eastAsia="Times New Roman" w:hint="default"/>
          <w:spacing w:val="-2"/>
        </w:rPr>
        <w:t>B</w:t>
      </w:r>
      <w:r>
        <w:rPr>
          <w:spacing w:val="-2"/>
        </w:rPr>
        <w:t>端的持续连接和</w:t>
      </w:r>
      <w:r>
        <w:rPr>
          <w:rFonts w:ascii="Times New Roman" w:hAnsi="Times New Roman" w:cs="Times New Roman" w:eastAsia="Times New Roman" w:hint="default"/>
          <w:spacing w:val="-2"/>
        </w:rPr>
        <w:t>C</w:t>
      </w:r>
      <w:r>
        <w:rPr>
          <w:spacing w:val="-2"/>
        </w:rPr>
        <w:t>端增量的场景，也有利于银行客户和高</w:t>
      </w:r>
      <w:r>
        <w:rPr>
          <w:spacing w:val="-103"/>
        </w:rPr>
        <w:t> </w:t>
      </w:r>
      <w:r>
        <w:rPr>
          <w:spacing w:val="-103"/>
        </w:rPr>
      </w:r>
      <w:r>
        <w:rPr/>
        <w:t>校客户保持长久粘性提供了合作空间，助力银行数字化转型战略落地和行业投资结构优化，联合银行覆盖</w:t>
      </w:r>
      <w:r>
        <w:rPr/>
        <w:t> 智慧校园支付主题全场景，实现三方共赢。</w:t>
      </w:r>
      <w:r>
        <w:rPr>
          <w:rFonts w:ascii="Times New Roman" w:hAnsi="Times New Roman" w:cs="Times New Roman" w:eastAsia="Times New Roman" w:hint="default"/>
        </w:rPr>
        <w:t>“</w:t>
      </w:r>
      <w:r>
        <w:rPr/>
        <w:t>建融慧学</w:t>
      </w:r>
      <w:r>
        <w:rPr>
          <w:rFonts w:ascii="Times New Roman" w:hAnsi="Times New Roman" w:cs="Times New Roman" w:eastAsia="Times New Roman" w:hint="default"/>
        </w:rPr>
        <w:t>”</w:t>
      </w:r>
      <w:r>
        <w:rPr/>
        <w:t>平台是建总行在银行金融科技</w:t>
      </w:r>
      <w:r>
        <w:rPr>
          <w:rFonts w:ascii="Times New Roman" w:hAnsi="Times New Roman" w:cs="Times New Roman" w:eastAsia="Times New Roman" w:hint="default"/>
        </w:rPr>
        <w:t>“TOP+”</w:t>
      </w:r>
      <w:r>
        <w:rPr/>
        <w:t>战略下，围绕 学生校园生活场景、为业务拓展搭建的开放、共享的校园生活服务平台。在平台建设过程中，公司搭建平 台架构，开发核心功能，提供了完整的产品设计、二十余个行业</w:t>
      </w:r>
      <w:r>
        <w:rPr>
          <w:rFonts w:ascii="Times New Roman" w:hAnsi="Times New Roman" w:cs="Times New Roman" w:eastAsia="Times New Roman" w:hint="default"/>
        </w:rPr>
        <w:t>SaaS</w:t>
      </w:r>
      <w:r>
        <w:rPr/>
        <w:t>应用以及基于一卡通身份及账户体系 的认证、消费能力接口。</w:t>
      </w:r>
      <w:r>
        <w:rPr>
          <w:rFonts w:ascii="Times New Roman" w:hAnsi="Times New Roman" w:cs="Times New Roman" w:eastAsia="Times New Roman" w:hint="default"/>
        </w:rPr>
        <w:t>“</w:t>
      </w:r>
      <w:r>
        <w:rPr/>
        <w:t>建融慧学</w:t>
      </w:r>
      <w:r>
        <w:rPr>
          <w:rFonts w:ascii="Times New Roman" w:hAnsi="Times New Roman" w:cs="Times New Roman" w:eastAsia="Times New Roman" w:hint="default"/>
        </w:rPr>
        <w:t>”</w:t>
      </w:r>
      <w:r>
        <w:rPr/>
        <w:t>作为多客户移动门户，聚合了行业</w:t>
      </w:r>
      <w:r>
        <w:rPr>
          <w:rFonts w:ascii="Times New Roman" w:hAnsi="Times New Roman" w:cs="Times New Roman" w:eastAsia="Times New Roman" w:hint="default"/>
        </w:rPr>
        <w:t>SaaS</w:t>
      </w:r>
      <w:r>
        <w:rPr/>
        <w:t>场景服务（教务、校务、生活 服务），塑造校园普惠金融入口。目前</w:t>
      </w:r>
      <w:r>
        <w:rPr>
          <w:rFonts w:ascii="Times New Roman" w:hAnsi="Times New Roman" w:cs="Times New Roman" w:eastAsia="Times New Roman" w:hint="default"/>
        </w:rPr>
        <w:t>“</w:t>
      </w:r>
      <w:r>
        <w:rPr/>
        <w:t>建融慧学</w:t>
      </w:r>
      <w:r>
        <w:rPr>
          <w:rFonts w:ascii="Times New Roman" w:hAnsi="Times New Roman" w:cs="Times New Roman" w:eastAsia="Times New Roman" w:hint="default"/>
        </w:rPr>
        <w:t>”</w:t>
      </w:r>
      <w:r>
        <w:rPr/>
        <w:t>平台已上线，并在一些高校推广使用。后续公司还将和 建行</w:t>
      </w:r>
      <w:r>
        <w:rPr>
          <w:rFonts w:ascii="Times New Roman" w:hAnsi="Times New Roman" w:cs="Times New Roman" w:eastAsia="Times New Roman" w:hint="default"/>
        </w:rPr>
        <w:t>“</w:t>
      </w:r>
      <w:r>
        <w:rPr/>
        <w:t>建融慧学</w:t>
      </w:r>
      <w:r>
        <w:rPr>
          <w:rFonts w:ascii="Times New Roman" w:hAnsi="Times New Roman" w:cs="Times New Roman" w:eastAsia="Times New Roman" w:hint="default"/>
        </w:rPr>
        <w:t>”</w:t>
      </w:r>
      <w:r>
        <w:rPr/>
        <w:t>平台深入合作，公司作为建融慧学平台运营服务商，提供更多的服务接入和丰富的校园互 </w:t>
      </w:r>
      <w:r>
        <w:rPr>
          <w:spacing w:val="-2"/>
        </w:rPr>
        <w:t>联</w:t>
      </w:r>
      <w:r>
        <w:rPr>
          <w:rFonts w:ascii="Times New Roman" w:hAnsi="Times New Roman" w:cs="Times New Roman" w:eastAsia="Times New Roman" w:hint="default"/>
          <w:spacing w:val="-2"/>
        </w:rPr>
        <w:t>/</w:t>
      </w:r>
      <w:r>
        <w:rPr>
          <w:spacing w:val="-2"/>
        </w:rPr>
        <w:t>物联应用市场打造，基于银行金融科技能力，助力高校低成本、好体验的智慧校园建设。同时，公司为</w:t>
      </w:r>
      <w:r>
        <w:rPr>
          <w:spacing w:val="-93"/>
        </w:rPr>
        <w:t> </w:t>
      </w:r>
      <w:r>
        <w:rPr>
          <w:spacing w:val="-93"/>
        </w:rPr>
      </w:r>
      <w:r>
        <w:rPr>
          <w:spacing w:val="-2"/>
        </w:rPr>
        <w:t>中小学客户推出专属</w:t>
      </w:r>
      <w:r>
        <w:rPr>
          <w:rFonts w:ascii="Times New Roman" w:hAnsi="Times New Roman" w:cs="Times New Roman" w:eastAsia="Times New Roman" w:hint="default"/>
          <w:spacing w:val="-2"/>
        </w:rPr>
        <w:t>K12</w:t>
      </w:r>
      <w:r>
        <w:rPr>
          <w:spacing w:val="-2"/>
        </w:rPr>
        <w:t>智慧校园云平台，针对中小学校园分类场景，设计用户体验优、数据智能的版块，</w:t>
      </w:r>
      <w:r>
        <w:rPr>
          <w:spacing w:val="-80"/>
        </w:rPr>
        <w:t> </w:t>
      </w:r>
      <w:r>
        <w:rPr>
          <w:spacing w:val="-80"/>
        </w:rPr>
      </w:r>
      <w:r>
        <w:rPr/>
        <w:t>满足学校智慧校园可持续发展需求。包括物联平台、互联平台、运维平台、物联应用、互联应用、数据应</w:t>
      </w:r>
      <w:r>
        <w:rPr/>
        <w:t> 用、公有</w:t>
      </w:r>
      <w:r>
        <w:rPr>
          <w:rFonts w:ascii="Times New Roman" w:hAnsi="Times New Roman" w:cs="Times New Roman" w:eastAsia="Times New Roman" w:hint="default"/>
        </w:rPr>
        <w:t>/</w:t>
      </w:r>
      <w:r>
        <w:rPr/>
        <w:t>私有云服务器资源，搭建</w:t>
      </w:r>
      <w:r>
        <w:rPr>
          <w:rFonts w:ascii="Times New Roman" w:hAnsi="Times New Roman" w:cs="Times New Roman" w:eastAsia="Times New Roman" w:hint="default"/>
        </w:rPr>
        <w:t>“2+N+1”</w:t>
      </w:r>
      <w:r>
        <w:rPr/>
        <w:t>业务架构，一个用户体系，适应多类用户端。与银行合作搭建 </w:t>
      </w:r>
      <w:r>
        <w:rPr>
          <w:spacing w:val="-2"/>
        </w:rPr>
        <w:t>银行专属</w:t>
      </w:r>
      <w:r>
        <w:rPr>
          <w:rFonts w:ascii="Times New Roman" w:hAnsi="Times New Roman" w:cs="Times New Roman" w:eastAsia="Times New Roman" w:hint="default"/>
          <w:spacing w:val="-2"/>
        </w:rPr>
        <w:t>K12</w:t>
      </w:r>
      <w:r>
        <w:rPr>
          <w:spacing w:val="-2"/>
        </w:rPr>
        <w:t>智慧校园行业云平台，为中小学客户直接提供云</w:t>
      </w:r>
      <w:r>
        <w:rPr>
          <w:rFonts w:ascii="Times New Roman" w:hAnsi="Times New Roman" w:cs="Times New Roman" w:eastAsia="Times New Roman" w:hint="default"/>
          <w:spacing w:val="-2"/>
        </w:rPr>
        <w:t>+</w:t>
      </w:r>
      <w:r>
        <w:rPr>
          <w:spacing w:val="-2"/>
        </w:rPr>
        <w:t>端的服务。此外，公司为中等职业教育院校</w:t>
      </w:r>
      <w:r>
        <w:rPr>
          <w:spacing w:val="-95"/>
        </w:rPr>
        <w:t> </w:t>
      </w:r>
      <w:r>
        <w:rPr>
          <w:spacing w:val="-95"/>
        </w:rPr>
      </w:r>
      <w:r>
        <w:rPr/>
        <w:t>打造了智慧校园服务平台，通过综合利用云计算、大数据、移动互联和物联网等新一代信息技术，以综合</w:t>
      </w:r>
      <w:r>
        <w:rPr/>
        <w:t> 建设、综合应用、统一标准、资源共享为指导思想，打造实用性、先进性、扩展性、开放性平台的理念， 采用本地部署和云部署两种搭建模式，以满足学校智慧校园可持续发展需求。</w:t>
      </w:r>
      <w:r>
        <w:rPr>
          <w:rFonts w:ascii="Times New Roman" w:hAnsi="Times New Roman" w:cs="Times New Roman" w:eastAsia="Times New Roman" w:hint="default"/>
        </w:rPr>
        <w:t>2019</w:t>
      </w:r>
      <w:r>
        <w:rPr/>
        <w:t>年度，智慧校园云平台 解决方案实现营业收入</w:t>
      </w:r>
      <w:r>
        <w:rPr>
          <w:rFonts w:ascii="Times New Roman" w:hAnsi="Times New Roman" w:cs="Times New Roman" w:eastAsia="Times New Roman" w:hint="default"/>
        </w:rPr>
        <w:t>12,771.71</w:t>
      </w:r>
      <w:r>
        <w:rPr/>
        <w:t>万元，比上年同期增长</w:t>
      </w:r>
      <w:r>
        <w:rPr>
          <w:rFonts w:ascii="Times New Roman" w:hAnsi="Times New Roman" w:cs="Times New Roman" w:eastAsia="Times New Roman" w:hint="default"/>
        </w:rPr>
        <w:t>45.12%</w:t>
      </w:r>
      <w:r>
        <w:rPr/>
        <w:t>。</w:t>
      </w:r>
    </w:p>
    <w:p>
      <w:pPr>
        <w:pStyle w:val="BodyText"/>
        <w:spacing w:line="386" w:lineRule="auto" w:before="28"/>
        <w:ind w:left="573" w:right="1113"/>
        <w:jc w:val="left"/>
      </w:pPr>
      <w:r>
        <w:rPr>
          <w:rFonts w:ascii="Times New Roman" w:hAnsi="Times New Roman" w:cs="Times New Roman" w:eastAsia="Times New Roman" w:hint="default"/>
          <w:b/>
          <w:bCs/>
        </w:rPr>
        <w:t>2.1</w:t>
      </w:r>
      <w:r>
        <w:rPr>
          <w:rFonts w:ascii="宋体" w:hAnsi="宋体" w:cs="宋体" w:eastAsia="宋体" w:hint="default"/>
          <w:b/>
          <w:bCs/>
        </w:rPr>
        <w:t>数据平台</w:t>
      </w:r>
      <w:r>
        <w:rPr>
          <w:rFonts w:ascii="宋体" w:hAnsi="宋体" w:cs="宋体" w:eastAsia="宋体" w:hint="default"/>
          <w:b/>
          <w:bCs/>
          <w:w w:val="99"/>
        </w:rPr>
        <w:t> </w:t>
      </w:r>
      <w:r>
        <w:rPr/>
        <w:t>在移动互联网、云计算、物联网等技术推行中，大数据逐渐成为对于</w:t>
      </w:r>
      <w:r>
        <w:rPr>
          <w:rFonts w:ascii="Times New Roman" w:hAnsi="Times New Roman" w:cs="Times New Roman" w:eastAsia="Times New Roman" w:hint="default"/>
        </w:rPr>
        <w:t>ICT</w:t>
      </w:r>
      <w:r>
        <w:rPr/>
        <w:t>产业具有深远影响的技术变</w:t>
      </w:r>
    </w:p>
    <w:p>
      <w:pPr>
        <w:pStyle w:val="BodyText"/>
        <w:spacing w:line="393" w:lineRule="auto" w:before="35"/>
        <w:ind w:left="153" w:right="1131"/>
        <w:jc w:val="both"/>
      </w:pPr>
      <w:r>
        <w:rPr/>
        <w:t>革。公司</w:t>
      </w:r>
      <w:r>
        <w:rPr>
          <w:rFonts w:ascii="Times New Roman" w:hAnsi="Times New Roman" w:cs="Times New Roman" w:eastAsia="Times New Roman" w:hint="default"/>
        </w:rPr>
        <w:t>“</w:t>
      </w:r>
      <w:r>
        <w:rPr/>
        <w:t>高校大数据</w:t>
      </w:r>
      <w:r>
        <w:rPr>
          <w:rFonts w:ascii="Times New Roman" w:hAnsi="Times New Roman" w:cs="Times New Roman" w:eastAsia="Times New Roman" w:hint="default"/>
        </w:rPr>
        <w:t>”</w:t>
      </w:r>
      <w:r>
        <w:rPr/>
        <w:t>产品致力于以数字辅助决策和提升数据产品用户体验。随着数据应用不断丰富、数 据价值不断被挖掘，业务数据将沉淀为数据资产，数据应用也会</w:t>
      </w:r>
      <w:r>
        <w:rPr>
          <w:rFonts w:ascii="Times New Roman" w:hAnsi="Times New Roman" w:cs="Times New Roman" w:eastAsia="Times New Roman" w:hint="default"/>
        </w:rPr>
        <w:t>“</w:t>
      </w:r>
      <w:r>
        <w:rPr/>
        <w:t>反哺</w:t>
      </w:r>
      <w:r>
        <w:rPr>
          <w:rFonts w:ascii="Times New Roman" w:hAnsi="Times New Roman" w:cs="Times New Roman" w:eastAsia="Times New Roman" w:hint="default"/>
        </w:rPr>
        <w:t>”</w:t>
      </w:r>
      <w:r>
        <w:rPr/>
        <w:t>业务发展，助力高校迈向数字智能 </w:t>
      </w:r>
      <w:r>
        <w:rPr>
          <w:spacing w:val="-1"/>
        </w:rPr>
        <w:t>时代。随着大数据在高校的应用不断深入，高校各级管理者对数据指标的应用价值、数据产品体验、融合</w:t>
      </w:r>
      <w:r>
        <w:rPr>
          <w:spacing w:val="-82"/>
        </w:rPr>
        <w:t> </w:t>
      </w:r>
      <w:r>
        <w:rPr>
          <w:spacing w:val="-82"/>
        </w:rPr>
      </w:r>
      <w:r>
        <w:rPr/>
        <w:t>多业务数据分析应用的要求不断提升。</w:t>
      </w:r>
    </w:p>
    <w:p>
      <w:pPr>
        <w:pStyle w:val="BodyText"/>
        <w:spacing w:line="391" w:lineRule="auto" w:before="59"/>
        <w:ind w:left="153" w:right="1127" w:firstLine="420"/>
        <w:jc w:val="both"/>
      </w:pPr>
      <w:r>
        <w:rPr/>
        <w:t>报告期内</w:t>
      </w:r>
      <w:r>
        <w:rPr>
          <w:rFonts w:ascii="Times New Roman" w:hAnsi="Times New Roman" w:cs="Times New Roman" w:eastAsia="Times New Roman" w:hint="default"/>
        </w:rPr>
        <w:t>“</w:t>
      </w:r>
      <w:r>
        <w:rPr/>
        <w:t>高校大数据</w:t>
      </w:r>
      <w:r>
        <w:rPr>
          <w:rFonts w:ascii="Times New Roman" w:hAnsi="Times New Roman" w:cs="Times New Roman" w:eastAsia="Times New Roman" w:hint="default"/>
        </w:rPr>
        <w:t>”</w:t>
      </w:r>
      <w:r>
        <w:rPr/>
        <w:t>产品对数据原有应用和技术进行了迭代和更新，并向更多的校园数据分析场景 </w:t>
      </w:r>
      <w:r>
        <w:rPr>
          <w:spacing w:val="-1"/>
        </w:rPr>
        <w:t>进行延展。在数据应用方面，通过数据指标对人、活动、对象本身进行描述，并对三者之间交互关系进行</w:t>
      </w:r>
      <w:r>
        <w:rPr>
          <w:spacing w:val="-83"/>
        </w:rPr>
        <w:t> </w:t>
      </w:r>
      <w:r>
        <w:rPr>
          <w:spacing w:val="-83"/>
        </w:rPr>
      </w:r>
      <w:r>
        <w:rPr/>
        <w:t>数据描述，以数据指标</w:t>
      </w:r>
      <w:r>
        <w:rPr>
          <w:rFonts w:ascii="Times New Roman" w:hAnsi="Times New Roman" w:cs="Times New Roman" w:eastAsia="Times New Roman" w:hint="default"/>
        </w:rPr>
        <w:t>“</w:t>
      </w:r>
      <w:r>
        <w:rPr/>
        <w:t>绘制</w:t>
      </w:r>
      <w:r>
        <w:rPr>
          <w:rFonts w:ascii="Times New Roman" w:hAnsi="Times New Roman" w:cs="Times New Roman" w:eastAsia="Times New Roman" w:hint="default"/>
        </w:rPr>
        <w:t>”</w:t>
      </w:r>
      <w:r>
        <w:rPr/>
        <w:t>虚拟校园来映射物理校园。在技术方面，对原有技术技术进行升级迭代，采 用微服务、</w:t>
      </w:r>
      <w:r>
        <w:rPr>
          <w:rFonts w:ascii="Times New Roman" w:hAnsi="Times New Roman" w:cs="Times New Roman" w:eastAsia="Times New Roman" w:hint="default"/>
        </w:rPr>
        <w:t>ELK</w:t>
      </w:r>
      <w:r>
        <w:rPr/>
        <w:t>、</w:t>
      </w:r>
      <w:r>
        <w:rPr>
          <w:rFonts w:ascii="Times New Roman" w:hAnsi="Times New Roman" w:cs="Times New Roman" w:eastAsia="Times New Roman" w:hint="default"/>
        </w:rPr>
        <w:t>Prometheus</w:t>
      </w:r>
      <w:r>
        <w:rPr/>
        <w:t>、</w:t>
      </w:r>
      <w:r>
        <w:rPr>
          <w:rFonts w:ascii="Times New Roman" w:hAnsi="Times New Roman" w:cs="Times New Roman" w:eastAsia="Times New Roman" w:hint="default"/>
        </w:rPr>
        <w:t>Skywalking</w:t>
      </w:r>
      <w:r>
        <w:rPr/>
        <w:t>等软件技术，迭代数据可视化技术，提升用户体验；同时引入</w:t>
      </w:r>
      <w:r>
        <w:rPr>
          <w:spacing w:val="-35"/>
        </w:rPr>
        <w:t> </w:t>
      </w:r>
      <w:r>
        <w:rPr>
          <w:spacing w:val="-35"/>
        </w:rPr>
      </w:r>
      <w:r>
        <w:rPr>
          <w:rFonts w:ascii="Times New Roman" w:hAnsi="Times New Roman" w:cs="Times New Roman" w:eastAsia="Times New Roman" w:hint="default"/>
          <w:spacing w:val="-2"/>
        </w:rPr>
        <w:t>BP</w:t>
      </w:r>
      <w:r>
        <w:rPr>
          <w:spacing w:val="-2"/>
        </w:rPr>
        <w:t>神经网络、人工神经网络、社会学模型、心理学模型等算法技术，提升指标的科学性、准确性和应用价</w:t>
      </w:r>
    </w:p>
    <w:p>
      <w:pPr>
        <w:spacing w:after="0" w:line="391" w:lineRule="auto"/>
        <w:jc w:val="both"/>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90"/>
        <w:jc w:val="left"/>
      </w:pPr>
      <w:r>
        <w:rPr/>
        <w:t>值；在场景覆盖方面也在从校园卡运营、教学及管理、校园安全等场景向物联网、能源管理、全景支付、 新型冠状病毒疫情防控等更多场景延展，丰富公司智慧校园解决方案内涵。</w:t>
      </w:r>
    </w:p>
    <w:p>
      <w:pPr>
        <w:pStyle w:val="BodyText"/>
        <w:spacing w:line="386" w:lineRule="auto"/>
        <w:ind w:left="573" w:right="1113"/>
        <w:jc w:val="left"/>
      </w:pPr>
      <w:r>
        <w:rPr>
          <w:rFonts w:ascii="Times New Roman" w:hAnsi="Times New Roman" w:cs="Times New Roman" w:eastAsia="Times New Roman" w:hint="default"/>
          <w:b/>
          <w:bCs/>
        </w:rPr>
        <w:t>2.2</w:t>
      </w:r>
      <w:r>
        <w:rPr>
          <w:rFonts w:ascii="宋体" w:hAnsi="宋体" w:cs="宋体" w:eastAsia="宋体" w:hint="default"/>
          <w:b/>
          <w:bCs/>
        </w:rPr>
        <w:t>教务管理系统</w:t>
      </w:r>
      <w:r>
        <w:rPr>
          <w:rFonts w:ascii="宋体" w:hAnsi="宋体" w:cs="宋体" w:eastAsia="宋体" w:hint="default"/>
          <w:b/>
          <w:bCs/>
          <w:w w:val="99"/>
        </w:rPr>
        <w:t> </w:t>
      </w:r>
      <w:r>
        <w:rPr>
          <w:spacing w:val="-1"/>
        </w:rPr>
        <w:t>针对高校教务管理信息化普遍存在的问题和挑战，公司从全校信息化整体规划的角度出发，推出综合</w:t>
      </w:r>
    </w:p>
    <w:p>
      <w:pPr>
        <w:pStyle w:val="BodyText"/>
        <w:spacing w:line="408" w:lineRule="auto" w:before="65"/>
        <w:ind w:left="153" w:right="1129"/>
        <w:jc w:val="both"/>
      </w:pPr>
      <w:r>
        <w:rPr>
          <w:spacing w:val="-1"/>
        </w:rPr>
        <w:t>解决方案的教务管理产品，以信息化手段提供过程监控和数据分析服务，着力满足学校教务管理、学籍管</w:t>
      </w:r>
      <w:r>
        <w:rPr>
          <w:spacing w:val="-83"/>
        </w:rPr>
        <w:t> </w:t>
      </w:r>
      <w:r>
        <w:rPr>
          <w:spacing w:val="-83"/>
        </w:rPr>
      </w:r>
      <w:r>
        <w:rPr>
          <w:spacing w:val="-1"/>
        </w:rPr>
        <w:t>理、学生工作、教师队伍、教学资源、教学质量等方面的事务管理需要，有效地帮助学校解决问题，并全</w:t>
      </w:r>
      <w:r>
        <w:rPr>
          <w:spacing w:val="-83"/>
        </w:rPr>
        <w:t> </w:t>
      </w:r>
      <w:r>
        <w:rPr>
          <w:spacing w:val="-83"/>
        </w:rPr>
      </w:r>
      <w:r>
        <w:rPr/>
        <w:t>面规范教务管理过程，提升学校的综合竞争能力。</w:t>
      </w:r>
    </w:p>
    <w:p>
      <w:pPr>
        <w:pStyle w:val="BodyText"/>
        <w:spacing w:line="408" w:lineRule="auto"/>
        <w:ind w:left="153" w:right="1130" w:firstLine="420"/>
        <w:jc w:val="both"/>
      </w:pPr>
      <w:r>
        <w:rPr>
          <w:spacing w:val="-1"/>
        </w:rPr>
        <w:t>系统基于标准产品，可根据学校的个性化需求进行深度的定制开发，为客户量身打造更适合自己的教</w:t>
      </w:r>
      <w:r>
        <w:rPr/>
        <w:t> </w:t>
      </w:r>
      <w:r>
        <w:rPr>
          <w:spacing w:val="-1"/>
        </w:rPr>
        <w:t>学管理服务平台；可改变数据孤岛问题，实现全校一体化的教务信息化管理，为未来学校教学管理改革和</w:t>
      </w:r>
      <w:r>
        <w:rPr>
          <w:spacing w:val="-83"/>
        </w:rPr>
        <w:t> </w:t>
      </w:r>
      <w:r>
        <w:rPr>
          <w:spacing w:val="-83"/>
        </w:rPr>
      </w:r>
      <w:r>
        <w:rPr>
          <w:spacing w:val="-1"/>
        </w:rPr>
        <w:t>发展提供信息化支撑；可助力高校的教改和创新；可实现学校的多级管理，建立纵向的学院－院系和横向</w:t>
      </w:r>
      <w:r>
        <w:rPr>
          <w:spacing w:val="-83"/>
        </w:rPr>
        <w:t> </w:t>
      </w:r>
      <w:r>
        <w:rPr>
          <w:spacing w:val="-83"/>
        </w:rPr>
      </w:r>
      <w:r>
        <w:rPr>
          <w:spacing w:val="-1"/>
        </w:rPr>
        <w:t>的部门－部门之间的协同机制，打破部门壁垒，协同处理业务工作；可对重点业务做事前事中事后的闭环</w:t>
      </w:r>
      <w:r>
        <w:rPr>
          <w:spacing w:val="-83"/>
        </w:rPr>
        <w:t> </w:t>
      </w:r>
      <w:r>
        <w:rPr>
          <w:spacing w:val="-83"/>
        </w:rPr>
      </w:r>
      <w:r>
        <w:rPr>
          <w:spacing w:val="-1"/>
        </w:rPr>
        <w:t>保障，最大限度的避免教学事故，同时重点关注在人员和技术方面的的安全举措，杜绝系统泄露和系统入</w:t>
      </w:r>
      <w:r>
        <w:rPr>
          <w:spacing w:val="-83"/>
        </w:rPr>
        <w:t> </w:t>
      </w:r>
      <w:r>
        <w:rPr>
          <w:spacing w:val="-83"/>
        </w:rPr>
      </w:r>
      <w:r>
        <w:rPr/>
        <w:t>侵的可能性。</w:t>
      </w:r>
    </w:p>
    <w:p>
      <w:pPr>
        <w:pStyle w:val="BodyText"/>
        <w:spacing w:line="408" w:lineRule="auto"/>
        <w:ind w:left="153" w:right="1016" w:firstLine="420"/>
        <w:jc w:val="left"/>
      </w:pPr>
      <w:r>
        <w:rPr>
          <w:spacing w:val="-3"/>
        </w:rPr>
        <w:t>报告期内，公司以稳定的教学产品、专业的服务、丰富的建设经验服务高校，为国家教育管理现代化，</w:t>
      </w:r>
      <w:r>
        <w:rPr/>
        <w:t> 推进中国教育信息化可持续发展做出一份贡献。</w:t>
      </w:r>
    </w:p>
    <w:p>
      <w:pPr>
        <w:pStyle w:val="BodyText"/>
        <w:spacing w:line="386" w:lineRule="auto"/>
        <w:ind w:left="573" w:right="1113"/>
        <w:jc w:val="left"/>
      </w:pPr>
      <w:r>
        <w:rPr>
          <w:rFonts w:ascii="Times New Roman" w:hAnsi="Times New Roman" w:cs="Times New Roman" w:eastAsia="Times New Roman" w:hint="default"/>
          <w:b/>
          <w:bCs/>
        </w:rPr>
        <w:t>2.3</w:t>
      </w:r>
      <w:r>
        <w:rPr>
          <w:rFonts w:ascii="宋体" w:hAnsi="宋体" w:cs="宋体" w:eastAsia="宋体" w:hint="default"/>
          <w:b/>
          <w:bCs/>
        </w:rPr>
        <w:t>物联网平台</w:t>
      </w:r>
      <w:r>
        <w:rPr>
          <w:rFonts w:ascii="宋体" w:hAnsi="宋体" w:cs="宋体" w:eastAsia="宋体" w:hint="default"/>
          <w:b/>
          <w:bCs/>
          <w:w w:val="99"/>
        </w:rPr>
        <w:t> </w:t>
      </w:r>
      <w:r>
        <w:rPr>
          <w:spacing w:val="-1"/>
        </w:rPr>
        <w:t>物联网平台为学校、企业等智慧化业务系统提供物联网解决方案，增强对供应商的管控能力。物联网</w:t>
      </w:r>
    </w:p>
    <w:p>
      <w:pPr>
        <w:pStyle w:val="BodyText"/>
        <w:spacing w:line="398" w:lineRule="auto" w:before="65"/>
        <w:ind w:left="153" w:right="993"/>
        <w:jc w:val="left"/>
      </w:pPr>
      <w:r>
        <w:rPr/>
        <w:t>平台为设备供应商赋能，提供快速、安全的接入能力，并解决高可用、实时性、私密性、开放性等难点。 </w:t>
      </w:r>
      <w:r>
        <w:rPr>
          <w:spacing w:val="-2"/>
        </w:rPr>
        <w:t>公司对物联网领域进行深入探索，继续加大研发投入，不断优化</w:t>
      </w:r>
      <w:r>
        <w:rPr>
          <w:rFonts w:ascii="Times New Roman" w:hAnsi="Times New Roman" w:cs="Times New Roman" w:eastAsia="Times New Roman" w:hint="default"/>
          <w:spacing w:val="-2"/>
        </w:rPr>
        <w:t>M2M</w:t>
      </w:r>
      <w:r>
        <w:rPr>
          <w:spacing w:val="-2"/>
        </w:rPr>
        <w:t>技术，使所有设备之间可以进行智能</w:t>
      </w:r>
      <w:r>
        <w:rPr>
          <w:spacing w:val="-93"/>
        </w:rPr>
        <w:t> </w:t>
      </w:r>
      <w:r>
        <w:rPr>
          <w:spacing w:val="-93"/>
        </w:rPr>
      </w:r>
      <w:r>
        <w:rPr>
          <w:spacing w:val="-3"/>
        </w:rPr>
        <w:t>化、交互化的通信。同时，公司着手搭建</w:t>
      </w:r>
      <w:r>
        <w:rPr>
          <w:rFonts w:ascii="Times New Roman" w:hAnsi="Times New Roman" w:cs="Times New Roman" w:eastAsia="Times New Roman" w:hint="default"/>
          <w:spacing w:val="-3"/>
        </w:rPr>
        <w:t>“</w:t>
      </w:r>
      <w:r>
        <w:rPr>
          <w:spacing w:val="-3"/>
        </w:rPr>
        <w:t>物模型</w:t>
      </w:r>
      <w:r>
        <w:rPr>
          <w:rFonts w:ascii="Times New Roman" w:hAnsi="Times New Roman" w:cs="Times New Roman" w:eastAsia="Times New Roman" w:hint="default"/>
          <w:spacing w:val="-3"/>
        </w:rPr>
        <w:t>”</w:t>
      </w:r>
      <w:r>
        <w:rPr>
          <w:spacing w:val="-3"/>
        </w:rPr>
        <w:t>平台，旨在解决学校面临的更换供应商困难、重复建设、</w:t>
      </w:r>
      <w:r>
        <w:rPr>
          <w:spacing w:val="-69"/>
        </w:rPr>
        <w:t> </w:t>
      </w:r>
      <w:r>
        <w:rPr>
          <w:spacing w:val="-69"/>
        </w:rPr>
      </w:r>
      <w:r>
        <w:rPr/>
        <w:t>运维成本高等问题，帮助供应商缩短产品成熟周期、减少研发投入和售后成本、降低验收风险，打造成果</w:t>
      </w:r>
      <w:r>
        <w:rPr/>
        <w:t> 共享、资源节约的创新型社会。</w:t>
      </w:r>
    </w:p>
    <w:p>
      <w:pPr>
        <w:pStyle w:val="BodyText"/>
        <w:spacing w:line="405" w:lineRule="auto" w:before="54"/>
        <w:ind w:left="153" w:right="1131" w:firstLine="420"/>
        <w:jc w:val="both"/>
      </w:pPr>
      <w:r>
        <w:rPr>
          <w:spacing w:val="-1"/>
        </w:rPr>
        <w:t>报告期内，物联网平台体系衍生出物联连接平台、物联运营平台、物联函数计算平台、物联边缘智能</w:t>
      </w:r>
      <w:r>
        <w:rPr/>
        <w:t> </w:t>
      </w:r>
      <w:r>
        <w:rPr>
          <w:spacing w:val="-1"/>
        </w:rPr>
        <w:t>网关等，助力智慧教育、智慧管理、智慧安防、智慧能源、智慧环境、智慧建筑等场景。物联连接平台现</w:t>
      </w:r>
      <w:r>
        <w:rPr>
          <w:spacing w:val="-85"/>
        </w:rPr>
        <w:t> </w:t>
      </w:r>
      <w:r>
        <w:rPr>
          <w:spacing w:val="-85"/>
        </w:rPr>
      </w:r>
      <w:r>
        <w:rPr>
          <w:spacing w:val="-1"/>
        </w:rPr>
        <w:t>已在公司主流产品体系中得到应用，主要提供设备管理、应用管理、规则管理、标签管理、网关管理，监</w:t>
      </w:r>
      <w:r>
        <w:rPr>
          <w:spacing w:val="-83"/>
        </w:rPr>
        <w:t> </w:t>
      </w:r>
      <w:r>
        <w:rPr>
          <w:spacing w:val="-83"/>
        </w:rPr>
      </w:r>
      <w:r>
        <w:rPr>
          <w:spacing w:val="-1"/>
        </w:rPr>
        <w:t>控中心、在线升级、安全审计和日志查询等功能，实现对各类硬件终端的安全统一接入和管理，完成数据</w:t>
      </w:r>
      <w:r>
        <w:rPr>
          <w:spacing w:val="-82"/>
        </w:rPr>
        <w:t> </w:t>
      </w:r>
      <w:r>
        <w:rPr>
          <w:spacing w:val="-82"/>
        </w:rPr>
      </w:r>
      <w:r>
        <w:rPr/>
        <w:t>采集，减少管控成本，提升效率，实现高效运维。同时，</w:t>
      </w:r>
      <w:r>
        <w:rPr>
          <w:rFonts w:ascii="Times New Roman" w:hAnsi="Times New Roman" w:cs="Times New Roman" w:eastAsia="Times New Roman" w:hint="default"/>
        </w:rPr>
        <w:t>“</w:t>
      </w:r>
      <w:r>
        <w:rPr/>
        <w:t>物模型</w:t>
      </w:r>
      <w:r>
        <w:rPr>
          <w:rFonts w:ascii="Times New Roman" w:hAnsi="Times New Roman" w:cs="Times New Roman" w:eastAsia="Times New Roman" w:hint="default"/>
        </w:rPr>
        <w:t>”</w:t>
      </w:r>
      <w:r>
        <w:rPr/>
        <w:t>平台已研发完成，并投入使用，主要提 </w:t>
      </w:r>
      <w:r>
        <w:rPr>
          <w:spacing w:val="-1"/>
        </w:rPr>
        <w:t>供物模型的定义、客户管理、供应商管理、产品管理、应用管理、客户服务、沙箱调试等功能，缩短物联</w:t>
      </w:r>
      <w:r>
        <w:rPr>
          <w:spacing w:val="-85"/>
        </w:rPr>
        <w:t> </w:t>
      </w:r>
      <w:r>
        <w:rPr>
          <w:spacing w:val="-85"/>
        </w:rPr>
      </w:r>
      <w:r>
        <w:rPr>
          <w:spacing w:val="-1"/>
        </w:rPr>
        <w:t>系统的形成周期，降低研发、运营和运维成本，加快设备和应用供应商产品的快速接入和上线。物联边缘</w:t>
      </w:r>
      <w:r>
        <w:rPr>
          <w:spacing w:val="-82"/>
        </w:rPr>
        <w:t> </w:t>
      </w:r>
      <w:r>
        <w:rPr>
          <w:spacing w:val="-82"/>
        </w:rPr>
      </w:r>
      <w:r>
        <w:rPr>
          <w:spacing w:val="-2"/>
        </w:rPr>
        <w:t>智能网关可以提供更广泛的物联设备接入能力，为使边缘增强</w:t>
      </w:r>
      <w:r>
        <w:rPr>
          <w:rFonts w:ascii="Times New Roman" w:hAnsi="Times New Roman" w:cs="Times New Roman" w:eastAsia="Times New Roman" w:hint="default"/>
          <w:spacing w:val="-2"/>
        </w:rPr>
        <w:t>M2M</w:t>
      </w:r>
      <w:r>
        <w:rPr>
          <w:spacing w:val="-2"/>
        </w:rPr>
        <w:t>及执行更复杂更高级的任务，目前公司</w:t>
      </w:r>
    </w:p>
    <w:p>
      <w:pPr>
        <w:spacing w:after="0" w:line="405" w:lineRule="auto"/>
        <w:jc w:val="both"/>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1113"/>
        <w:jc w:val="left"/>
      </w:pPr>
      <w:r>
        <w:rPr/>
        <w:t>正在推动智能网关类产品的更新换代。</w:t>
      </w:r>
    </w:p>
    <w:p>
      <w:pPr>
        <w:spacing w:line="240" w:lineRule="auto" w:before="10"/>
        <w:rPr>
          <w:rFonts w:ascii="宋体" w:hAnsi="宋体" w:cs="宋体" w:eastAsia="宋体" w:hint="default"/>
          <w:sz w:val="14"/>
          <w:szCs w:val="14"/>
        </w:rPr>
      </w:pPr>
    </w:p>
    <w:p>
      <w:pPr>
        <w:pStyle w:val="Heading3"/>
        <w:spacing w:line="240" w:lineRule="auto"/>
        <w:ind w:left="573" w:right="1113"/>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2.4</w:t>
      </w:r>
      <w:r>
        <w:rPr/>
        <w:t>完美校园</w:t>
      </w:r>
      <w:r>
        <w:rPr>
          <w:rFonts w:ascii="Times New Roman" w:hAnsi="Times New Roman" w:cs="Times New Roman" w:eastAsia="Times New Roman" w:hint="default"/>
        </w:rPr>
        <w:t>APP</w:t>
      </w:r>
      <w:r>
        <w:rPr>
          <w:rFonts w:ascii="Times New Roman" w:hAnsi="Times New Roman" w:cs="Times New Roman" w:eastAsia="Times New Roman" w:hint="default"/>
          <w:b w:val="0"/>
          <w:bCs w:val="0"/>
        </w:rPr>
      </w:r>
    </w:p>
    <w:p>
      <w:pPr>
        <w:pStyle w:val="BodyText"/>
        <w:spacing w:line="386" w:lineRule="auto" w:before="177"/>
        <w:ind w:left="153" w:right="1128" w:firstLine="420"/>
        <w:jc w:val="both"/>
      </w:pPr>
      <w:r>
        <w:rPr/>
        <w:t>公司自</w:t>
      </w:r>
      <w:r>
        <w:rPr>
          <w:rFonts w:ascii="Times New Roman" w:hAnsi="Times New Roman" w:cs="Times New Roman" w:eastAsia="Times New Roman" w:hint="default"/>
        </w:rPr>
        <w:t>2014</w:t>
      </w:r>
      <w:r>
        <w:rPr/>
        <w:t>年推出针对大学生的移动互联网产品</w:t>
      </w:r>
      <w:r>
        <w:rPr>
          <w:rFonts w:ascii="Times New Roman" w:hAnsi="Times New Roman" w:cs="Times New Roman" w:eastAsia="Times New Roman" w:hint="default"/>
        </w:rPr>
        <w:t>“</w:t>
      </w:r>
      <w:r>
        <w:rPr/>
        <w:t>完美校园</w:t>
      </w:r>
      <w:r>
        <w:rPr>
          <w:rFonts w:ascii="Times New Roman" w:hAnsi="Times New Roman" w:cs="Times New Roman" w:eastAsia="Times New Roman" w:hint="default"/>
        </w:rPr>
        <w:t>”</w:t>
      </w:r>
      <w:r>
        <w:rPr/>
        <w:t>后，创新服务覆盖院校数量和大学生人数 </w:t>
      </w:r>
      <w:r>
        <w:rPr>
          <w:spacing w:val="-1"/>
        </w:rPr>
        <w:t>每年均快速增长。截至目前，已累计接入国内</w:t>
      </w:r>
      <w:r>
        <w:rPr>
          <w:rFonts w:ascii="Times New Roman" w:hAnsi="Times New Roman" w:cs="Times New Roman" w:eastAsia="Times New Roman" w:hint="default"/>
          <w:spacing w:val="-1"/>
        </w:rPr>
        <w:t>1000</w:t>
      </w:r>
      <w:r>
        <w:rPr>
          <w:spacing w:val="-1"/>
        </w:rPr>
        <w:t>多所高校，累计上线注册</w:t>
      </w:r>
      <w:r>
        <w:rPr>
          <w:rFonts w:ascii="Times New Roman" w:hAnsi="Times New Roman" w:cs="Times New Roman" w:eastAsia="Times New Roman" w:hint="default"/>
          <w:spacing w:val="-1"/>
        </w:rPr>
        <w:t>1400</w:t>
      </w:r>
      <w:r>
        <w:rPr>
          <w:spacing w:val="-1"/>
        </w:rPr>
        <w:t>万大学生用户，累计实名</w:t>
      </w:r>
      <w:r>
        <w:rPr>
          <w:spacing w:val="-84"/>
        </w:rPr>
        <w:t> </w:t>
      </w:r>
      <w:r>
        <w:rPr>
          <w:spacing w:val="-84"/>
        </w:rPr>
      </w:r>
      <w:r>
        <w:rPr/>
        <w:t>认证用户数量接近</w:t>
      </w:r>
      <w:r>
        <w:rPr>
          <w:rFonts w:ascii="Times New Roman" w:hAnsi="Times New Roman" w:cs="Times New Roman" w:eastAsia="Times New Roman" w:hint="default"/>
        </w:rPr>
        <w:t>1200</w:t>
      </w:r>
      <w:r>
        <w:rPr/>
        <w:t>万人。平均周活跃度保持在</w:t>
      </w:r>
      <w:r>
        <w:rPr>
          <w:rFonts w:ascii="Times New Roman" w:hAnsi="Times New Roman" w:cs="Times New Roman" w:eastAsia="Times New Roman" w:hint="default"/>
        </w:rPr>
        <w:t>20%</w:t>
      </w:r>
      <w:r>
        <w:rPr/>
        <w:t>以上，平均月活跃度为</w:t>
      </w:r>
      <w:r>
        <w:rPr>
          <w:rFonts w:ascii="Times New Roman" w:hAnsi="Times New Roman" w:cs="Times New Roman" w:eastAsia="Times New Roman" w:hint="default"/>
        </w:rPr>
        <w:t>50%</w:t>
      </w:r>
      <w:r>
        <w:rPr/>
        <w:t>左右，日活跃度保持在</w:t>
      </w:r>
      <w:r>
        <w:rPr>
          <w:spacing w:val="-69"/>
        </w:rPr>
        <w:t> </w:t>
      </w:r>
      <w:r>
        <w:rPr>
          <w:spacing w:val="-69"/>
        </w:rPr>
      </w:r>
      <w:r>
        <w:rPr>
          <w:rFonts w:ascii="Times New Roman" w:hAnsi="Times New Roman" w:cs="Times New Roman" w:eastAsia="Times New Roman" w:hint="default"/>
          <w:spacing w:val="-2"/>
        </w:rPr>
        <w:t>10%</w:t>
      </w:r>
      <w:r>
        <w:rPr>
          <w:spacing w:val="-2"/>
        </w:rPr>
        <w:t>，每天有</w:t>
      </w:r>
      <w:r>
        <w:rPr>
          <w:rFonts w:ascii="Times New Roman" w:hAnsi="Times New Roman" w:cs="Times New Roman" w:eastAsia="Times New Roman" w:hint="default"/>
          <w:spacing w:val="-2"/>
        </w:rPr>
        <w:t>100</w:t>
      </w:r>
      <w:r>
        <w:rPr>
          <w:spacing w:val="-2"/>
        </w:rPr>
        <w:t>多万学生通过</w:t>
      </w:r>
      <w:r>
        <w:rPr>
          <w:rFonts w:ascii="Times New Roman" w:hAnsi="Times New Roman" w:cs="Times New Roman" w:eastAsia="Times New Roman" w:hint="default"/>
          <w:spacing w:val="-2"/>
        </w:rPr>
        <w:t>“</w:t>
      </w:r>
      <w:r>
        <w:rPr>
          <w:spacing w:val="-2"/>
        </w:rPr>
        <w:t>完美校园</w:t>
      </w:r>
      <w:r>
        <w:rPr>
          <w:rFonts w:ascii="Times New Roman" w:hAnsi="Times New Roman" w:cs="Times New Roman" w:eastAsia="Times New Roman" w:hint="default"/>
          <w:spacing w:val="-2"/>
        </w:rPr>
        <w:t>”</w:t>
      </w:r>
      <w:r>
        <w:rPr>
          <w:spacing w:val="-2"/>
        </w:rPr>
        <w:t>获取多种多样的校园支付、学习生活、人才成长等各种各样的创</w:t>
      </w:r>
      <w:r>
        <w:rPr>
          <w:spacing w:val="-79"/>
        </w:rPr>
        <w:t> </w:t>
      </w:r>
      <w:r>
        <w:rPr>
          <w:spacing w:val="-79"/>
        </w:rPr>
      </w:r>
      <w:r>
        <w:rPr/>
        <w:t>新服务。完美校园也不断在提升自身的平台能力建设和服务质量。</w:t>
      </w:r>
    </w:p>
    <w:p>
      <w:pPr>
        <w:pStyle w:val="BodyText"/>
        <w:spacing w:line="400" w:lineRule="auto" w:before="65"/>
        <w:ind w:left="153" w:right="1129" w:firstLine="420"/>
        <w:jc w:val="both"/>
      </w:pPr>
      <w:r>
        <w:rPr/>
        <w:t>完美校园基于大数据平台、</w:t>
      </w:r>
      <w:r>
        <w:rPr>
          <w:rFonts w:ascii="Times New Roman" w:hAnsi="Times New Roman" w:cs="Times New Roman" w:eastAsia="Times New Roman" w:hint="default"/>
        </w:rPr>
        <w:t>SaaS</w:t>
      </w:r>
      <w:r>
        <w:rPr/>
        <w:t>服务、产业互联网</w:t>
      </w:r>
      <w:r>
        <w:rPr>
          <w:rFonts w:ascii="Times New Roman" w:hAnsi="Times New Roman" w:cs="Times New Roman" w:eastAsia="Times New Roman" w:hint="default"/>
        </w:rPr>
        <w:t>+</w:t>
      </w:r>
      <w:r>
        <w:rPr/>
        <w:t>物联网，除了拥有充值缴费、成绩查询、教务教</w:t>
      </w:r>
      <w:r>
        <w:rPr>
          <w:spacing w:val="1"/>
        </w:rPr>
        <w:t> </w:t>
      </w:r>
      <w:r>
        <w:rPr>
          <w:spacing w:val="-1"/>
        </w:rPr>
        <w:t>学等基础功能，还拥有校园拥挤度查询、空闲教室管理、考试信息查询、图书馆图书查询、在线报修、琴</w:t>
      </w:r>
      <w:r>
        <w:rPr>
          <w:spacing w:val="-83"/>
        </w:rPr>
        <w:t> </w:t>
      </w:r>
      <w:r>
        <w:rPr>
          <w:spacing w:val="-83"/>
        </w:rPr>
      </w:r>
      <w:r>
        <w:rPr>
          <w:spacing w:val="-1"/>
        </w:rPr>
        <w:t>房预约、大数据实验室、在线课程、人才就业等多种个性化服务功能，并改进了传统缴费的方式，完美校</w:t>
      </w:r>
      <w:r>
        <w:rPr>
          <w:spacing w:val="-83"/>
        </w:rPr>
        <w:t> </w:t>
      </w:r>
      <w:r>
        <w:rPr>
          <w:spacing w:val="-83"/>
        </w:rPr>
      </w:r>
      <w:r>
        <w:rPr>
          <w:spacing w:val="-1"/>
        </w:rPr>
        <w:t>园推出缴费轻应用和虚拟卡交易，通过</w:t>
      </w:r>
      <w:r>
        <w:rPr>
          <w:rFonts w:ascii="Times New Roman" w:hAnsi="Times New Roman" w:cs="Times New Roman" w:eastAsia="Times New Roman" w:hint="default"/>
          <w:spacing w:val="-1"/>
        </w:rPr>
        <w:t>H5</w:t>
      </w:r>
      <w:r>
        <w:rPr>
          <w:spacing w:val="-1"/>
        </w:rPr>
        <w:t>页面链接的方式嵌入在学校官方</w:t>
      </w:r>
      <w:r>
        <w:rPr>
          <w:rFonts w:ascii="Times New Roman" w:hAnsi="Times New Roman" w:cs="Times New Roman" w:eastAsia="Times New Roman" w:hint="default"/>
          <w:spacing w:val="-1"/>
        </w:rPr>
        <w:t>App</w:t>
      </w:r>
      <w:r>
        <w:rPr>
          <w:spacing w:val="-1"/>
        </w:rPr>
        <w:t>和官方微信公众号中，支持</w:t>
      </w:r>
      <w:r>
        <w:rPr>
          <w:spacing w:val="-71"/>
        </w:rPr>
        <w:t> </w:t>
      </w:r>
      <w:r>
        <w:rPr>
          <w:spacing w:val="-71"/>
        </w:rPr>
      </w:r>
      <w:r>
        <w:rPr>
          <w:spacing w:val="-1"/>
        </w:rPr>
        <w:t>微信、支付宝、银联等多种支付方式。同时可以进行虚拟卡交易，支持主动扫码支付和被动扫码付款，聚</w:t>
      </w:r>
      <w:r>
        <w:rPr>
          <w:spacing w:val="-83"/>
        </w:rPr>
        <w:t> </w:t>
      </w:r>
      <w:r>
        <w:rPr>
          <w:spacing w:val="-83"/>
        </w:rPr>
      </w:r>
      <w:r>
        <w:rPr>
          <w:spacing w:val="-1"/>
        </w:rPr>
        <w:t>合银行卡支付渠道；同时，系统记录交易流水和资金归属，资金实时归集至校方结算户，财务部门按照以</w:t>
      </w:r>
      <w:r>
        <w:rPr>
          <w:spacing w:val="-82"/>
        </w:rPr>
        <w:t> </w:t>
      </w:r>
      <w:r>
        <w:rPr>
          <w:spacing w:val="-82"/>
        </w:rPr>
      </w:r>
      <w:r>
        <w:rPr/>
        <w:t>往流程正常清结算。可以满足校方既想要便捷的支付体验又能掌握财务清结算的基础数据的需求。</w:t>
      </w:r>
    </w:p>
    <w:p>
      <w:pPr>
        <w:pStyle w:val="BodyText"/>
        <w:spacing w:line="396" w:lineRule="auto" w:before="52"/>
        <w:ind w:left="153" w:right="993" w:firstLine="420"/>
        <w:jc w:val="left"/>
      </w:pPr>
      <w:r>
        <w:rPr/>
        <w:t>报告期内，</w:t>
      </w:r>
      <w:r>
        <w:rPr>
          <w:rFonts w:ascii="Times New Roman" w:hAnsi="Times New Roman" w:cs="Times New Roman" w:eastAsia="Times New Roman" w:hint="default"/>
        </w:rPr>
        <w:t>“</w:t>
      </w:r>
      <w:r>
        <w:rPr/>
        <w:t>完美校园</w:t>
      </w:r>
      <w:r>
        <w:rPr>
          <w:rFonts w:ascii="Times New Roman" w:hAnsi="Times New Roman" w:cs="Times New Roman" w:eastAsia="Times New Roman" w:hint="default"/>
        </w:rPr>
        <w:t>”</w:t>
      </w:r>
      <w:r>
        <w:rPr/>
        <w:t>持续深化服务学生的学习生活、校园生活、教育培训、实习就业、社区服务等 方面，助力高校提供更优质的生活管理、教学管理、人才成长管理服务，帮助大学生提升校园生活质量、 </w:t>
      </w:r>
      <w:r>
        <w:rPr>
          <w:spacing w:val="-3"/>
        </w:rPr>
        <w:t>提升就业能力和素质，为高校、企业与社会提供有效的连接平台，成为高校信息化生态共建者。</w:t>
      </w:r>
      <w:r>
        <w:rPr>
          <w:rFonts w:ascii="Times New Roman" w:hAnsi="Times New Roman" w:cs="Times New Roman" w:eastAsia="Times New Roman" w:hint="default"/>
          <w:spacing w:val="-3"/>
        </w:rPr>
        <w:t>2019</w:t>
      </w:r>
      <w:r>
        <w:rPr>
          <w:spacing w:val="-3"/>
        </w:rPr>
        <w:t>年度，</w:t>
      </w:r>
      <w:r>
        <w:rPr>
          <w:spacing w:val="-92"/>
        </w:rPr>
        <w:t> </w:t>
      </w:r>
      <w:r>
        <w:rPr/>
        <w:t>完美校园与支付宝合作共同推出了支持智能终端和手机双离线的支付宝校园码，成功解决了高校在就餐高</w:t>
      </w:r>
      <w:r>
        <w:rPr/>
        <w:t> 峰期因网络、服务器、手机信息等问题无法使用手机进行移动支付的情况。目前，校园码已经在北京、河 南、江苏等</w:t>
      </w:r>
      <w:r>
        <w:rPr>
          <w:rFonts w:ascii="Times New Roman" w:hAnsi="Times New Roman" w:cs="Times New Roman" w:eastAsia="Times New Roman" w:hint="default"/>
        </w:rPr>
        <w:t>90</w:t>
      </w:r>
      <w:r>
        <w:rPr/>
        <w:t>多所高校覆盖，一方面极大降低了学校信息迈向智慧校园的升级成本，另一方面充分体现了 科技让校园更美好的企业使命。同时为进一步降低用户的使用门槛，实现</w:t>
      </w:r>
      <w:r>
        <w:rPr>
          <w:rFonts w:ascii="Times New Roman" w:hAnsi="Times New Roman" w:cs="Times New Roman" w:eastAsia="Times New Roman" w:hint="default"/>
        </w:rPr>
        <w:t>“</w:t>
      </w:r>
      <w:r>
        <w:rPr/>
        <w:t>校园服务、即用即走</w:t>
      </w:r>
      <w:r>
        <w:rPr>
          <w:rFonts w:ascii="Times New Roman" w:hAnsi="Times New Roman" w:cs="Times New Roman" w:eastAsia="Times New Roman" w:hint="default"/>
        </w:rPr>
        <w:t>”</w:t>
      </w:r>
      <w:r>
        <w:rPr/>
        <w:t>的理念， 完美校园支付宝小程序在</w:t>
      </w:r>
      <w:r>
        <w:rPr>
          <w:rFonts w:ascii="Times New Roman" w:hAnsi="Times New Roman" w:cs="Times New Roman" w:eastAsia="Times New Roman" w:hint="default"/>
        </w:rPr>
        <w:t>5</w:t>
      </w:r>
      <w:r>
        <w:rPr/>
        <w:t>月份上线，截止目前已经快速接入</w:t>
      </w:r>
      <w:r>
        <w:rPr>
          <w:rFonts w:ascii="Times New Roman" w:hAnsi="Times New Roman" w:cs="Times New Roman" w:eastAsia="Times New Roman" w:hint="default"/>
        </w:rPr>
        <w:t>800</w:t>
      </w:r>
      <w:r>
        <w:rPr/>
        <w:t>多所高校。</w:t>
      </w:r>
    </w:p>
    <w:p>
      <w:pPr>
        <w:pStyle w:val="BodyText"/>
        <w:spacing w:line="398" w:lineRule="auto" w:before="26"/>
        <w:ind w:left="153" w:right="1130" w:firstLine="420"/>
        <w:jc w:val="both"/>
      </w:pPr>
      <w:r>
        <w:rPr/>
        <w:t>在抗击新冠肺炎疫情期间，</w:t>
      </w:r>
      <w:r>
        <w:rPr>
          <w:rFonts w:ascii="Times New Roman" w:hAnsi="Times New Roman" w:cs="Times New Roman" w:eastAsia="Times New Roman" w:hint="default"/>
        </w:rPr>
        <w:t>“</w:t>
      </w:r>
      <w:r>
        <w:rPr/>
        <w:t>完美校园</w:t>
      </w:r>
      <w:r>
        <w:rPr>
          <w:rFonts w:ascii="Times New Roman" w:hAnsi="Times New Roman" w:cs="Times New Roman" w:eastAsia="Times New Roman" w:hint="default"/>
        </w:rPr>
        <w:t>”</w:t>
      </w:r>
      <w:r>
        <w:rPr/>
        <w:t>第一时间上线疫情防控系统，用大数据为校园疫情防控提供精 </w:t>
      </w:r>
      <w:r>
        <w:rPr>
          <w:spacing w:val="-1"/>
        </w:rPr>
        <w:t>准服务，全方位助力打赢疫情防控阻击战。通过为学校提供疫情防控</w:t>
      </w:r>
      <w:r>
        <w:rPr>
          <w:rFonts w:ascii="Times New Roman" w:hAnsi="Times New Roman" w:cs="Times New Roman" w:eastAsia="Times New Roman" w:hint="default"/>
          <w:spacing w:val="-1"/>
        </w:rPr>
        <w:t>SaaS</w:t>
      </w:r>
      <w:r>
        <w:rPr>
          <w:spacing w:val="-1"/>
        </w:rPr>
        <w:t>服务，方便千万大学生线上每日</w:t>
      </w:r>
      <w:r>
        <w:rPr>
          <w:spacing w:val="-82"/>
        </w:rPr>
        <w:t> </w:t>
      </w:r>
      <w:r>
        <w:rPr>
          <w:spacing w:val="-82"/>
        </w:rPr>
      </w:r>
      <w:r>
        <w:rPr>
          <w:spacing w:val="-1"/>
        </w:rPr>
        <w:t>健康状况和动向及时报备，便于学校精准掌握学生动向和近况，准确迅速地统计学校学生中确诊病例、疑</w:t>
      </w:r>
      <w:r>
        <w:rPr>
          <w:spacing w:val="-83"/>
        </w:rPr>
        <w:t> </w:t>
      </w:r>
      <w:r>
        <w:rPr>
          <w:spacing w:val="-83"/>
        </w:rPr>
      </w:r>
      <w:r>
        <w:rPr/>
        <w:t>似病例、发热情况、近期去向等数据。学校可利用</w:t>
      </w:r>
      <w:r>
        <w:rPr>
          <w:rFonts w:ascii="Times New Roman" w:hAnsi="Times New Roman" w:cs="Times New Roman" w:eastAsia="Times New Roman" w:hint="default"/>
        </w:rPr>
        <w:t>“</w:t>
      </w:r>
      <w:r>
        <w:rPr/>
        <w:t>完美校园疫情监控服务系统</w:t>
      </w:r>
      <w:r>
        <w:rPr>
          <w:rFonts w:ascii="Times New Roman" w:hAnsi="Times New Roman" w:cs="Times New Roman" w:eastAsia="Times New Roman" w:hint="default"/>
        </w:rPr>
        <w:t>”</w:t>
      </w:r>
      <w:r>
        <w:rPr/>
        <w:t>解决统计、上报、监测的 </w:t>
      </w:r>
      <w:r>
        <w:rPr>
          <w:spacing w:val="-1"/>
        </w:rPr>
        <w:t>不便，数据安全隔离，单校独立使用，大数据平台实时统计分析，掌握学生动向，为做好疫情防控提供精</w:t>
      </w:r>
      <w:r>
        <w:rPr>
          <w:spacing w:val="-83"/>
        </w:rPr>
        <w:t> </w:t>
      </w:r>
      <w:r>
        <w:rPr>
          <w:spacing w:val="-83"/>
        </w:rPr>
      </w:r>
      <w:r>
        <w:rPr>
          <w:spacing w:val="-1"/>
        </w:rPr>
        <w:t>准的数据支持。每日健康打卡方便学校统计和提醒，并按各地要求模板上报信息，同时跟踪异常人员。通</w:t>
      </w:r>
      <w:r>
        <w:rPr>
          <w:spacing w:val="-82"/>
        </w:rPr>
        <w:t> </w:t>
      </w:r>
      <w:r>
        <w:rPr>
          <w:spacing w:val="-82"/>
        </w:rPr>
      </w:r>
      <w:r>
        <w:rPr>
          <w:spacing w:val="-1"/>
        </w:rPr>
        <w:t>过电子校园卡，完成保安对异常人员的识别和登记，结合门禁和体温检测等能力，及时识别和预警。返校</w:t>
      </w:r>
      <w:r>
        <w:rPr>
          <w:spacing w:val="-82"/>
        </w:rPr>
        <w:t> </w:t>
      </w:r>
      <w:r>
        <w:rPr>
          <w:spacing w:val="-82"/>
        </w:rPr>
      </w:r>
      <w:r>
        <w:rPr/>
        <w:t>后的工作主要是出入管控和避免人员扎堆场景，通过各类出入管理，并结合</w:t>
      </w:r>
      <w:r>
        <w:rPr>
          <w:rFonts w:ascii="Times New Roman" w:hAnsi="Times New Roman" w:cs="Times New Roman" w:eastAsia="Times New Roman" w:hint="default"/>
        </w:rPr>
        <w:t>POS</w:t>
      </w:r>
      <w:r>
        <w:rPr/>
        <w:t>识别和温测，报警预警，</w:t>
      </w:r>
    </w:p>
    <w:p>
      <w:pPr>
        <w:spacing w:after="0" w:line="398" w:lineRule="auto"/>
        <w:jc w:val="both"/>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396" w:lineRule="auto" w:before="174"/>
        <w:ind w:left="153" w:right="1022"/>
        <w:jc w:val="left"/>
      </w:pPr>
      <w:r>
        <w:rPr/>
        <w:t>完成出入管控的权鉴场景；并通过点餐、各类场馆线上预约，在线学习等，避免人员扎堆。通过完美校园 在线充值、缴费、在线淋浴、在线云点餐、在线课堂、线上双选会等</w:t>
      </w:r>
      <w:r>
        <w:rPr>
          <w:rFonts w:ascii="Times New Roman" w:hAnsi="Times New Roman" w:cs="Times New Roman" w:eastAsia="Times New Roman" w:hint="default"/>
        </w:rPr>
        <w:t>SaaS</w:t>
      </w:r>
      <w:r>
        <w:rPr/>
        <w:t>模块，可避免线下人群聚集，有 效预防避免交叉感染，提高学校的服务效率。目前</w:t>
      </w:r>
      <w:r>
        <w:rPr>
          <w:rFonts w:ascii="Times New Roman" w:hAnsi="Times New Roman" w:cs="Times New Roman" w:eastAsia="Times New Roman" w:hint="default"/>
        </w:rPr>
        <w:t>“</w:t>
      </w:r>
      <w:r>
        <w:rPr/>
        <w:t>完美校园</w:t>
      </w:r>
      <w:r>
        <w:rPr>
          <w:rFonts w:ascii="Times New Roman" w:hAnsi="Times New Roman" w:cs="Times New Roman" w:eastAsia="Times New Roman" w:hint="default"/>
        </w:rPr>
        <w:t>”APP“</w:t>
      </w:r>
      <w:r>
        <w:rPr/>
        <w:t>在线课堂</w:t>
      </w:r>
      <w:r>
        <w:rPr>
          <w:rFonts w:ascii="Times New Roman" w:hAnsi="Times New Roman" w:cs="Times New Roman" w:eastAsia="Times New Roman" w:hint="default"/>
        </w:rPr>
        <w:t>”</w:t>
      </w:r>
      <w:r>
        <w:rPr/>
        <w:t>模块，已设置疫情防护、求</w:t>
      </w:r>
      <w:r>
        <w:rPr>
          <w:spacing w:val="-56"/>
        </w:rPr>
        <w:t> </w:t>
      </w:r>
      <w:r>
        <w:rPr>
          <w:spacing w:val="-56"/>
        </w:rPr>
      </w:r>
      <w:r>
        <w:rPr/>
        <w:t>职、英语、技能提升、企业空宣、生活兴趣等方面为学生提供相关课程服务。同时，</w:t>
      </w:r>
      <w:r>
        <w:rPr>
          <w:rFonts w:ascii="Times New Roman" w:hAnsi="Times New Roman" w:cs="Times New Roman" w:eastAsia="Times New Roman" w:hint="default"/>
        </w:rPr>
        <w:t>“</w:t>
      </w:r>
      <w:r>
        <w:rPr/>
        <w:t>完美校园</w:t>
      </w:r>
      <w:r>
        <w:rPr>
          <w:rFonts w:ascii="Times New Roman" w:hAnsi="Times New Roman" w:cs="Times New Roman" w:eastAsia="Times New Roman" w:hint="default"/>
        </w:rPr>
        <w:t>”</w:t>
      </w:r>
      <w:r>
        <w:rPr/>
        <w:t>推出空中 </w:t>
      </w:r>
      <w:r>
        <w:rPr>
          <w:spacing w:val="-3"/>
        </w:rPr>
        <w:t>招聘一体化解决方案，包含空中双选会、空中宣讲会及空中面试功能，配置灵活，触达全面，信息更安全。</w:t>
      </w:r>
      <w:r>
        <w:rPr>
          <w:spacing w:val="-94"/>
        </w:rPr>
        <w:t> </w:t>
      </w:r>
      <w:r>
        <w:rPr>
          <w:spacing w:val="-94"/>
        </w:rPr>
      </w:r>
      <w:r>
        <w:rPr/>
        <w:t>空中双选会模块可实现企业在线报名，线上展示参会企业信息及职位，学生在线浏览投递，支持双选会大</w:t>
      </w:r>
      <w:r>
        <w:rPr/>
        <w:t> 数据（学生报名、投递简历、面试邀约等数量）分析报告导出等功能。空中宣讲会主要依托学校官网和微 信公众号、完美校园</w:t>
      </w:r>
      <w:r>
        <w:rPr>
          <w:rFonts w:ascii="Times New Roman" w:hAnsi="Times New Roman" w:cs="Times New Roman" w:eastAsia="Times New Roman" w:hint="default"/>
        </w:rPr>
        <w:t>App</w:t>
      </w:r>
      <w:r>
        <w:rPr/>
        <w:t>等端口，举办企业单场线上专场宣讲，同时在线展示支持单位简介、招聘职位、</w:t>
      </w:r>
      <w:r>
        <w:rPr>
          <w:spacing w:val="-77"/>
        </w:rPr>
        <w:t> </w:t>
      </w:r>
      <w:r>
        <w:rPr>
          <w:spacing w:val="-77"/>
        </w:rPr>
      </w:r>
      <w:r>
        <w:rPr/>
        <w:t>宣传海报以及</w:t>
      </w:r>
      <w:r>
        <w:rPr>
          <w:rFonts w:ascii="Times New Roman" w:hAnsi="Times New Roman" w:cs="Times New Roman" w:eastAsia="Times New Roman" w:hint="default"/>
        </w:rPr>
        <w:t>PPT</w:t>
      </w:r>
      <w:r>
        <w:rPr/>
        <w:t>展示，并实时答疑；同样还能支持老师后台实时监控直播画面、空宣视频回看、宣讲会</w:t>
      </w:r>
      <w:r>
        <w:rPr>
          <w:spacing w:val="-77"/>
        </w:rPr>
        <w:t> </w:t>
      </w:r>
      <w:r>
        <w:rPr>
          <w:spacing w:val="-77"/>
        </w:rPr>
      </w:r>
      <w:r>
        <w:rPr/>
        <w:t>招聘数据分析展示和导出等高校管理功能。空中面试模块支持用人单位直接邀约学生通过</w:t>
      </w:r>
      <w:r>
        <w:rPr>
          <w:rFonts w:ascii="Times New Roman" w:hAnsi="Times New Roman" w:cs="Times New Roman" w:eastAsia="Times New Roman" w:hint="default"/>
        </w:rPr>
        <w:t>PC</w:t>
      </w:r>
      <w:r>
        <w:rPr/>
        <w:t>端、</w:t>
      </w:r>
      <w:r>
        <w:rPr>
          <w:rFonts w:ascii="Times New Roman" w:hAnsi="Times New Roman" w:cs="Times New Roman" w:eastAsia="Times New Roman" w:hint="default"/>
        </w:rPr>
        <w:t>App</w:t>
      </w:r>
      <w:r>
        <w:rPr/>
        <w:t>端无 接触面试、在线反馈面试结果、同样保障老师后台实时监测面试过程等安全防范功能。</w:t>
      </w:r>
      <w:r>
        <w:rPr>
          <w:rFonts w:ascii="Times New Roman" w:hAnsi="Times New Roman" w:cs="Times New Roman" w:eastAsia="Times New Roman" w:hint="default"/>
        </w:rPr>
        <w:t>“</w:t>
      </w:r>
      <w:r>
        <w:rPr/>
        <w:t>完美校园</w:t>
      </w:r>
      <w:r>
        <w:rPr>
          <w:rFonts w:ascii="Times New Roman" w:hAnsi="Times New Roman" w:cs="Times New Roman" w:eastAsia="Times New Roman" w:hint="default"/>
        </w:rPr>
        <w:t>”</w:t>
      </w:r>
      <w:r>
        <w:rPr/>
        <w:t>通过提 </w:t>
      </w:r>
      <w:r>
        <w:rPr>
          <w:spacing w:val="-3"/>
        </w:rPr>
        <w:t>供空中宣讲会、空中双选会和空中面试服务，实现线上投递简历，线上沟通，在线面试等，避免线下聚集，</w:t>
      </w:r>
      <w:r>
        <w:rPr>
          <w:spacing w:val="-94"/>
        </w:rPr>
        <w:t> </w:t>
      </w:r>
      <w:r>
        <w:rPr>
          <w:spacing w:val="-94"/>
        </w:rPr>
      </w:r>
      <w:r>
        <w:rPr/>
        <w:t>助力</w:t>
      </w:r>
      <w:r>
        <w:rPr>
          <w:rFonts w:ascii="Times New Roman" w:hAnsi="Times New Roman" w:cs="Times New Roman" w:eastAsia="Times New Roman" w:hint="default"/>
        </w:rPr>
        <w:t>2020</w:t>
      </w:r>
      <w:r>
        <w:rPr/>
        <w:t>春招就业季。疫情期间，公司已服务</w:t>
      </w:r>
      <w:r>
        <w:rPr>
          <w:rFonts w:ascii="Times New Roman" w:hAnsi="Times New Roman" w:cs="Times New Roman" w:eastAsia="Times New Roman" w:hint="default"/>
        </w:rPr>
        <w:t>247</w:t>
      </w:r>
      <w:r>
        <w:rPr/>
        <w:t>所高校，十万多家企业和数十万应届大学生。</w:t>
      </w:r>
    </w:p>
    <w:p>
      <w:pPr>
        <w:spacing w:line="4945" w:lineRule="exact"/>
        <w:ind w:left="578" w:right="0" w:firstLine="0"/>
        <w:rPr>
          <w:rFonts w:ascii="宋体" w:hAnsi="宋体" w:cs="宋体" w:eastAsia="宋体" w:hint="default"/>
          <w:sz w:val="20"/>
          <w:szCs w:val="20"/>
        </w:rPr>
      </w:pPr>
      <w:r>
        <w:rPr>
          <w:rFonts w:ascii="宋体" w:hAnsi="宋体" w:cs="宋体" w:eastAsia="宋体" w:hint="default"/>
          <w:position w:val="-98"/>
          <w:sz w:val="20"/>
          <w:szCs w:val="20"/>
        </w:rPr>
        <w:drawing>
          <wp:inline distT="0" distB="0" distL="0" distR="0">
            <wp:extent cx="5581056" cy="3140392"/>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4" cstate="print"/>
                    <a:stretch>
                      <a:fillRect/>
                    </a:stretch>
                  </pic:blipFill>
                  <pic:spPr>
                    <a:xfrm>
                      <a:off x="0" y="0"/>
                      <a:ext cx="5581056" cy="3140392"/>
                    </a:xfrm>
                    <a:prstGeom prst="rect">
                      <a:avLst/>
                    </a:prstGeom>
                  </pic:spPr>
                </pic:pic>
              </a:graphicData>
            </a:graphic>
          </wp:inline>
        </w:drawing>
      </w:r>
      <w:r>
        <w:rPr>
          <w:rFonts w:ascii="宋体" w:hAnsi="宋体" w:cs="宋体" w:eastAsia="宋体" w:hint="default"/>
          <w:position w:val="-98"/>
          <w:sz w:val="20"/>
          <w:szCs w:val="20"/>
        </w:rPr>
      </w:r>
    </w:p>
    <w:p>
      <w:pPr>
        <w:pStyle w:val="BodyText"/>
        <w:spacing w:line="398" w:lineRule="auto" w:before="86"/>
        <w:ind w:left="153" w:right="1131" w:firstLine="420"/>
        <w:jc w:val="both"/>
      </w:pPr>
      <w:r>
        <w:rPr>
          <w:rFonts w:ascii="Times New Roman" w:hAnsi="Times New Roman" w:cs="Times New Roman" w:eastAsia="Times New Roman" w:hint="default"/>
        </w:rPr>
        <w:t>“</w:t>
      </w:r>
      <w:r>
        <w:rPr/>
        <w:t>完美校园</w:t>
      </w:r>
      <w:r>
        <w:rPr>
          <w:rFonts w:ascii="Times New Roman" w:hAnsi="Times New Roman" w:cs="Times New Roman" w:eastAsia="Times New Roman" w:hint="default"/>
        </w:rPr>
        <w:t>”</w:t>
      </w:r>
      <w:r>
        <w:rPr/>
        <w:t>未来将持续围绕聚合内容、聚合支付、精准用户服务等业务开展人才成长各项服务升级， </w:t>
      </w:r>
      <w:r>
        <w:rPr>
          <w:spacing w:val="-1"/>
        </w:rPr>
        <w:t>成为链接企业、金融机构、社会产品及增值服务、第三方互联网服务机构及内容服务商与高校、学生的多</w:t>
      </w:r>
      <w:r>
        <w:rPr>
          <w:spacing w:val="-82"/>
        </w:rPr>
        <w:t> </w:t>
      </w:r>
      <w:r>
        <w:rPr>
          <w:spacing w:val="-82"/>
        </w:rPr>
      </w:r>
      <w:r>
        <w:rPr/>
        <w:t>应用、多服务的双边型平台。</w:t>
      </w:r>
    </w:p>
    <w:p>
      <w:pPr>
        <w:spacing w:line="408" w:lineRule="auto" w:before="54"/>
        <w:ind w:left="573" w:right="1113" w:firstLine="0"/>
        <w:jc w:val="left"/>
        <w:rPr>
          <w:rFonts w:ascii="宋体" w:hAnsi="宋体" w:cs="宋体" w:eastAsia="宋体" w:hint="default"/>
          <w:sz w:val="21"/>
          <w:szCs w:val="21"/>
        </w:rPr>
      </w:pPr>
      <w:r>
        <w:rPr>
          <w:rFonts w:ascii="宋体" w:hAnsi="宋体" w:cs="宋体" w:eastAsia="宋体" w:hint="default"/>
          <w:b/>
          <w:bCs/>
          <w:sz w:val="21"/>
          <w:szCs w:val="21"/>
        </w:rPr>
        <w:t>三、智慧政企应用解决方案</w:t>
      </w:r>
      <w:r>
        <w:rPr>
          <w:rFonts w:ascii="宋体" w:hAnsi="宋体" w:cs="宋体" w:eastAsia="宋体" w:hint="default"/>
          <w:b/>
          <w:bCs/>
          <w:w w:val="99"/>
          <w:sz w:val="21"/>
          <w:szCs w:val="21"/>
        </w:rPr>
        <w:t> </w:t>
      </w:r>
      <w:r>
        <w:rPr>
          <w:rFonts w:ascii="宋体" w:hAnsi="宋体" w:cs="宋体" w:eastAsia="宋体" w:hint="default"/>
          <w:spacing w:val="-1"/>
          <w:sz w:val="21"/>
          <w:szCs w:val="21"/>
        </w:rPr>
        <w:t>智慧政企应用解决方案以数字化智慧企业为建设目标，以建设互联互通的全应用综合后勤服务、打造</w:t>
      </w:r>
    </w:p>
    <w:p>
      <w:pPr>
        <w:pStyle w:val="BodyText"/>
        <w:spacing w:line="240" w:lineRule="auto"/>
        <w:ind w:left="153" w:right="993"/>
        <w:jc w:val="left"/>
      </w:pPr>
      <w:r>
        <w:rPr/>
        <w:t>开放融合的高效管理服务、建设全员参与的人性化自助服务、打造以运维和经营决策为核心的数据服务决</w:t>
      </w:r>
    </w:p>
    <w:p>
      <w:pPr>
        <w:spacing w:after="0" w:line="240"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398" w:lineRule="auto" w:before="174"/>
        <w:ind w:right="1129"/>
        <w:jc w:val="both"/>
      </w:pPr>
      <w:r>
        <w:rPr>
          <w:spacing w:val="-1"/>
        </w:rPr>
        <w:t>策等四个方面为出发点，从园区安防、人员管理、后勤服务、能耗监控分析、办公信息化、人员生产效率</w:t>
      </w:r>
      <w:r>
        <w:rPr>
          <w:spacing w:val="-83"/>
        </w:rPr>
        <w:t> </w:t>
      </w:r>
      <w:r>
        <w:rPr>
          <w:spacing w:val="-83"/>
        </w:rPr>
      </w:r>
      <w:r>
        <w:rPr/>
        <w:t>分析等场景提供全方位的服务。基于</w:t>
      </w:r>
      <w:r>
        <w:rPr>
          <w:rFonts w:ascii="Times New Roman" w:hAnsi="Times New Roman" w:cs="Times New Roman" w:eastAsia="Times New Roman" w:hint="default"/>
        </w:rPr>
        <w:t>“</w:t>
      </w:r>
      <w:r>
        <w:rPr/>
        <w:t>智能物联、移动互联、数据决策、开放融合</w:t>
      </w:r>
      <w:r>
        <w:rPr>
          <w:rFonts w:ascii="Times New Roman" w:hAnsi="Times New Roman" w:cs="Times New Roman" w:eastAsia="Times New Roman" w:hint="default"/>
        </w:rPr>
        <w:t>”</w:t>
      </w:r>
      <w:r>
        <w:rPr/>
        <w:t>的总体设计思路理念， 通过多种智慧应用有效实现立体安防、高效办公、智慧生活、绿色能源的企业管理。</w:t>
      </w:r>
    </w:p>
    <w:p>
      <w:pPr>
        <w:pStyle w:val="BodyText"/>
        <w:spacing w:line="408" w:lineRule="auto" w:before="54"/>
        <w:ind w:right="1108" w:firstLine="420"/>
        <w:jc w:val="both"/>
      </w:pPr>
      <w:r>
        <w:rPr/>
        <w:t>公司坚持科技赋能，助客户经营更高效的市场路线，坚持以人为本，让员工价值更卓越的产品路线， </w:t>
      </w:r>
      <w:r>
        <w:rPr>
          <w:spacing w:val="-1"/>
        </w:rPr>
        <w:t>在坚持公交和企事业两条长线业务的同时，积极开展景区、医院、政府、监狱等行业的产品方案规划，并</w:t>
      </w:r>
      <w:r>
        <w:rPr>
          <w:spacing w:val="-83"/>
        </w:rPr>
        <w:t> </w:t>
      </w:r>
      <w:r>
        <w:rPr>
          <w:spacing w:val="-83"/>
        </w:rPr>
      </w:r>
      <w:r>
        <w:rPr>
          <w:spacing w:val="-1"/>
        </w:rPr>
        <w:t>将继续采用生物识别、云计算、物联网、人工智能等新兴信息技术打造的针对新一代智慧型企业、产业园</w:t>
      </w:r>
      <w:r>
        <w:rPr>
          <w:spacing w:val="-82"/>
        </w:rPr>
        <w:t> </w:t>
      </w:r>
      <w:r>
        <w:rPr>
          <w:spacing w:val="-82"/>
        </w:rPr>
      </w:r>
      <w:r>
        <w:rPr/>
        <w:t>区等的信息化系统，不断地开拓市场，为企业客户带来更精细、更个性化的服务。</w:t>
      </w:r>
    </w:p>
    <w:p>
      <w:pPr>
        <w:pStyle w:val="BodyText"/>
        <w:spacing w:line="400" w:lineRule="auto"/>
        <w:ind w:left="153" w:right="1108" w:firstLine="420"/>
        <w:jc w:val="both"/>
      </w:pPr>
      <w:r>
        <w:rPr>
          <w:spacing w:val="-1"/>
        </w:rPr>
        <w:t>报告期内，公司推出智能出入综合管理平台，包含出入管理系统、流程管理业务中台和应用终端三部</w:t>
      </w:r>
      <w:r>
        <w:rPr/>
        <w:t> </w:t>
      </w:r>
      <w:r>
        <w:rPr>
          <w:spacing w:val="-1"/>
        </w:rPr>
        <w:t>分。通过对所有常规及非常规性出入企业的人员、车辆、物资的集中化、一体化、智能化管理，打通上至</w:t>
      </w:r>
      <w:r>
        <w:rPr>
          <w:spacing w:val="-83"/>
        </w:rPr>
        <w:t> </w:t>
      </w:r>
      <w:r>
        <w:rPr>
          <w:spacing w:val="-83"/>
        </w:rPr>
      </w:r>
      <w:r>
        <w:rPr/>
        <w:t>管理内部人员的</w:t>
      </w:r>
      <w:r>
        <w:rPr>
          <w:rFonts w:ascii="Times New Roman" w:hAnsi="Times New Roman" w:cs="Times New Roman" w:eastAsia="Times New Roman" w:hint="default"/>
        </w:rPr>
        <w:t>HR</w:t>
      </w:r>
      <w:r>
        <w:rPr/>
        <w:t>系统、</w:t>
      </w:r>
      <w:r>
        <w:rPr>
          <w:rFonts w:ascii="Times New Roman" w:hAnsi="Times New Roman" w:cs="Times New Roman" w:eastAsia="Times New Roman" w:hint="default"/>
        </w:rPr>
        <w:t>OA</w:t>
      </w:r>
      <w:r>
        <w:rPr/>
        <w:t>系统，下至泛门禁系统、车辆管理系统，内至核心生产体系的物资、仓储管</w:t>
      </w:r>
      <w:r>
        <w:rPr>
          <w:spacing w:val="-99"/>
        </w:rPr>
        <w:t> </w:t>
      </w:r>
      <w:r>
        <w:rPr>
          <w:spacing w:val="-99"/>
        </w:rPr>
      </w:r>
      <w:r>
        <w:rPr/>
        <w:t>理系统，外至临时人员出入的访客管理体系，承上启下，以</w:t>
      </w:r>
      <w:r>
        <w:rPr>
          <w:rFonts w:ascii="Times New Roman" w:hAnsi="Times New Roman" w:cs="Times New Roman" w:eastAsia="Times New Roman" w:hint="default"/>
        </w:rPr>
        <w:t>“</w:t>
      </w:r>
      <w:r>
        <w:rPr/>
        <w:t>出入管理</w:t>
      </w:r>
      <w:r>
        <w:rPr>
          <w:rFonts w:ascii="Times New Roman" w:hAnsi="Times New Roman" w:cs="Times New Roman" w:eastAsia="Times New Roman" w:hint="default"/>
        </w:rPr>
        <w:t>”</w:t>
      </w:r>
      <w:r>
        <w:rPr/>
        <w:t>为起点，按需将企业内与人、车、 </w:t>
      </w:r>
      <w:r>
        <w:rPr>
          <w:spacing w:val="-1"/>
        </w:rPr>
        <w:t>物管理有关的各大智能化体系相关联，为企业建立一个以安防管理为核心、以信息化实时流转为中轴的业</w:t>
      </w:r>
      <w:r>
        <w:rPr>
          <w:spacing w:val="-81"/>
        </w:rPr>
        <w:t> </w:t>
      </w:r>
      <w:r>
        <w:rPr>
          <w:spacing w:val="-81"/>
        </w:rPr>
      </w:r>
      <w:r>
        <w:rPr/>
        <w:t>务中台。同时，上线完美企业微信小程序，用户可通过微信小程序向用户提供员工卡充值、虚拟卡消费、 智慧点餐、访客预约和审批、考勤查询、钥匙串开门等各项一卡通自助服务。</w:t>
      </w:r>
    </w:p>
    <w:p>
      <w:pPr>
        <w:pStyle w:val="BodyText"/>
        <w:spacing w:line="400" w:lineRule="auto" w:before="52"/>
        <w:ind w:left="153" w:right="1016" w:firstLine="420"/>
        <w:jc w:val="left"/>
      </w:pPr>
      <w:r>
        <w:rPr>
          <w:spacing w:val="-3"/>
        </w:rPr>
        <w:t>报告期内，公司中标并服务了华为全球化二期、特变电工二期、长城汽车、广汽乘用车、广汽新能源、</w:t>
      </w:r>
      <w:r>
        <w:rPr/>
        <w:t> 中车青岛四方机车、厦门航空、首钢京唐、好想你枣业、泰康健投等企业的信息化建设。其中华为全球化 </w:t>
      </w:r>
      <w:r>
        <w:rPr>
          <w:spacing w:val="-1"/>
        </w:rPr>
        <w:t>二期项目将覆盖</w:t>
      </w:r>
      <w:r>
        <w:rPr>
          <w:rFonts w:ascii="Times New Roman" w:hAnsi="Times New Roman" w:cs="Times New Roman" w:eastAsia="Times New Roman" w:hint="default"/>
          <w:spacing w:val="-1"/>
        </w:rPr>
        <w:t>152</w:t>
      </w:r>
      <w:r>
        <w:rPr>
          <w:spacing w:val="-1"/>
        </w:rPr>
        <w:t>个国家和地区，</w:t>
      </w:r>
      <w:r>
        <w:rPr>
          <w:rFonts w:ascii="Times New Roman" w:hAnsi="Times New Roman" w:cs="Times New Roman" w:eastAsia="Times New Roman" w:hint="default"/>
          <w:spacing w:val="-1"/>
        </w:rPr>
        <w:t>2019</w:t>
      </w:r>
      <w:r>
        <w:rPr>
          <w:spacing w:val="-1"/>
        </w:rPr>
        <w:t>年已完成德国、泰国、墨西哥、沙特等</w:t>
      </w:r>
      <w:r>
        <w:rPr>
          <w:rFonts w:ascii="Times New Roman" w:hAnsi="Times New Roman" w:cs="Times New Roman" w:eastAsia="Times New Roman" w:hint="default"/>
          <w:spacing w:val="-1"/>
        </w:rPr>
        <w:t>50</w:t>
      </w:r>
      <w:r>
        <w:rPr>
          <w:spacing w:val="-1"/>
        </w:rPr>
        <w:t>余个国家和地区的建设，</w:t>
      </w:r>
      <w:r>
        <w:rPr>
          <w:spacing w:val="-84"/>
        </w:rPr>
        <w:t> </w:t>
      </w:r>
      <w:r>
        <w:rPr>
          <w:spacing w:val="-84"/>
        </w:rPr>
      </w:r>
      <w:r>
        <w:rPr/>
        <w:t>解决了全球化带来的跨国汇率问题、全球安全合规的资金结算问题、全球互联互通的跨国网络延迟问题、 全球跨时区问题等。同时，借助华为全球化项目、乌兹别克斯坦游乐园等多个跨国家服务项目，奠定了公</w:t>
      </w:r>
      <w:r>
        <w:rPr/>
        <w:t> 司打造全球化服务的初步能力，基本具备了全球化布局、市场开拓以及全球化服务能力。</w:t>
      </w:r>
      <w:r>
        <w:rPr>
          <w:rFonts w:ascii="Times New Roman" w:hAnsi="Times New Roman" w:cs="Times New Roman" w:eastAsia="Times New Roman" w:hint="default"/>
        </w:rPr>
        <w:t>2019</w:t>
      </w:r>
      <w:r>
        <w:rPr/>
        <w:t>年度，智慧 政企应用解决方案实现营业收入</w:t>
      </w:r>
      <w:r>
        <w:rPr>
          <w:rFonts w:ascii="Times New Roman" w:hAnsi="Times New Roman" w:cs="Times New Roman" w:eastAsia="Times New Roman" w:hint="default"/>
        </w:rPr>
        <w:t>18,690.38</w:t>
      </w:r>
      <w:r>
        <w:rPr/>
        <w:t>万元，比上年同期增长</w:t>
      </w:r>
      <w:r>
        <w:rPr>
          <w:rFonts w:ascii="Times New Roman" w:hAnsi="Times New Roman" w:cs="Times New Roman" w:eastAsia="Times New Roman" w:hint="default"/>
        </w:rPr>
        <w:t>9.61%</w:t>
      </w:r>
      <w:r>
        <w:rPr/>
        <w:t>。</w:t>
      </w:r>
    </w:p>
    <w:p>
      <w:pPr>
        <w:pStyle w:val="BodyText"/>
        <w:spacing w:line="391" w:lineRule="auto" w:before="21"/>
        <w:ind w:left="153" w:right="993" w:firstLine="420"/>
        <w:jc w:val="left"/>
      </w:pPr>
      <w:r>
        <w:rPr>
          <w:spacing w:val="-2"/>
        </w:rPr>
        <w:t>抗击疫情，新开普在行动。报告期后，在抗击新冠肺炎疫情期间，</w:t>
      </w:r>
      <w:r>
        <w:rPr>
          <w:rFonts w:ascii="Times New Roman" w:hAnsi="Times New Roman" w:cs="Times New Roman" w:eastAsia="Times New Roman" w:hint="default"/>
          <w:spacing w:val="-2"/>
        </w:rPr>
        <w:t>“</w:t>
      </w:r>
      <w:r>
        <w:rPr>
          <w:spacing w:val="-2"/>
        </w:rPr>
        <w:t>完美企业</w:t>
      </w:r>
      <w:r>
        <w:rPr>
          <w:rFonts w:ascii="Times New Roman" w:hAnsi="Times New Roman" w:cs="Times New Roman" w:eastAsia="Times New Roman" w:hint="default"/>
          <w:spacing w:val="-2"/>
        </w:rPr>
        <w:t>”APP</w:t>
      </w:r>
      <w:r>
        <w:rPr>
          <w:spacing w:val="-2"/>
        </w:rPr>
        <w:t>提供疫情防控服务，</w:t>
      </w:r>
      <w:r>
        <w:rPr/>
        <w:t> 方便员工线上每日健康状况和动向及时报备，便于单位精准掌握员工动向和近况，准确迅速地统计企业员</w:t>
      </w:r>
      <w:r>
        <w:rPr/>
        <w:t> 工中确诊病例、疑似病例、发热情况、近期去向等数据。通过提供</w:t>
      </w:r>
      <w:r>
        <w:rPr>
          <w:rFonts w:ascii="Times New Roman" w:hAnsi="Times New Roman" w:cs="Times New Roman" w:eastAsia="Times New Roman" w:hint="default"/>
        </w:rPr>
        <w:t>“</w:t>
      </w:r>
      <w:r>
        <w:rPr/>
        <w:t>通知</w:t>
      </w:r>
      <w:r>
        <w:rPr>
          <w:rFonts w:ascii="Times New Roman" w:hAnsi="Times New Roman" w:cs="Times New Roman" w:eastAsia="Times New Roman" w:hint="default"/>
        </w:rPr>
        <w:t>”</w:t>
      </w:r>
      <w:r>
        <w:rPr/>
        <w:t>服务，便于企业动态实时发布。 同时，公司打造</w:t>
      </w:r>
      <w:r>
        <w:rPr>
          <w:rFonts w:ascii="Times New Roman" w:hAnsi="Times New Roman" w:cs="Times New Roman" w:eastAsia="Times New Roman" w:hint="default"/>
        </w:rPr>
        <w:t>“</w:t>
      </w:r>
      <w:r>
        <w:rPr/>
        <w:t>云点餐</w:t>
      </w:r>
      <w:r>
        <w:rPr>
          <w:rFonts w:ascii="Times New Roman" w:hAnsi="Times New Roman" w:cs="Times New Roman" w:eastAsia="Times New Roman" w:hint="default"/>
        </w:rPr>
        <w:t>”</w:t>
      </w:r>
      <w:r>
        <w:rPr/>
        <w:t>平台，让员工可以</w:t>
      </w:r>
      <w:r>
        <w:rPr>
          <w:rFonts w:ascii="Times New Roman" w:hAnsi="Times New Roman" w:cs="Times New Roman" w:eastAsia="Times New Roman" w:hint="default"/>
        </w:rPr>
        <w:t>“</w:t>
      </w:r>
      <w:r>
        <w:rPr/>
        <w:t>无接触点餐</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无接触配餐</w:t>
      </w:r>
      <w:r>
        <w:rPr>
          <w:rFonts w:ascii="Times New Roman" w:hAnsi="Times New Roman" w:cs="Times New Roman" w:eastAsia="Times New Roman" w:hint="default"/>
        </w:rPr>
        <w:t>/</w:t>
      </w:r>
      <w:r>
        <w:rPr/>
        <w:t>取餐</w:t>
      </w:r>
      <w:r>
        <w:rPr>
          <w:rFonts w:ascii="Times New Roman" w:hAnsi="Times New Roman" w:cs="Times New Roman" w:eastAsia="Times New Roman" w:hint="default"/>
        </w:rPr>
        <w:t>”</w:t>
      </w:r>
      <w:r>
        <w:rPr/>
        <w:t>，避免企业食堂集中就餐环 境下造成的二次传染等现象出现，保障了企业和员工两个层面的安全。</w:t>
      </w:r>
    </w:p>
    <w:p>
      <w:pPr>
        <w:pStyle w:val="BodyText"/>
        <w:spacing w:line="408" w:lineRule="auto" w:before="61"/>
        <w:ind w:left="573" w:right="1125"/>
        <w:jc w:val="left"/>
      </w:pPr>
      <w:r>
        <w:rPr>
          <w:rFonts w:ascii="宋体" w:hAnsi="宋体" w:cs="宋体" w:eastAsia="宋体" w:hint="default"/>
          <w:b/>
          <w:bCs/>
        </w:rPr>
        <w:t>四、运维服务</w:t>
      </w:r>
      <w:r>
        <w:rPr>
          <w:rFonts w:ascii="宋体" w:hAnsi="宋体" w:cs="宋体" w:eastAsia="宋体" w:hint="default"/>
          <w:b/>
          <w:bCs/>
          <w:w w:val="99"/>
        </w:rPr>
        <w:t> </w:t>
      </w:r>
      <w:r>
        <w:rPr>
          <w:spacing w:val="-1"/>
        </w:rPr>
        <w:t>公司近几年从建立全国统一服务热线着手，导入</w:t>
      </w:r>
      <w:r>
        <w:rPr>
          <w:rFonts w:ascii="Times New Roman" w:hAnsi="Times New Roman" w:cs="Times New Roman" w:eastAsia="Times New Roman" w:hint="default"/>
          <w:spacing w:val="-1"/>
        </w:rPr>
        <w:t>ITSS</w:t>
      </w:r>
      <w:r>
        <w:rPr>
          <w:spacing w:val="-1"/>
        </w:rPr>
        <w:t>运维服务体系，优化客服中心架构，设立运维支</w:t>
      </w:r>
    </w:p>
    <w:p>
      <w:pPr>
        <w:pStyle w:val="BodyText"/>
        <w:spacing w:line="408" w:lineRule="auto" w:before="14"/>
        <w:ind w:left="153" w:right="1131"/>
        <w:jc w:val="both"/>
      </w:pPr>
      <w:r>
        <w:rPr>
          <w:spacing w:val="-1"/>
        </w:rPr>
        <w:t>持部主管运维服务全流程业务。在运维支持部下设服务台、运维工具运营管理、运维服务管理，同时在二</w:t>
      </w:r>
      <w:r>
        <w:rPr>
          <w:spacing w:val="-82"/>
        </w:rPr>
        <w:t> </w:t>
      </w:r>
      <w:r>
        <w:rPr>
          <w:spacing w:val="-82"/>
        </w:rPr>
      </w:r>
      <w:r>
        <w:rPr>
          <w:spacing w:val="-1"/>
        </w:rPr>
        <w:t>线工程师设立服务器、数据库、存储专职工程师，为用户提供软硬件产品维保服务、资源负载服务、集群</w:t>
      </w:r>
    </w:p>
    <w:p>
      <w:pPr>
        <w:spacing w:after="0" w:line="408" w:lineRule="auto"/>
        <w:jc w:val="both"/>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398" w:lineRule="auto" w:before="174"/>
        <w:ind w:left="153" w:right="1130"/>
        <w:jc w:val="both"/>
      </w:pPr>
      <w:r>
        <w:rPr>
          <w:spacing w:val="-1"/>
        </w:rPr>
        <w:t>服务、数据迁移服务等工作。通过建立呼叫中心服务台、知识库、备品备件库等资源，设立多个运维层次</w:t>
      </w:r>
      <w:r>
        <w:rPr>
          <w:spacing w:val="-83"/>
        </w:rPr>
        <w:t> </w:t>
      </w:r>
      <w:r>
        <w:rPr>
          <w:spacing w:val="-83"/>
        </w:rPr>
      </w:r>
      <w:r>
        <w:rPr/>
        <w:t>工程师，采用全国统一服务监控、一线</w:t>
      </w:r>
      <w:r>
        <w:rPr>
          <w:rFonts w:ascii="Times New Roman" w:hAnsi="Times New Roman" w:cs="Times New Roman" w:eastAsia="Times New Roman" w:hint="default"/>
        </w:rPr>
        <w:t>+</w:t>
      </w:r>
      <w:r>
        <w:rPr/>
        <w:t>二线的服务模式为用户提供在线、上门服务、评价体系，建立完</w:t>
      </w:r>
      <w:r>
        <w:rPr>
          <w:spacing w:val="-57"/>
        </w:rPr>
        <w:t> </w:t>
      </w:r>
      <w:r>
        <w:rPr/>
        <w:t>整的服务闭合环。</w:t>
      </w:r>
    </w:p>
    <w:p>
      <w:pPr>
        <w:pStyle w:val="Heading3"/>
        <w:spacing w:line="240" w:lineRule="auto" w:before="54"/>
        <w:ind w:left="573" w:right="1113"/>
        <w:jc w:val="left"/>
        <w:rPr>
          <w:b w:val="0"/>
          <w:bCs w:val="0"/>
        </w:rPr>
      </w:pPr>
      <w:r>
        <w:rPr>
          <w:rFonts w:ascii="Times New Roman" w:hAnsi="Times New Roman" w:cs="Times New Roman" w:eastAsia="Times New Roman" w:hint="default"/>
        </w:rPr>
        <w:t>4.1</w:t>
      </w:r>
      <w:r>
        <w:rPr/>
        <w:t>运维模式</w:t>
      </w:r>
      <w:r>
        <w:rPr>
          <w:b w:val="0"/>
          <w:bCs w:val="0"/>
        </w:rPr>
      </w:r>
    </w:p>
    <w:p>
      <w:pPr>
        <w:spacing w:line="386" w:lineRule="auto" w:before="177"/>
        <w:ind w:left="573" w:right="111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4.1.1“</w:t>
      </w:r>
      <w:r>
        <w:rPr>
          <w:rFonts w:ascii="宋体" w:hAnsi="宋体" w:cs="宋体" w:eastAsia="宋体" w:hint="default"/>
          <w:b/>
          <w:bCs/>
          <w:sz w:val="21"/>
          <w:szCs w:val="21"/>
        </w:rPr>
        <w:t>无感知</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服务模式</w:t>
      </w:r>
      <w:r>
        <w:rPr>
          <w:rFonts w:ascii="宋体" w:hAnsi="宋体" w:cs="宋体" w:eastAsia="宋体" w:hint="default"/>
          <w:b/>
          <w:bCs/>
          <w:w w:val="99"/>
          <w:sz w:val="21"/>
          <w:szCs w:val="21"/>
        </w:rPr>
        <w:t> </w:t>
      </w:r>
      <w:r>
        <w:rPr>
          <w:rFonts w:ascii="宋体" w:hAnsi="宋体" w:cs="宋体" w:eastAsia="宋体" w:hint="default"/>
          <w:spacing w:val="-1"/>
          <w:sz w:val="21"/>
          <w:szCs w:val="21"/>
        </w:rPr>
        <w:t>系统的稳定运行已不再是简单的定义恢复故障时间，而是通过有效的手段来规避风险的发生，基于物</w:t>
      </w:r>
    </w:p>
    <w:p>
      <w:pPr>
        <w:pStyle w:val="BodyText"/>
        <w:spacing w:line="408" w:lineRule="auto" w:before="65"/>
        <w:ind w:left="153" w:right="1131"/>
        <w:jc w:val="both"/>
      </w:pPr>
      <w:r>
        <w:rPr>
          <w:spacing w:val="-1"/>
        </w:rPr>
        <w:t>联网、云计算、数据挖掘技术的背景，公司自主研发基于校园云运维服务平台，通过实时获取服务器、应</w:t>
      </w:r>
      <w:r>
        <w:rPr>
          <w:spacing w:val="-83"/>
        </w:rPr>
        <w:t> </w:t>
      </w:r>
      <w:r>
        <w:rPr>
          <w:spacing w:val="-83"/>
        </w:rPr>
      </w:r>
      <w:r>
        <w:rPr>
          <w:spacing w:val="-1"/>
        </w:rPr>
        <w:t>用、数据库及终端设备的运行情况，建立数据分析模型，及时的提醒、预警和报警，同时云运维服务平台</w:t>
      </w:r>
      <w:r>
        <w:rPr>
          <w:spacing w:val="-83"/>
        </w:rPr>
        <w:t> </w:t>
      </w:r>
      <w:r>
        <w:rPr>
          <w:spacing w:val="-83"/>
        </w:rPr>
      </w:r>
      <w:r>
        <w:rPr/>
        <w:t>与公司</w:t>
      </w:r>
      <w:r>
        <w:rPr>
          <w:rFonts w:ascii="Times New Roman" w:hAnsi="Times New Roman" w:cs="Times New Roman" w:eastAsia="Times New Roman" w:hint="default"/>
        </w:rPr>
        <w:t>400</w:t>
      </w:r>
      <w:r>
        <w:rPr/>
        <w:t>服务平台进行联动，当系统报警时，向</w:t>
      </w:r>
      <w:r>
        <w:rPr>
          <w:rFonts w:ascii="Times New Roman" w:hAnsi="Times New Roman" w:cs="Times New Roman" w:eastAsia="Times New Roman" w:hint="default"/>
        </w:rPr>
        <w:t>400</w:t>
      </w:r>
      <w:r>
        <w:rPr/>
        <w:t>推送报修派工，打造用户的</w:t>
      </w:r>
      <w:r>
        <w:rPr>
          <w:rFonts w:ascii="Times New Roman" w:hAnsi="Times New Roman" w:cs="Times New Roman" w:eastAsia="Times New Roman" w:hint="default"/>
        </w:rPr>
        <w:t>“</w:t>
      </w:r>
      <w:r>
        <w:rPr/>
        <w:t>无感知</w:t>
      </w:r>
      <w:r>
        <w:rPr>
          <w:rFonts w:ascii="Times New Roman" w:hAnsi="Times New Roman" w:cs="Times New Roman" w:eastAsia="Times New Roman" w:hint="default"/>
        </w:rPr>
        <w:t>”</w:t>
      </w:r>
      <w:r>
        <w:rPr/>
        <w:t>服务体验。</w:t>
      </w:r>
    </w:p>
    <w:p>
      <w:pPr>
        <w:spacing w:line="386" w:lineRule="auto" w:before="14"/>
        <w:ind w:left="573" w:right="111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4.1.2</w:t>
      </w:r>
      <w:r>
        <w:rPr>
          <w:rFonts w:ascii="宋体" w:hAnsi="宋体" w:cs="宋体" w:eastAsia="宋体" w:hint="default"/>
          <w:b/>
          <w:bCs/>
          <w:sz w:val="21"/>
          <w:szCs w:val="21"/>
        </w:rPr>
        <w:t>手机端服务（新开普服务宝）</w:t>
      </w:r>
      <w:r>
        <w:rPr>
          <w:rFonts w:ascii="宋体" w:hAnsi="宋体" w:cs="宋体" w:eastAsia="宋体" w:hint="default"/>
          <w:b/>
          <w:bCs/>
          <w:w w:val="99"/>
          <w:sz w:val="21"/>
          <w:szCs w:val="21"/>
        </w:rPr>
        <w:t> </w:t>
      </w:r>
      <w:r>
        <w:rPr>
          <w:rFonts w:ascii="宋体" w:hAnsi="宋体" w:cs="宋体" w:eastAsia="宋体" w:hint="default"/>
          <w:sz w:val="21"/>
          <w:szCs w:val="21"/>
        </w:rPr>
        <w:t>新开普服务宝是公司旗下一款集报修、派工、响应、服务、评价于一体的客户服务</w:t>
      </w:r>
      <w:r>
        <w:rPr>
          <w:rFonts w:ascii="Times New Roman" w:hAnsi="Times New Roman" w:cs="Times New Roman" w:eastAsia="Times New Roman" w:hint="default"/>
          <w:sz w:val="21"/>
          <w:szCs w:val="21"/>
        </w:rPr>
        <w:t>App</w:t>
      </w:r>
      <w:r>
        <w:rPr>
          <w:rFonts w:ascii="宋体" w:hAnsi="宋体" w:cs="宋体" w:eastAsia="宋体" w:hint="default"/>
          <w:sz w:val="21"/>
          <w:szCs w:val="21"/>
        </w:rPr>
        <w:t>，可以实现客</w:t>
      </w:r>
    </w:p>
    <w:p>
      <w:pPr>
        <w:pStyle w:val="BodyText"/>
        <w:spacing w:line="408" w:lineRule="auto" w:before="35"/>
        <w:ind w:left="153" w:right="1108"/>
        <w:jc w:val="both"/>
      </w:pPr>
      <w:r>
        <w:rPr>
          <w:spacing w:val="-1"/>
        </w:rPr>
        <w:t>户报修后呼叫中心二线工程师在线服务或统一派工至全国各地服务网点，服务完成后，客户可以进行评价</w:t>
      </w:r>
      <w:r>
        <w:rPr>
          <w:spacing w:val="-81"/>
        </w:rPr>
        <w:t> </w:t>
      </w:r>
      <w:r>
        <w:rPr>
          <w:spacing w:val="-81"/>
        </w:rPr>
      </w:r>
      <w:r>
        <w:rPr/>
        <w:t>或通过呼叫中心回访进行评价，形成完整的服务闭合环，同时通过服务宝还可以实时了解系统运行情况。</w:t>
      </w:r>
    </w:p>
    <w:p>
      <w:pPr>
        <w:spacing w:line="386" w:lineRule="auto" w:before="46"/>
        <w:ind w:left="573" w:right="111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4.1.3</w:t>
      </w:r>
      <w:r>
        <w:rPr>
          <w:rFonts w:ascii="宋体" w:hAnsi="宋体" w:cs="宋体" w:eastAsia="宋体" w:hint="default"/>
          <w:b/>
          <w:bCs/>
          <w:sz w:val="21"/>
          <w:szCs w:val="21"/>
        </w:rPr>
        <w:t>在线报修系统</w:t>
      </w:r>
      <w:r>
        <w:rPr>
          <w:rFonts w:ascii="宋体" w:hAnsi="宋体" w:cs="宋体" w:eastAsia="宋体" w:hint="default"/>
          <w:b/>
          <w:bCs/>
          <w:w w:val="99"/>
          <w:sz w:val="21"/>
          <w:szCs w:val="21"/>
        </w:rPr>
        <w:t> </w:t>
      </w:r>
      <w:r>
        <w:rPr>
          <w:rFonts w:ascii="宋体" w:hAnsi="宋体" w:cs="宋体" w:eastAsia="宋体" w:hint="default"/>
          <w:spacing w:val="-1"/>
          <w:sz w:val="21"/>
          <w:szCs w:val="21"/>
        </w:rPr>
        <w:t>校方后勤服务人员对于校内的物业故障报修事务，一般情况下无法合理分配人力资源，且不能很好的</w:t>
      </w:r>
    </w:p>
    <w:p>
      <w:pPr>
        <w:pStyle w:val="BodyText"/>
        <w:spacing w:line="408" w:lineRule="auto" w:before="65"/>
        <w:ind w:left="573" w:right="1113" w:hanging="420"/>
        <w:jc w:val="left"/>
      </w:pPr>
      <w:r>
        <w:rPr/>
        <w:t>跟踪售后服务进程，造成无法得到学生的有效反馈，无法统计售后服务工作量。 学生通过完美校园</w:t>
      </w:r>
      <w:r>
        <w:rPr>
          <w:rFonts w:ascii="Times New Roman" w:hAnsi="Times New Roman" w:cs="Times New Roman" w:eastAsia="Times New Roman" w:hint="default"/>
        </w:rPr>
        <w:t>App</w:t>
      </w:r>
      <w:r>
        <w:rPr/>
        <w:t>提起报修申请（支持拍照），管理后台支持自动派单和手动派单，维修人员安</w:t>
      </w:r>
    </w:p>
    <w:p>
      <w:pPr>
        <w:pStyle w:val="BodyText"/>
        <w:spacing w:line="386" w:lineRule="auto" w:before="14"/>
        <w:ind w:left="573" w:right="1115" w:hanging="420"/>
        <w:jc w:val="left"/>
      </w:pPr>
      <w:r>
        <w:rPr/>
        <w:t>装报修管家</w:t>
      </w:r>
      <w:r>
        <w:rPr>
          <w:rFonts w:ascii="Times New Roman" w:hAnsi="Times New Roman" w:cs="Times New Roman" w:eastAsia="Times New Roman" w:hint="default"/>
        </w:rPr>
        <w:t>App</w:t>
      </w:r>
      <w:r>
        <w:rPr/>
        <w:t>与学生进行互动，并在整个服务过程中涵盖进度跟踪、事后评价。 报告期内，公司增设</w:t>
      </w:r>
      <w:r>
        <w:rPr>
          <w:rFonts w:ascii="Times New Roman" w:hAnsi="Times New Roman" w:cs="Times New Roman" w:eastAsia="Times New Roman" w:hint="default"/>
        </w:rPr>
        <w:t>“</w:t>
      </w:r>
      <w:r>
        <w:rPr/>
        <w:t>数据库运维</w:t>
      </w:r>
      <w:r>
        <w:rPr>
          <w:rFonts w:ascii="Times New Roman" w:hAnsi="Times New Roman" w:cs="Times New Roman" w:eastAsia="Times New Roman" w:hint="default"/>
        </w:rPr>
        <w:t>”</w:t>
      </w:r>
      <w:r>
        <w:rPr/>
        <w:t>模块，对数据库优化、系统加固，以保证学校大数据安全。未来公</w:t>
      </w:r>
    </w:p>
    <w:p>
      <w:pPr>
        <w:pStyle w:val="BodyText"/>
        <w:spacing w:line="398" w:lineRule="auto" w:before="35"/>
        <w:ind w:left="153" w:right="1022"/>
        <w:jc w:val="left"/>
      </w:pPr>
      <w:r>
        <w:rPr/>
        <w:t>司仍将努力打造</w:t>
      </w:r>
      <w:r>
        <w:rPr>
          <w:rFonts w:ascii="Times New Roman" w:hAnsi="Times New Roman" w:cs="Times New Roman" w:eastAsia="Times New Roman" w:hint="default"/>
        </w:rPr>
        <w:t>“</w:t>
      </w:r>
      <w:r>
        <w:rPr/>
        <w:t>产品无关</w:t>
      </w:r>
      <w:r>
        <w:rPr>
          <w:rFonts w:ascii="Times New Roman" w:hAnsi="Times New Roman" w:cs="Times New Roman" w:eastAsia="Times New Roman" w:hint="default"/>
        </w:rPr>
        <w:t>”</w:t>
      </w:r>
      <w:r>
        <w:rPr/>
        <w:t>服务体系，加固企业竞争壁垒。同时，公司组建专业化的</w:t>
      </w:r>
      <w:r>
        <w:rPr>
          <w:rFonts w:ascii="Times New Roman" w:hAnsi="Times New Roman" w:cs="Times New Roman" w:eastAsia="Times New Roman" w:hint="default"/>
        </w:rPr>
        <w:t>DBA</w:t>
      </w:r>
      <w:r>
        <w:rPr/>
        <w:t>团队提供专业的 </w:t>
      </w:r>
      <w:r>
        <w:rPr>
          <w:spacing w:val="-3"/>
        </w:rPr>
        <w:t>数据服务，形成完善的数据库安全服务解决方案，包含数据库部署方案、数据备份方案、数据库运维方案、</w:t>
      </w:r>
      <w:r>
        <w:rPr>
          <w:spacing w:val="-95"/>
        </w:rPr>
        <w:t> </w:t>
      </w:r>
      <w:r>
        <w:rPr>
          <w:spacing w:val="-95"/>
        </w:rPr>
      </w:r>
      <w:r>
        <w:rPr/>
        <w:t>数据库运行健康情况分析、数据恢复等。此外，公司上线了一卡通安全防护系统，解决日益突出的信息安</w:t>
      </w:r>
      <w:r>
        <w:rPr/>
        <w:t> 全问题，实现对校园客户部署的公司产品实时监测，在出现应用异常时及时反馈、及时处理。</w:t>
      </w:r>
      <w:r>
        <w:rPr>
          <w:rFonts w:ascii="Times New Roman" w:hAnsi="Times New Roman" w:cs="Times New Roman" w:eastAsia="Times New Roman" w:hint="default"/>
        </w:rPr>
        <w:t>2019</w:t>
      </w:r>
      <w:r>
        <w:rPr/>
        <w:t>年度， 公司运维服务实现营业收入</w:t>
      </w:r>
      <w:r>
        <w:rPr>
          <w:rFonts w:ascii="Times New Roman" w:hAnsi="Times New Roman" w:cs="Times New Roman" w:eastAsia="Times New Roman" w:hint="default"/>
        </w:rPr>
        <w:t>10,668.75</w:t>
      </w:r>
      <w:r>
        <w:rPr/>
        <w:t>万元，比上年同期增长</w:t>
      </w:r>
      <w:r>
        <w:rPr>
          <w:rFonts w:ascii="Times New Roman" w:hAnsi="Times New Roman" w:cs="Times New Roman" w:eastAsia="Times New Roman" w:hint="default"/>
        </w:rPr>
        <w:t>25.43%</w:t>
      </w:r>
      <w:r>
        <w:rPr/>
        <w:t>。</w:t>
      </w:r>
    </w:p>
    <w:p>
      <w:pPr>
        <w:pStyle w:val="BodyText"/>
        <w:spacing w:line="398" w:lineRule="auto" w:before="24"/>
        <w:ind w:left="153" w:right="1131" w:firstLine="420"/>
        <w:jc w:val="both"/>
      </w:pPr>
      <w:r>
        <w:rPr>
          <w:spacing w:val="-1"/>
        </w:rPr>
        <w:t>公司</w:t>
      </w:r>
      <w:r>
        <w:rPr>
          <w:rFonts w:ascii="Times New Roman" w:hAnsi="Times New Roman" w:cs="Times New Roman" w:eastAsia="Times New Roman" w:hint="default"/>
          <w:spacing w:val="-1"/>
        </w:rPr>
        <w:t>2020</w:t>
      </w:r>
      <w:r>
        <w:rPr>
          <w:spacing w:val="-1"/>
        </w:rPr>
        <w:t>年将进一步巩固和拓展智慧校园应用解决方案、智慧校园云平台解决方案、基于</w:t>
      </w:r>
      <w:r>
        <w:rPr>
          <w:rFonts w:ascii="Times New Roman" w:hAnsi="Times New Roman" w:cs="Times New Roman" w:eastAsia="Times New Roman" w:hint="default"/>
          <w:spacing w:val="-1"/>
        </w:rPr>
        <w:t>SaaS</w:t>
      </w:r>
      <w:r>
        <w:rPr>
          <w:spacing w:val="-1"/>
        </w:rPr>
        <w:t>的运维</w:t>
      </w:r>
      <w:r>
        <w:rPr/>
        <w:t> </w:t>
      </w:r>
      <w:r>
        <w:rPr>
          <w:spacing w:val="-1"/>
        </w:rPr>
        <w:t>服务等业务板块，抓住行业快速发展机遇，实现产业链的纵向拓展，丰富产品线，发挥业务协同效应，巩</w:t>
      </w:r>
      <w:r>
        <w:rPr>
          <w:spacing w:val="-83"/>
        </w:rPr>
        <w:t> </w:t>
      </w:r>
      <w:r>
        <w:rPr>
          <w:spacing w:val="-83"/>
        </w:rPr>
      </w:r>
      <w:r>
        <w:rPr/>
        <w:t>固提升公司行业竞争地位。</w:t>
      </w:r>
    </w:p>
    <w:p>
      <w:pPr>
        <w:spacing w:after="0" w:line="398" w:lineRule="auto"/>
        <w:jc w:val="both"/>
        <w:sectPr>
          <w:pgSz w:w="11910" w:h="16840"/>
          <w:pgMar w:header="747" w:footer="982" w:top="1060" w:bottom="118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113"/>
        <w:jc w:val="left"/>
        <w:rPr>
          <w:b w:val="0"/>
          <w:bCs w:val="0"/>
        </w:rPr>
      </w:pP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5"/>
          <w:szCs w:val="25"/>
        </w:rPr>
      </w:pPr>
    </w:p>
    <w:p>
      <w:pPr>
        <w:spacing w:before="44"/>
        <w:ind w:left="0" w:right="1137" w:firstLine="0"/>
        <w:jc w:val="right"/>
        <w:rPr>
          <w:rFonts w:ascii="宋体" w:hAnsi="宋体" w:cs="宋体" w:eastAsia="宋体" w:hint="default"/>
          <w:sz w:val="18"/>
          <w:szCs w:val="18"/>
        </w:rPr>
      </w:pPr>
      <w:r>
        <w:rPr/>
        <w:pict>
          <v:shape style="position:absolute;margin-left:56.459999pt;margin-top:-39.067932pt;width:479.1pt;height:407.1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2"/>
                    <w:gridCol w:w="6516"/>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较期初下降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43.87%</w:t>
                        </w:r>
                        <w:r>
                          <w:rPr>
                            <w:rFonts w:ascii="宋体" w:hAnsi="宋体" w:cs="宋体" w:eastAsia="宋体" w:hint="default"/>
                            <w:spacing w:val="-84"/>
                            <w:sz w:val="18"/>
                            <w:szCs w:val="18"/>
                          </w:rPr>
                          <w:t>，</w:t>
                        </w:r>
                        <w:r>
                          <w:rPr>
                            <w:rFonts w:ascii="宋体" w:hAnsi="宋体" w:cs="宋体" w:eastAsia="宋体" w:hint="default"/>
                            <w:sz w:val="18"/>
                            <w:szCs w:val="18"/>
                          </w:rPr>
                          <w:t>主要系报告期内对希嘉教育增资控股</w:t>
                        </w:r>
                        <w:r>
                          <w:rPr>
                            <w:rFonts w:ascii="宋体" w:hAnsi="宋体" w:cs="宋体" w:eastAsia="宋体" w:hint="default"/>
                            <w:spacing w:val="-84"/>
                            <w:sz w:val="18"/>
                            <w:szCs w:val="18"/>
                          </w:rPr>
                          <w:t>，</w:t>
                        </w:r>
                        <w:r>
                          <w:rPr>
                            <w:rFonts w:ascii="宋体" w:hAnsi="宋体" w:cs="宋体" w:eastAsia="宋体" w:hint="default"/>
                            <w:sz w:val="18"/>
                            <w:szCs w:val="18"/>
                          </w:rPr>
                          <w:t>报表合并范围增加所致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主要系新增合并范围的希嘉教育无形资产影响。</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主要系项目结项所致。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较期初上涨</w:t>
                        </w:r>
                        <w:r>
                          <w:rPr>
                            <w:rFonts w:ascii="宋体" w:hAnsi="宋体" w:cs="宋体" w:eastAsia="宋体" w:hint="default"/>
                            <w:spacing w:val="-30"/>
                            <w:sz w:val="18"/>
                            <w:szCs w:val="18"/>
                          </w:rPr>
                          <w:t> </w:t>
                        </w:r>
                        <w:r>
                          <w:rPr>
                            <w:rFonts w:ascii="Times New Roman" w:hAnsi="Times New Roman" w:cs="Times New Roman" w:eastAsia="Times New Roman" w:hint="default"/>
                            <w:spacing w:val="-3"/>
                            <w:sz w:val="18"/>
                            <w:szCs w:val="18"/>
                          </w:rPr>
                          <w:t>49.72%</w:t>
                        </w:r>
                        <w:r>
                          <w:rPr>
                            <w:rFonts w:ascii="宋体" w:hAnsi="宋体" w:cs="宋体" w:eastAsia="宋体" w:hint="default"/>
                            <w:spacing w:val="-3"/>
                            <w:sz w:val="18"/>
                            <w:szCs w:val="18"/>
                          </w:rPr>
                          <w:t>，主要系报告期内经营性现金净流入大幅增加以及期末现金管理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较期初减少所致。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42.37%</w:t>
                        </w:r>
                        <w:r>
                          <w:rPr>
                            <w:rFonts w:ascii="宋体" w:hAnsi="宋体" w:cs="宋体" w:eastAsia="宋体" w:hint="default"/>
                            <w:sz w:val="18"/>
                            <w:szCs w:val="18"/>
                          </w:rPr>
                          <w:t>，主要系新增合并范围的希嘉教育其他应收款影响。</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302.10%</w:t>
                        </w:r>
                        <w:r>
                          <w:rPr>
                            <w:rFonts w:ascii="宋体" w:hAnsi="宋体" w:cs="宋体" w:eastAsia="宋体" w:hint="default"/>
                            <w:sz w:val="18"/>
                            <w:szCs w:val="18"/>
                          </w:rPr>
                          <w:t>，主要系报告期内公司加大对完美校园</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APP</w:t>
                        </w:r>
                        <w:r>
                          <w:rPr>
                            <w:rFonts w:ascii="宋体" w:hAnsi="宋体" w:cs="宋体" w:eastAsia="宋体" w:hint="default"/>
                            <w:sz w:val="18"/>
                            <w:szCs w:val="18"/>
                          </w:rPr>
                          <w:t>、基于融合支付的 物联网云水控系统等新项目研发投入所致。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主要系华夏海纳其他权益工具投资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万元，与约定未支付的收益一起转为房 屋认购款。</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66.29%</w:t>
                        </w:r>
                        <w:r>
                          <w:rPr>
                            <w:rFonts w:ascii="宋体" w:hAnsi="宋体" w:cs="宋体" w:eastAsia="宋体" w:hint="default"/>
                            <w:sz w:val="18"/>
                            <w:szCs w:val="18"/>
                          </w:rPr>
                          <w:t>，主要系报告期内偿还银行流动资金借款所致。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较期初上涨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39.73%</w:t>
                        </w:r>
                        <w:r>
                          <w:rPr>
                            <w:rFonts w:ascii="宋体" w:hAnsi="宋体" w:cs="宋体" w:eastAsia="宋体" w:hint="default"/>
                            <w:sz w:val="18"/>
                            <w:szCs w:val="18"/>
                          </w:rPr>
                          <w:t>，主要系主要系职工薪酬增加所致。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372.54%</w:t>
                        </w:r>
                        <w:r>
                          <w:rPr>
                            <w:rFonts w:ascii="宋体" w:hAnsi="宋体" w:cs="宋体" w:eastAsia="宋体" w:hint="default"/>
                            <w:sz w:val="18"/>
                            <w:szCs w:val="18"/>
                          </w:rPr>
                          <w:t>，主要系购买福建新开普少数股权，分期支付对价款所致。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较期初下降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42.20%</w:t>
                        </w:r>
                        <w:r>
                          <w:rPr>
                            <w:rFonts w:ascii="宋体" w:hAnsi="宋体" w:cs="宋体" w:eastAsia="宋体" w:hint="default"/>
                            <w:sz w:val="18"/>
                            <w:szCs w:val="18"/>
                          </w:rPr>
                          <w:t>，系随长期借款的分期偿还，一年内待偿还金额减少。</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33.31%</w:t>
                        </w:r>
                        <w:r>
                          <w:rPr>
                            <w:rFonts w:ascii="宋体" w:hAnsi="宋体" w:cs="宋体" w:eastAsia="宋体" w:hint="default"/>
                            <w:sz w:val="18"/>
                            <w:szCs w:val="18"/>
                          </w:rPr>
                          <w:t>，主要系报告期内银行借款到期偿还所致。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16.23%</w:t>
                        </w:r>
                        <w:r>
                          <w:rPr>
                            <w:rFonts w:ascii="宋体" w:hAnsi="宋体" w:cs="宋体" w:eastAsia="宋体" w:hint="default"/>
                            <w:sz w:val="18"/>
                            <w:szCs w:val="18"/>
                          </w:rPr>
                          <w:t>，系子公司完美数联股本溢价。</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30.55%</w:t>
                        </w:r>
                        <w:r>
                          <w:rPr>
                            <w:rFonts w:ascii="宋体" w:hAnsi="宋体" w:cs="宋体" w:eastAsia="宋体" w:hint="default"/>
                            <w:sz w:val="18"/>
                            <w:szCs w:val="18"/>
                          </w:rPr>
                          <w:t>，系本年度公司净利润大幅增加所致。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355.48%</w:t>
                        </w:r>
                        <w:r>
                          <w:rPr>
                            <w:rFonts w:ascii="宋体" w:hAnsi="宋体" w:cs="宋体" w:eastAsia="宋体" w:hint="default"/>
                            <w:sz w:val="18"/>
                            <w:szCs w:val="18"/>
                          </w:rPr>
                          <w:t>，主要为子公司完美数联及希嘉教育少数股东权益。</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Heading3"/>
        <w:spacing w:line="240" w:lineRule="auto" w:before="35"/>
        <w:ind w:right="0"/>
        <w:jc w:val="both"/>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7"/>
        <w:rPr>
          <w:rFonts w:ascii="宋体" w:hAnsi="宋体" w:cs="宋体" w:eastAsia="宋体" w:hint="default"/>
          <w:b/>
          <w:bCs/>
          <w:sz w:val="32"/>
          <w:szCs w:val="32"/>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2"/>
        <w:spacing w:line="240" w:lineRule="auto" w:before="157"/>
        <w:ind w:right="0"/>
        <w:jc w:val="both"/>
        <w:rPr>
          <w:b w:val="0"/>
          <w:bCs w:val="0"/>
        </w:rPr>
      </w:pPr>
      <w:r>
        <w:rPr/>
        <w:t>三、核心竞争力分析</w:t>
      </w:r>
      <w:r>
        <w:rPr>
          <w:b w:val="0"/>
          <w:bCs w:val="0"/>
        </w:rPr>
      </w:r>
    </w:p>
    <w:p>
      <w:pPr>
        <w:spacing w:line="240" w:lineRule="auto" w:before="6"/>
        <w:rPr>
          <w:rFonts w:ascii="宋体" w:hAnsi="宋体" w:cs="宋体" w:eastAsia="宋体" w:hint="default"/>
          <w:b/>
          <w:bCs/>
          <w:sz w:val="30"/>
          <w:szCs w:val="30"/>
        </w:rPr>
      </w:pPr>
    </w:p>
    <w:p>
      <w:pPr>
        <w:spacing w:line="386" w:lineRule="auto" w:before="0"/>
        <w:ind w:left="573" w:right="111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、优质客户多、需求黏性大</w:t>
      </w:r>
      <w:r>
        <w:rPr>
          <w:rFonts w:ascii="宋体" w:hAnsi="宋体" w:cs="宋体" w:eastAsia="宋体" w:hint="default"/>
          <w:b/>
          <w:bCs/>
          <w:w w:val="99"/>
          <w:sz w:val="21"/>
          <w:szCs w:val="21"/>
        </w:rPr>
        <w:t> </w:t>
      </w:r>
      <w:r>
        <w:rPr>
          <w:rFonts w:ascii="宋体" w:hAnsi="宋体" w:cs="宋体" w:eastAsia="宋体" w:hint="default"/>
          <w:spacing w:val="-1"/>
          <w:sz w:val="21"/>
          <w:szCs w:val="21"/>
        </w:rPr>
        <w:t>经过多年经营，公司凭借完善的整体解决方案和优质的客户服务，在行业内树立了良好的口碑，客户</w:t>
      </w:r>
    </w:p>
    <w:p>
      <w:pPr>
        <w:pStyle w:val="BodyText"/>
        <w:spacing w:line="398" w:lineRule="auto" w:before="65"/>
        <w:ind w:left="153" w:right="1130"/>
        <w:jc w:val="both"/>
      </w:pPr>
      <w:r>
        <w:rPr>
          <w:spacing w:val="-1"/>
        </w:rPr>
        <w:t>范围遍及校园、企事业、城市等领域。截至报告期末，公司校园信息化产品覆盖高校总数达千余所，市场</w:t>
      </w:r>
      <w:r>
        <w:rPr>
          <w:spacing w:val="-83"/>
        </w:rPr>
        <w:t> </w:t>
      </w:r>
      <w:r>
        <w:rPr>
          <w:spacing w:val="-83"/>
        </w:rPr>
      </w:r>
      <w:r>
        <w:rPr/>
        <w:t>占有率逾</w:t>
      </w:r>
      <w:r>
        <w:rPr>
          <w:rFonts w:ascii="Times New Roman" w:hAnsi="Times New Roman" w:cs="Times New Roman" w:eastAsia="Times New Roman" w:hint="default"/>
        </w:rPr>
        <w:t>40%</w:t>
      </w:r>
      <w:r>
        <w:rPr/>
        <w:t>，进一步夯实校园信息化龙头地位。线下业务多年的经营积累为公司进军移动互联网提供了</w:t>
      </w:r>
      <w:r>
        <w:rPr>
          <w:spacing w:val="-98"/>
        </w:rPr>
        <w:t> </w:t>
      </w:r>
      <w:r>
        <w:rPr>
          <w:spacing w:val="-98"/>
        </w:rPr>
      </w:r>
      <w:r>
        <w:rPr>
          <w:spacing w:val="-1"/>
        </w:rPr>
        <w:t>良好的保障，便于公司快速将线下资源向线上转移。公司以传统一卡通为切入点，通过推出智慧校园应用</w:t>
      </w:r>
    </w:p>
    <w:p>
      <w:pPr>
        <w:spacing w:after="0" w:line="398" w:lineRule="auto"/>
        <w:jc w:val="both"/>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403" w:lineRule="auto" w:before="174"/>
        <w:ind w:left="0" w:right="1108"/>
        <w:jc w:val="right"/>
      </w:pPr>
      <w:r>
        <w:rPr>
          <w:spacing w:val="-1"/>
        </w:rPr>
        <w:t>解决方案、智慧校园云平台解决方案持续占领高校市场不断扩大线下用户群体规模，同时公司面向校园的</w:t>
      </w:r>
      <w:r>
        <w:rPr/>
        <w:t> 推出的移动互联网产品</w:t>
      </w:r>
      <w:r>
        <w:rPr>
          <w:rFonts w:ascii="Times New Roman" w:hAnsi="Times New Roman" w:cs="Times New Roman" w:eastAsia="Times New Roman" w:hint="default"/>
        </w:rPr>
        <w:t>“</w:t>
      </w:r>
      <w:r>
        <w:rPr/>
        <w:t>完美校园</w:t>
      </w:r>
      <w:r>
        <w:rPr>
          <w:rFonts w:ascii="Times New Roman" w:hAnsi="Times New Roman" w:cs="Times New Roman" w:eastAsia="Times New Roman" w:hint="default"/>
        </w:rPr>
        <w:t>”App</w:t>
      </w:r>
      <w:r>
        <w:rPr/>
        <w:t>、支付宝小程序等，不仅包含校园一卡通、移动支付、学习、生活</w:t>
      </w:r>
      <w:r>
        <w:rPr>
          <w:spacing w:val="-97"/>
        </w:rPr>
        <w:t> </w:t>
      </w:r>
      <w:r>
        <w:rPr>
          <w:spacing w:val="-97"/>
        </w:rPr>
      </w:r>
      <w:r>
        <w:rPr/>
        <w:t>等服务，还加入了人才成长服务体系，致力于全面提升学生综合能力素质，解决学校和学生的就业问题。</w:t>
      </w:r>
      <w:r>
        <w:rPr/>
        <w:t> </w:t>
      </w:r>
      <w:r>
        <w:rPr>
          <w:spacing w:val="-1"/>
        </w:rPr>
        <w:t>此外，由于智慧校园应用解决方案、智慧校园云平台解决方案全面服务校园信息化各个领域，相比传</w:t>
      </w:r>
      <w:r>
        <w:rPr/>
        <w:t> </w:t>
      </w:r>
      <w:r>
        <w:rPr>
          <w:spacing w:val="-1"/>
        </w:rPr>
        <w:t>统一卡通系统更具有延续性，公司提供的解决方案以多功能系统为主，因此原有客户的后续需求黏性比较</w:t>
      </w:r>
      <w:r>
        <w:rPr/>
        <w:t> 大。据统计，</w:t>
      </w:r>
      <w:r>
        <w:rPr>
          <w:rFonts w:ascii="Times New Roman" w:hAnsi="Times New Roman" w:cs="Times New Roman" w:eastAsia="Times New Roman" w:hint="default"/>
        </w:rPr>
        <w:t>50%</w:t>
      </w:r>
      <w:r>
        <w:rPr/>
        <w:t>以上的客户购买安装了公司的整体解决方案后，未来仍会选择公司的其他功能系统或后</w:t>
      </w:r>
    </w:p>
    <w:p>
      <w:pPr>
        <w:pStyle w:val="BodyText"/>
        <w:spacing w:line="240" w:lineRule="auto" w:before="19"/>
        <w:ind w:left="153" w:right="0"/>
        <w:jc w:val="both"/>
      </w:pPr>
      <w:r>
        <w:rPr/>
        <w:t>续产品升级持续运维服务。</w:t>
      </w:r>
    </w:p>
    <w:p>
      <w:pPr>
        <w:spacing w:line="240" w:lineRule="auto" w:before="10"/>
        <w:rPr>
          <w:rFonts w:ascii="宋体" w:hAnsi="宋体" w:cs="宋体" w:eastAsia="宋体" w:hint="default"/>
          <w:sz w:val="14"/>
          <w:szCs w:val="14"/>
        </w:rPr>
      </w:pPr>
    </w:p>
    <w:p>
      <w:pPr>
        <w:spacing w:line="386" w:lineRule="auto" w:before="0"/>
        <w:ind w:left="574" w:right="1113"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、符合个性化需求的一站式整体解决方案</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公司拥有自主研发的全系列智能化硬件终端产品线、多功能应用子系统以及强大集成能力的系统平</w:t>
      </w:r>
    </w:p>
    <w:p>
      <w:pPr>
        <w:pStyle w:val="BodyText"/>
        <w:spacing w:line="400" w:lineRule="auto" w:before="65"/>
        <w:ind w:right="1129"/>
        <w:jc w:val="both"/>
      </w:pPr>
      <w:r>
        <w:rPr>
          <w:spacing w:val="-1"/>
        </w:rPr>
        <w:t>台，截止目前，公司拥有校园核心服务平台、支付服务平台、物联网平台、人脸认证服务平台、大数据平</w:t>
      </w:r>
      <w:r>
        <w:rPr>
          <w:spacing w:val="-83"/>
        </w:rPr>
        <w:t> </w:t>
      </w:r>
      <w:r>
        <w:rPr>
          <w:spacing w:val="-83"/>
        </w:rPr>
      </w:r>
      <w:r>
        <w:rPr>
          <w:spacing w:val="-1"/>
        </w:rPr>
        <w:t>台、数字化校园平台、能源管控管理平台、金融</w:t>
      </w:r>
      <w:r>
        <w:rPr>
          <w:rFonts w:ascii="Times New Roman" w:hAnsi="Times New Roman" w:cs="Times New Roman" w:eastAsia="Times New Roman" w:hint="default"/>
          <w:spacing w:val="-1"/>
        </w:rPr>
        <w:t>IC</w:t>
      </w:r>
      <w:r>
        <w:rPr>
          <w:spacing w:val="-1"/>
        </w:rPr>
        <w:t>卡行业应用平台等平台系统、近百个应用功能子系统以</w:t>
      </w:r>
      <w:r>
        <w:rPr>
          <w:spacing w:val="-82"/>
        </w:rPr>
        <w:t> </w:t>
      </w:r>
      <w:r>
        <w:rPr>
          <w:spacing w:val="-82"/>
        </w:rPr>
      </w:r>
      <w:r>
        <w:rPr>
          <w:spacing w:val="-1"/>
        </w:rPr>
        <w:t>及几百种不同型号规格的智能终端系列产品，能够为客户提供符合个性化需求、多功能实现、一站式服务</w:t>
      </w:r>
      <w:r>
        <w:rPr>
          <w:spacing w:val="-83"/>
        </w:rPr>
        <w:t> </w:t>
      </w:r>
      <w:r>
        <w:rPr>
          <w:spacing w:val="-83"/>
        </w:rPr>
      </w:r>
      <w:r>
        <w:rPr/>
        <w:t>的整体解决方案。</w:t>
      </w:r>
    </w:p>
    <w:p>
      <w:pPr>
        <w:pStyle w:val="BodyText"/>
        <w:spacing w:line="408" w:lineRule="auto" w:before="52"/>
        <w:ind w:right="1108" w:firstLine="420"/>
        <w:jc w:val="both"/>
      </w:pPr>
      <w:r>
        <w:rPr>
          <w:spacing w:val="-1"/>
        </w:rPr>
        <w:t>总体来看，国内相关学校信息化行业内的企业在研发实力、技术素质、业务规模、涉及领域等多方面</w:t>
      </w:r>
      <w:r>
        <w:rPr/>
        <w:t> </w:t>
      </w:r>
      <w:r>
        <w:rPr>
          <w:spacing w:val="-1"/>
        </w:rPr>
        <w:t>的差别较大，行业内以提供单一功能系统解决方案的企业居多，且多集中在餐饮收费、门禁、考勤系统等</w:t>
      </w:r>
      <w:r>
        <w:rPr>
          <w:spacing w:val="-82"/>
        </w:rPr>
        <w:t> </w:t>
      </w:r>
      <w:r>
        <w:rPr>
          <w:spacing w:val="-82"/>
        </w:rPr>
      </w:r>
      <w:r>
        <w:rPr/>
        <w:t>传统功能板块，其因市场竞争激烈，利润空间小。而新开普是行业内少数能够为客户提供全面、整体化、 </w:t>
      </w:r>
      <w:r>
        <w:rPr>
          <w:spacing w:val="-1"/>
        </w:rPr>
        <w:t>一揽子解决方案的代表性企业之一，公司通过更全面的产品线、更高的研发平台、更丰富的业务功能、更</w:t>
      </w:r>
      <w:r>
        <w:rPr>
          <w:spacing w:val="-82"/>
        </w:rPr>
        <w:t> </w:t>
      </w:r>
      <w:r>
        <w:rPr>
          <w:spacing w:val="-82"/>
        </w:rPr>
      </w:r>
      <w:r>
        <w:rPr>
          <w:spacing w:val="-1"/>
        </w:rPr>
        <w:t>强的集成能力，在满足客户个性化需求的前提下，为客户提供多功能实现的整体解决方案和一站式的客户</w:t>
      </w:r>
      <w:r>
        <w:rPr>
          <w:spacing w:val="-81"/>
        </w:rPr>
        <w:t> </w:t>
      </w:r>
      <w:r>
        <w:rPr>
          <w:spacing w:val="-81"/>
        </w:rPr>
      </w:r>
      <w:r>
        <w:rPr>
          <w:spacing w:val="-1"/>
        </w:rPr>
        <w:t>服务，以增加公司产品和服务的经济附加值、不断增强客户黏性、扩大品牌影响度，进而提升自身的盈利</w:t>
      </w:r>
      <w:r>
        <w:rPr>
          <w:spacing w:val="-82"/>
        </w:rPr>
        <w:t> </w:t>
      </w:r>
      <w:r>
        <w:rPr>
          <w:spacing w:val="-82"/>
        </w:rPr>
      </w:r>
      <w:r>
        <w:rPr/>
        <w:t>能力和利润空间。</w:t>
      </w:r>
    </w:p>
    <w:p>
      <w:pPr>
        <w:spacing w:line="386" w:lineRule="auto" w:before="46"/>
        <w:ind w:left="574" w:right="111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、自主研发和技术创新能力强</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公司是国家重点支持的高新技术企业，被评为</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国家首批（河南省首家）质量标杆企业</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河南省创新</w:t>
      </w:r>
    </w:p>
    <w:p>
      <w:pPr>
        <w:pStyle w:val="BodyText"/>
        <w:spacing w:line="391" w:lineRule="auto" w:before="35"/>
        <w:ind w:left="153" w:right="1128"/>
        <w:jc w:val="both"/>
      </w:pPr>
      <w:r>
        <w:rPr>
          <w:spacing w:val="-2"/>
        </w:rPr>
        <w:t>龙头企业</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河南省技术创新示范企业</w:t>
      </w:r>
      <w:r>
        <w:rPr>
          <w:rFonts w:ascii="Times New Roman" w:hAnsi="Times New Roman" w:cs="Times New Roman" w:eastAsia="Times New Roman" w:hint="default"/>
          <w:spacing w:val="-2"/>
        </w:rPr>
        <w:t>”</w:t>
      </w:r>
      <w:r>
        <w:rPr>
          <w:spacing w:val="-2"/>
        </w:rPr>
        <w:t>，具有较强的自主研发和技术创新能力。通过多年的技术创新和积</w:t>
      </w:r>
      <w:r>
        <w:rPr>
          <w:spacing w:val="-102"/>
        </w:rPr>
        <w:t> </w:t>
      </w:r>
      <w:r>
        <w:rPr>
          <w:spacing w:val="-102"/>
        </w:rPr>
      </w:r>
      <w:r>
        <w:rPr/>
        <w:t>累沉淀，公司建立了国家认可的物联网智能终端实验室（</w:t>
      </w:r>
      <w:r>
        <w:rPr>
          <w:rFonts w:ascii="Times New Roman" w:hAnsi="Times New Roman" w:cs="Times New Roman" w:eastAsia="Times New Roman" w:hint="default"/>
        </w:rPr>
        <w:t>CNAS</w:t>
      </w:r>
      <w:r>
        <w:rPr/>
        <w:t>）省级企业技术中心和工程技术研究中心</w:t>
      </w:r>
      <w:r>
        <w:rPr>
          <w:spacing w:val="-67"/>
        </w:rPr>
        <w:t> </w:t>
      </w:r>
      <w:r>
        <w:rPr>
          <w:spacing w:val="-67"/>
        </w:rPr>
      </w:r>
      <w:r>
        <w:rPr>
          <w:spacing w:val="-1"/>
        </w:rPr>
        <w:t>等七个国家、省、市创新平台、四大研发基地（北京、上海、成都和福建）和软件、硬件研究机构。现拥</w:t>
      </w:r>
      <w:r>
        <w:rPr>
          <w:spacing w:val="-86"/>
        </w:rPr>
        <w:t> </w:t>
      </w:r>
      <w:r>
        <w:rPr>
          <w:spacing w:val="-86"/>
        </w:rPr>
      </w:r>
      <w:r>
        <w:rPr/>
        <w:t>有自主知识产权成果</w:t>
      </w:r>
      <w:r>
        <w:rPr>
          <w:rFonts w:ascii="Times New Roman" w:hAnsi="Times New Roman" w:cs="Times New Roman" w:eastAsia="Times New Roman" w:hint="default"/>
        </w:rPr>
        <w:t>300</w:t>
      </w:r>
      <w:r>
        <w:rPr/>
        <w:t>余项和上百项政府荣誉，如</w:t>
      </w:r>
      <w:r>
        <w:rPr>
          <w:rFonts w:ascii="Times New Roman" w:hAnsi="Times New Roman" w:cs="Times New Roman" w:eastAsia="Times New Roman" w:hint="default"/>
        </w:rPr>
        <w:t>“</w:t>
      </w:r>
      <w:r>
        <w:rPr/>
        <w:t>国家金卡工程优秀成果金蚂蚁奖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中国创新软件产</w:t>
      </w:r>
      <w:r>
        <w:rPr>
          <w:spacing w:val="-99"/>
        </w:rPr>
        <w:t> </w:t>
      </w:r>
      <w:r>
        <w:rPr>
          <w:spacing w:val="-99"/>
        </w:rPr>
      </w:r>
      <w:r>
        <w:rPr>
          <w:spacing w:val="2"/>
        </w:rPr>
        <w:t>品奖</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河南省著名商标</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郑州市科技进步一等奖</w:t>
      </w:r>
      <w:r>
        <w:rPr>
          <w:rFonts w:ascii="Times New Roman" w:hAnsi="Times New Roman" w:cs="Times New Roman" w:eastAsia="Times New Roman" w:hint="default"/>
          <w:spacing w:val="2"/>
        </w:rPr>
        <w:t>”</w:t>
      </w:r>
      <w:r>
        <w:rPr>
          <w:spacing w:val="2"/>
        </w:rPr>
        <w:t>等。公司参与制定了国家标准</w:t>
      </w:r>
      <w:r>
        <w:rPr>
          <w:rFonts w:ascii="Times New Roman" w:hAnsi="Times New Roman" w:cs="Times New Roman" w:eastAsia="Times New Roman" w:hint="default"/>
          <w:spacing w:val="2"/>
        </w:rPr>
        <w:t>3</w:t>
      </w:r>
      <w:r>
        <w:rPr>
          <w:spacing w:val="2"/>
        </w:rPr>
        <w:t>项和地方行业标准</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34"/>
        </w:rPr>
        <w:t> </w:t>
      </w:r>
      <w:r>
        <w:rPr>
          <w:spacing w:val="-1"/>
        </w:rPr>
        <w:t>项，主导企业产品标准</w:t>
      </w:r>
      <w:r>
        <w:rPr>
          <w:rFonts w:ascii="Times New Roman" w:hAnsi="Times New Roman" w:cs="Times New Roman" w:eastAsia="Times New Roman" w:hint="default"/>
          <w:spacing w:val="-1"/>
        </w:rPr>
        <w:t>10</w:t>
      </w:r>
      <w:r>
        <w:rPr>
          <w:spacing w:val="-1"/>
        </w:rPr>
        <w:t>项，同时作为项目单位承担了国家、省、市重大科研项目几十项，攻破了多项技</w:t>
      </w:r>
      <w:r>
        <w:rPr>
          <w:spacing w:val="-83"/>
        </w:rPr>
        <w:t> </w:t>
      </w:r>
      <w:r>
        <w:rPr>
          <w:spacing w:val="-83"/>
        </w:rPr>
      </w:r>
      <w:r>
        <w:rPr/>
        <w:t>术难关，极大促进了公司在产品科技进步和经济效益的提升。</w:t>
      </w:r>
    </w:p>
    <w:p>
      <w:pPr>
        <w:pStyle w:val="BodyText"/>
        <w:spacing w:line="240" w:lineRule="auto" w:before="61"/>
        <w:ind w:left="573" w:right="993"/>
        <w:jc w:val="left"/>
      </w:pPr>
      <w:r>
        <w:rPr/>
        <w:t>近年来公司不断引进研发和研发管理人才以提高技术创新能力，研发投入持续增加。同时，核心技术</w:t>
      </w:r>
    </w:p>
    <w:p>
      <w:pPr>
        <w:spacing w:after="0" w:line="240"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386" w:lineRule="auto" w:before="174"/>
        <w:ind w:left="153" w:right="993"/>
        <w:jc w:val="left"/>
      </w:pPr>
      <w:r>
        <w:rPr>
          <w:spacing w:val="-3"/>
        </w:rPr>
        <w:t>带头人员的行业专业经验平均超过</w:t>
      </w:r>
      <w:r>
        <w:rPr>
          <w:rFonts w:ascii="Times New Roman" w:hAnsi="Times New Roman" w:cs="Times New Roman" w:eastAsia="Times New Roman" w:hint="default"/>
          <w:spacing w:val="-3"/>
        </w:rPr>
        <w:t>10</w:t>
      </w:r>
      <w:r>
        <w:rPr>
          <w:spacing w:val="-3"/>
        </w:rPr>
        <w:t>年，稳定性高，长期从事研究与开发，在智能身份识别、校园信息化、</w:t>
      </w:r>
      <w:r>
        <w:rPr>
          <w:spacing w:val="-94"/>
        </w:rPr>
        <w:t> </w:t>
      </w:r>
      <w:r>
        <w:rPr>
          <w:spacing w:val="-94"/>
        </w:rPr>
      </w:r>
      <w:r>
        <w:rPr/>
        <w:t>互联网等业务领域具有非常突出的技术创新能力。</w:t>
      </w:r>
    </w:p>
    <w:p>
      <w:pPr>
        <w:spacing w:line="386" w:lineRule="auto" w:before="65"/>
        <w:ind w:left="573" w:right="111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、贴近客户、主动式运维的服务优势</w:t>
      </w:r>
      <w:r>
        <w:rPr>
          <w:rFonts w:ascii="宋体" w:hAnsi="宋体" w:cs="宋体" w:eastAsia="宋体" w:hint="default"/>
          <w:b/>
          <w:bCs/>
          <w:w w:val="99"/>
          <w:sz w:val="21"/>
          <w:szCs w:val="21"/>
        </w:rPr>
        <w:t> </w:t>
      </w:r>
      <w:r>
        <w:rPr>
          <w:rFonts w:ascii="宋体" w:hAnsi="宋体" w:cs="宋体" w:eastAsia="宋体" w:hint="default"/>
          <w:spacing w:val="-1"/>
          <w:sz w:val="21"/>
          <w:szCs w:val="21"/>
        </w:rPr>
        <w:t>基于一直以来以需求为导向的经营理念，以及公司提供整体解决方案及定制服务的业务特色，公司能</w:t>
      </w:r>
    </w:p>
    <w:p>
      <w:pPr>
        <w:pStyle w:val="BodyText"/>
        <w:spacing w:line="400" w:lineRule="auto" w:before="65"/>
        <w:ind w:left="153" w:right="1131"/>
        <w:jc w:val="both"/>
      </w:pPr>
      <w:r>
        <w:rPr>
          <w:spacing w:val="-1"/>
        </w:rPr>
        <w:t>够深刻理解客户个性化需求，有针对性地推进前端营销工作，并及时提供技术支持和主动式运维的客户服</w:t>
      </w:r>
      <w:r>
        <w:rPr>
          <w:spacing w:val="-81"/>
        </w:rPr>
        <w:t> </w:t>
      </w:r>
      <w:r>
        <w:rPr>
          <w:spacing w:val="-81"/>
        </w:rPr>
      </w:r>
      <w:r>
        <w:rPr>
          <w:spacing w:val="-1"/>
        </w:rPr>
        <w:t>务，实现服务过程的全业务流程跟踪与管理。目前，公司已经在全国范围内设立</w:t>
      </w:r>
      <w:r>
        <w:rPr>
          <w:rFonts w:ascii="Times New Roman" w:hAnsi="Times New Roman" w:cs="Times New Roman" w:eastAsia="Times New Roman" w:hint="default"/>
          <w:spacing w:val="-1"/>
        </w:rPr>
        <w:t>30</w:t>
      </w:r>
      <w:r>
        <w:rPr>
          <w:spacing w:val="-1"/>
        </w:rPr>
        <w:t>余家分支机构，建立了</w:t>
      </w:r>
      <w:r>
        <w:rPr>
          <w:spacing w:val="-83"/>
        </w:rPr>
        <w:t> </w:t>
      </w:r>
      <w:r>
        <w:rPr>
          <w:spacing w:val="-83"/>
        </w:rPr>
      </w:r>
      <w:r>
        <w:rPr>
          <w:spacing w:val="-1"/>
        </w:rPr>
        <w:t>成熟的销售渠道和客户服务体系，以贴近客户的方式进行一对一的营销和运维服务，通过全国统一服务监</w:t>
      </w:r>
      <w:r>
        <w:rPr>
          <w:spacing w:val="-81"/>
        </w:rPr>
        <w:t> </w:t>
      </w:r>
      <w:r>
        <w:rPr>
          <w:spacing w:val="-81"/>
        </w:rPr>
      </w:r>
      <w:r>
        <w:rPr/>
        <w:t>控、一线</w:t>
      </w:r>
      <w:r>
        <w:rPr>
          <w:rFonts w:ascii="Times New Roman" w:hAnsi="Times New Roman" w:cs="Times New Roman" w:eastAsia="Times New Roman" w:hint="default"/>
        </w:rPr>
        <w:t>+</w:t>
      </w:r>
      <w:r>
        <w:rPr/>
        <w:t>二线的服务模式为用户提供在线、上门服务、评价体系，建立完整的服务闭合环。</w:t>
      </w:r>
    </w:p>
    <w:p>
      <w:pPr>
        <w:pStyle w:val="BodyText"/>
        <w:spacing w:line="386" w:lineRule="auto" w:before="21"/>
        <w:ind w:left="574" w:right="1114" w:hanging="1"/>
        <w:jc w:val="left"/>
      </w:pPr>
      <w:r>
        <w:rPr>
          <w:rFonts w:ascii="Times New Roman" w:hAnsi="Times New Roman" w:cs="Times New Roman" w:eastAsia="Times New Roman" w:hint="default"/>
          <w:b/>
          <w:bCs/>
        </w:rPr>
        <w:t>5</w:t>
      </w:r>
      <w:r>
        <w:rPr>
          <w:rFonts w:ascii="宋体" w:hAnsi="宋体" w:cs="宋体" w:eastAsia="宋体" w:hint="default"/>
          <w:b/>
          <w:bCs/>
        </w:rPr>
        <w:t>、生态圈融合赋能</w:t>
      </w:r>
      <w:r>
        <w:rPr>
          <w:rFonts w:ascii="宋体" w:hAnsi="宋体" w:cs="宋体" w:eastAsia="宋体" w:hint="default"/>
          <w:b/>
          <w:bCs/>
          <w:spacing w:val="1"/>
          <w:w w:val="99"/>
        </w:rPr>
        <w:t> </w:t>
      </w:r>
      <w:r>
        <w:rPr/>
        <w:t>公司注重生态建设，二十年来深耕校园领域，通过资源整合、共享，打造了</w:t>
      </w:r>
      <w:r>
        <w:rPr>
          <w:rFonts w:ascii="Times New Roman" w:hAnsi="Times New Roman" w:cs="Times New Roman" w:eastAsia="Times New Roman" w:hint="default"/>
        </w:rPr>
        <w:t>“</w:t>
      </w:r>
      <w:r>
        <w:rPr/>
        <w:t>新开普生态体系</w:t>
      </w:r>
      <w:r>
        <w:rPr>
          <w:rFonts w:ascii="Times New Roman" w:hAnsi="Times New Roman" w:cs="Times New Roman" w:eastAsia="Times New Roman" w:hint="default"/>
        </w:rPr>
        <w:t>”</w:t>
      </w:r>
      <w:r>
        <w:rPr/>
        <w:t>。公司</w:t>
      </w:r>
    </w:p>
    <w:p>
      <w:pPr>
        <w:pStyle w:val="BodyText"/>
        <w:spacing w:line="403" w:lineRule="auto" w:before="35"/>
        <w:ind w:right="1131"/>
        <w:jc w:val="both"/>
      </w:pPr>
      <w:r>
        <w:rPr>
          <w:spacing w:val="-1"/>
        </w:rPr>
        <w:t>借助价值链、产业链、人才链、资金链为一体的融合体系，充分发挥母、子公司在采购、生产、技术与研</w:t>
      </w:r>
      <w:r>
        <w:rPr>
          <w:spacing w:val="-85"/>
        </w:rPr>
        <w:t> </w:t>
      </w:r>
      <w:r>
        <w:rPr>
          <w:spacing w:val="-85"/>
        </w:rPr>
      </w:r>
      <w:r>
        <w:rPr>
          <w:spacing w:val="-1"/>
        </w:rPr>
        <w:t>发、营销服务、产品与业务内容等各方优势，提高公司的核心竞争力和持续盈利能力。报告期内，公司和</w:t>
      </w:r>
      <w:r>
        <w:rPr>
          <w:spacing w:val="-83"/>
        </w:rPr>
        <w:t> </w:t>
      </w:r>
      <w:r>
        <w:rPr>
          <w:spacing w:val="-83"/>
        </w:rPr>
      </w:r>
      <w:r>
        <w:rPr>
          <w:spacing w:val="-1"/>
        </w:rPr>
        <w:t>迪科远望技术融合，基于微服务架构的新一代一卡通系统成功落地，同时，公司投资设立控股子公司上海</w:t>
      </w:r>
      <w:r>
        <w:rPr>
          <w:spacing w:val="-83"/>
        </w:rPr>
        <w:t> </w:t>
      </w:r>
      <w:r>
        <w:rPr>
          <w:spacing w:val="-83"/>
        </w:rPr>
      </w:r>
      <w:r>
        <w:rPr>
          <w:spacing w:val="-2"/>
        </w:rPr>
        <w:t>新开普志成信息科技有限公司，致力于打造基于</w:t>
      </w:r>
      <w:r>
        <w:rPr>
          <w:rFonts w:ascii="Times New Roman" w:hAnsi="Times New Roman" w:cs="Times New Roman" w:eastAsia="Times New Roman" w:hint="default"/>
          <w:spacing w:val="-2"/>
        </w:rPr>
        <w:t>“</w:t>
      </w:r>
      <w:r>
        <w:rPr>
          <w:spacing w:val="-2"/>
        </w:rPr>
        <w:t>教育信息化</w:t>
      </w:r>
      <w:r>
        <w:rPr>
          <w:rFonts w:ascii="Times New Roman" w:hAnsi="Times New Roman" w:cs="Times New Roman" w:eastAsia="Times New Roman" w:hint="default"/>
          <w:spacing w:val="-2"/>
        </w:rPr>
        <w:t>2.0”</w:t>
      </w:r>
      <w:r>
        <w:rPr>
          <w:spacing w:val="-2"/>
        </w:rPr>
        <w:t>的智慧校园平台，全方位构建</w:t>
      </w:r>
      <w:r>
        <w:rPr>
          <w:rFonts w:ascii="Times New Roman" w:hAnsi="Times New Roman" w:cs="Times New Roman" w:eastAsia="Times New Roman" w:hint="default"/>
          <w:spacing w:val="-2"/>
        </w:rPr>
        <w:t>“</w:t>
      </w:r>
      <w:r>
        <w:rPr>
          <w:spacing w:val="-2"/>
        </w:rPr>
        <w:t>微服务</w:t>
      </w:r>
      <w:r>
        <w:rPr>
          <w:rFonts w:ascii="Times New Roman" w:hAnsi="Times New Roman" w:cs="Times New Roman" w:eastAsia="Times New Roman" w:hint="default"/>
          <w:spacing w:val="-2"/>
        </w:rPr>
        <w:t>+</w:t>
      </w:r>
      <w:r>
        <w:rPr>
          <w:spacing w:val="-2"/>
        </w:rPr>
        <w:t>大</w:t>
      </w:r>
      <w:r>
        <w:rPr>
          <w:spacing w:val="-62"/>
        </w:rPr>
        <w:t> </w:t>
      </w:r>
      <w:r>
        <w:rPr/>
        <w:t>平台</w:t>
      </w:r>
      <w:r>
        <w:rPr>
          <w:rFonts w:ascii="Times New Roman" w:hAnsi="Times New Roman" w:cs="Times New Roman" w:eastAsia="Times New Roman" w:hint="default"/>
        </w:rPr>
        <w:t>”</w:t>
      </w:r>
      <w:r>
        <w:rPr/>
        <w:t>的校园运行新模型。</w:t>
      </w:r>
    </w:p>
    <w:p>
      <w:pPr>
        <w:spacing w:after="0" w:line="403" w:lineRule="auto"/>
        <w:jc w:val="both"/>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6" w:right="1113"/>
        <w:jc w:val="left"/>
        <w:rPr>
          <w:b w:val="0"/>
          <w:bCs w:val="0"/>
        </w:rPr>
      </w:pPr>
      <w:bookmarkStart w:name="_TOC_250009" w:id="4"/>
      <w:r>
        <w:rPr/>
        <w:t>第四节经营情况讨论与分析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8"/>
        <w:rPr>
          <w:rFonts w:ascii="宋体" w:hAnsi="宋体" w:cs="宋体" w:eastAsia="宋体" w:hint="default"/>
          <w:b/>
          <w:bCs/>
          <w:sz w:val="30"/>
          <w:szCs w:val="30"/>
        </w:rPr>
      </w:pPr>
    </w:p>
    <w:p>
      <w:pPr>
        <w:pStyle w:val="BodyText"/>
        <w:spacing w:line="403" w:lineRule="auto" w:before="0"/>
        <w:ind w:left="153" w:right="993" w:firstLine="420"/>
        <w:jc w:val="left"/>
      </w:pPr>
      <w:r>
        <w:rPr/>
        <w:t>报告期内，公司坚持科技服务，混合云产品战略，为校园、政企客户构建可持续、开放共享的信息化 生态。同时，公司在技术、市场、资本多轮驱动下，促进公司及相关生态公司业务的深度融合，持续提升 智慧校园、智慧政企产品和服务能力。同时，公司快速向产业互联网、物联网科技服务公司转型，优化数 据场景产品及服务、基于混合云的</w:t>
      </w:r>
      <w:r>
        <w:rPr>
          <w:rFonts w:ascii="Times New Roman" w:hAnsi="Times New Roman" w:cs="Times New Roman" w:eastAsia="Times New Roman" w:hint="default"/>
        </w:rPr>
        <w:t>PaaS</w:t>
      </w:r>
      <w:r>
        <w:rPr/>
        <w:t>、</w:t>
      </w:r>
      <w:r>
        <w:rPr>
          <w:rFonts w:ascii="Times New Roman" w:hAnsi="Times New Roman" w:cs="Times New Roman" w:eastAsia="Times New Roman" w:hint="default"/>
        </w:rPr>
        <w:t>SaaS</w:t>
      </w:r>
      <w:r>
        <w:rPr/>
        <w:t>产品及服务，并不断进行多行业覆盖和拓展。目前公司已经 转型为智慧校园中台及包含一卡通、数字化校园平台与应用、教务管理系统、综合缴费云服务、大数据服 务平台、就业管理系统、移动互联网服务、多场景物联网智能终端在内的各类应用系统、服务的智慧校园 综合云平台服务商。同时，公司布局的职业教育、校企合作及专业共建等业务也为公司智慧校园战略的实 </w:t>
      </w:r>
      <w:r>
        <w:rPr>
          <w:spacing w:val="-3"/>
        </w:rPr>
        <w:t>施落地，增加了强有力的内涵支持。</w:t>
      </w:r>
      <w:r>
        <w:rPr>
          <w:rFonts w:ascii="Times New Roman" w:hAnsi="Times New Roman" w:cs="Times New Roman" w:eastAsia="Times New Roman" w:hint="default"/>
          <w:spacing w:val="-3"/>
        </w:rPr>
        <w:t>2019</w:t>
      </w:r>
      <w:r>
        <w:rPr>
          <w:spacing w:val="-3"/>
        </w:rPr>
        <w:t>年度，公司实现营业收入</w:t>
      </w:r>
      <w:r>
        <w:rPr>
          <w:rFonts w:ascii="Times New Roman" w:hAnsi="Times New Roman" w:cs="Times New Roman" w:eastAsia="Times New Roman" w:hint="default"/>
          <w:spacing w:val="-3"/>
        </w:rPr>
        <w:t>96,402.34</w:t>
      </w:r>
      <w:r>
        <w:rPr>
          <w:spacing w:val="-3"/>
        </w:rPr>
        <w:t>万元，比上年同期增长</w:t>
      </w:r>
      <w:r>
        <w:rPr>
          <w:rFonts w:ascii="Times New Roman" w:hAnsi="Times New Roman" w:cs="Times New Roman" w:eastAsia="Times New Roman" w:hint="default"/>
          <w:spacing w:val="-3"/>
        </w:rPr>
        <w:t>15.09%</w:t>
      </w:r>
      <w:r>
        <w:rPr>
          <w:spacing w:val="-3"/>
        </w:rPr>
        <w:t>；</w:t>
      </w:r>
      <w:r>
        <w:rPr>
          <w:spacing w:val="-87"/>
        </w:rPr>
        <w:t> </w:t>
      </w:r>
      <w:r>
        <w:rPr/>
        <w:t>实现归属于上市公司股东的净利润</w:t>
      </w:r>
      <w:r>
        <w:rPr>
          <w:rFonts w:ascii="Times New Roman" w:hAnsi="Times New Roman" w:cs="Times New Roman" w:eastAsia="Times New Roman" w:hint="default"/>
        </w:rPr>
        <w:t>15,769.05</w:t>
      </w:r>
      <w:r>
        <w:rPr/>
        <w:t>万元，比上年同期增长</w:t>
      </w:r>
      <w:r>
        <w:rPr>
          <w:rFonts w:ascii="Times New Roman" w:hAnsi="Times New Roman" w:cs="Times New Roman" w:eastAsia="Times New Roman" w:hint="default"/>
        </w:rPr>
        <w:t>64.07%</w:t>
      </w:r>
      <w:r>
        <w:rPr/>
        <w:t>。</w:t>
      </w:r>
    </w:p>
    <w:p>
      <w:pPr>
        <w:spacing w:line="408" w:lineRule="auto" w:before="19"/>
        <w:ind w:left="573" w:right="1113" w:firstLine="0"/>
        <w:jc w:val="left"/>
        <w:rPr>
          <w:rFonts w:ascii="宋体" w:hAnsi="宋体" w:cs="宋体" w:eastAsia="宋体" w:hint="default"/>
          <w:sz w:val="21"/>
          <w:szCs w:val="21"/>
        </w:rPr>
      </w:pPr>
      <w:r>
        <w:rPr>
          <w:rFonts w:ascii="宋体" w:hAnsi="宋体" w:cs="宋体" w:eastAsia="宋体" w:hint="default"/>
          <w:b/>
          <w:bCs/>
          <w:sz w:val="21"/>
          <w:szCs w:val="21"/>
        </w:rPr>
        <w:t>（一）挖掘学校服务深度，持续提升智慧校园应用解决方案能力</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公司持续提升智慧校园产品和服务能力，加大各业务板块及与各子公司间的业务深度融合，在产业互</w:t>
      </w:r>
    </w:p>
    <w:p>
      <w:pPr>
        <w:pStyle w:val="BodyText"/>
        <w:spacing w:line="393" w:lineRule="auto"/>
        <w:ind w:left="153" w:right="1119"/>
        <w:jc w:val="both"/>
      </w:pPr>
      <w:r>
        <w:rPr>
          <w:spacing w:val="-1"/>
        </w:rPr>
        <w:t>联网、消费互联网能力建设、</w:t>
      </w:r>
      <w:r>
        <w:rPr>
          <w:rFonts w:ascii="Times New Roman" w:hAnsi="Times New Roman" w:cs="Times New Roman" w:eastAsia="Times New Roman" w:hint="default"/>
          <w:spacing w:val="-1"/>
        </w:rPr>
        <w:t>SaaS</w:t>
      </w:r>
      <w:r>
        <w:rPr>
          <w:spacing w:val="-1"/>
        </w:rPr>
        <w:t>服务能力、运营能力方面取得较大突破。报告期内，公司通过行业解决</w:t>
      </w:r>
      <w:r>
        <w:rPr>
          <w:spacing w:val="-82"/>
        </w:rPr>
        <w:t> </w:t>
      </w:r>
      <w:r>
        <w:rPr>
          <w:spacing w:val="-82"/>
        </w:rPr>
      </w:r>
      <w:r>
        <w:rPr>
          <w:spacing w:val="-1"/>
        </w:rPr>
        <w:t>方案和物联网智能终端的创新升级，提高多产品、校园多场景覆盖率；通过新增客户提高市场占有率，并</w:t>
      </w:r>
      <w:r>
        <w:rPr>
          <w:spacing w:val="-82"/>
        </w:rPr>
        <w:t> </w:t>
      </w:r>
      <w:r>
        <w:rPr>
          <w:spacing w:val="-82"/>
        </w:rPr>
      </w:r>
      <w:r>
        <w:rPr/>
        <w:t>结合移动互联平台</w:t>
      </w:r>
      <w:r>
        <w:rPr>
          <w:rFonts w:ascii="Times New Roman" w:hAnsi="Times New Roman" w:cs="Times New Roman" w:eastAsia="Times New Roman" w:hint="default"/>
        </w:rPr>
        <w:t>“</w:t>
      </w:r>
      <w:r>
        <w:rPr/>
        <w:t>完美校园</w:t>
      </w:r>
      <w:r>
        <w:rPr>
          <w:rFonts w:ascii="Times New Roman" w:hAnsi="Times New Roman" w:cs="Times New Roman" w:eastAsia="Times New Roman" w:hint="default"/>
        </w:rPr>
        <w:t>”</w:t>
      </w:r>
      <w:r>
        <w:rPr/>
        <w:t>的服务运营，提升公司服务客户及用户的深度和广度；通过打造完整的校园 </w:t>
      </w:r>
      <w:r>
        <w:rPr>
          <w:spacing w:val="-1"/>
        </w:rPr>
        <w:t>物联网平台及运维服务创新升级，大大提升和巩固客户黏性；通过职业教育和产学研专业共建，深挖教育</w:t>
      </w:r>
      <w:r>
        <w:rPr>
          <w:spacing w:val="-83"/>
        </w:rPr>
        <w:t> </w:t>
      </w:r>
      <w:r>
        <w:rPr>
          <w:spacing w:val="-83"/>
        </w:rPr>
      </w:r>
      <w:r>
        <w:rPr>
          <w:spacing w:val="-2"/>
        </w:rPr>
        <w:t>信息化深度，提升智慧教育应用水平。公司始终在进行</w:t>
      </w:r>
      <w:r>
        <w:rPr>
          <w:rFonts w:ascii="Times New Roman" w:hAnsi="Times New Roman" w:cs="Times New Roman" w:eastAsia="Times New Roman" w:hint="default"/>
          <w:spacing w:val="-2"/>
        </w:rPr>
        <w:t>“</w:t>
      </w:r>
      <w:r>
        <w:rPr>
          <w:spacing w:val="-2"/>
        </w:rPr>
        <w:t>硬件</w:t>
      </w:r>
      <w:r>
        <w:rPr>
          <w:rFonts w:ascii="Times New Roman" w:hAnsi="Times New Roman" w:cs="Times New Roman" w:eastAsia="Times New Roman" w:hint="default"/>
          <w:spacing w:val="-2"/>
        </w:rPr>
        <w:t>+</w:t>
      </w:r>
      <w:r>
        <w:rPr>
          <w:spacing w:val="-2"/>
        </w:rPr>
        <w:t>软件</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产品</w:t>
      </w:r>
      <w:r>
        <w:rPr>
          <w:rFonts w:ascii="Times New Roman" w:hAnsi="Times New Roman" w:cs="Times New Roman" w:eastAsia="Times New Roman" w:hint="default"/>
          <w:spacing w:val="-2"/>
        </w:rPr>
        <w:t>+</w:t>
      </w:r>
      <w:r>
        <w:rPr>
          <w:spacing w:val="-2"/>
        </w:rPr>
        <w:t>服务</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平台</w:t>
      </w:r>
      <w:r>
        <w:rPr>
          <w:rFonts w:ascii="Times New Roman" w:hAnsi="Times New Roman" w:cs="Times New Roman" w:eastAsia="Times New Roman" w:hint="default"/>
          <w:spacing w:val="-2"/>
        </w:rPr>
        <w:t>+</w:t>
      </w:r>
      <w:r>
        <w:rPr>
          <w:spacing w:val="-2"/>
        </w:rPr>
        <w:t>内容</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线上</w:t>
      </w:r>
      <w:r>
        <w:rPr>
          <w:rFonts w:ascii="Times New Roman" w:hAnsi="Times New Roman" w:cs="Times New Roman" w:eastAsia="Times New Roman" w:hint="default"/>
          <w:spacing w:val="-2"/>
        </w:rPr>
        <w:t>+</w:t>
      </w:r>
      <w:r>
        <w:rPr>
          <w:rFonts w:ascii="Times New Roman" w:hAnsi="Times New Roman" w:cs="Times New Roman" w:eastAsia="Times New Roman" w:hint="default"/>
        </w:rPr>
        <w:t> </w:t>
      </w:r>
      <w:r>
        <w:rPr>
          <w:spacing w:val="11"/>
        </w:rPr>
        <w:t>线下</w:t>
      </w:r>
      <w:r>
        <w:rPr>
          <w:rFonts w:ascii="Times New Roman" w:hAnsi="Times New Roman" w:cs="Times New Roman" w:eastAsia="Times New Roman" w:hint="default"/>
          <w:spacing w:val="11"/>
        </w:rPr>
        <w:t>”</w:t>
      </w:r>
      <w:r>
        <w:rPr>
          <w:spacing w:val="11"/>
        </w:rPr>
        <w:t>的生态体系建设，夯实教育信息化龙头地位。</w:t>
      </w:r>
      <w:r>
        <w:rPr>
          <w:rFonts w:ascii="Times New Roman" w:hAnsi="Times New Roman" w:cs="Times New Roman" w:eastAsia="Times New Roman" w:hint="default"/>
          <w:spacing w:val="11"/>
        </w:rPr>
        <w:t>2019</w:t>
      </w:r>
      <w:r>
        <w:rPr>
          <w:spacing w:val="11"/>
        </w:rPr>
        <w:t>年度，智慧校园应用解决方案实现营业收入</w:t>
      </w:r>
      <w:r>
        <w:rPr>
          <w:spacing w:val="-91"/>
        </w:rPr>
        <w:t> </w:t>
      </w:r>
      <w:r>
        <w:rPr>
          <w:spacing w:val="-91"/>
        </w:rPr>
      </w:r>
      <w:r>
        <w:rPr>
          <w:rFonts w:ascii="Times New Roman" w:hAnsi="Times New Roman" w:cs="Times New Roman" w:eastAsia="Times New Roman" w:hint="default"/>
        </w:rPr>
        <w:t>54,271.51</w:t>
      </w:r>
      <w:r>
        <w:rPr/>
        <w:t>万元，比上年同期增长</w:t>
      </w:r>
      <w:r>
        <w:rPr>
          <w:rFonts w:ascii="Times New Roman" w:hAnsi="Times New Roman" w:cs="Times New Roman" w:eastAsia="Times New Roman" w:hint="default"/>
        </w:rPr>
        <w:t>9.85%</w:t>
      </w:r>
      <w:r>
        <w:rPr/>
        <w:t>。</w:t>
      </w:r>
    </w:p>
    <w:p>
      <w:pPr>
        <w:spacing w:line="408" w:lineRule="auto" w:before="28"/>
        <w:ind w:left="573" w:right="1016" w:firstLine="0"/>
        <w:jc w:val="left"/>
        <w:rPr>
          <w:rFonts w:ascii="宋体" w:hAnsi="宋体" w:cs="宋体" w:eastAsia="宋体" w:hint="default"/>
          <w:sz w:val="21"/>
          <w:szCs w:val="21"/>
        </w:rPr>
      </w:pPr>
      <w:r>
        <w:rPr>
          <w:rFonts w:ascii="宋体" w:hAnsi="宋体" w:cs="宋体" w:eastAsia="宋体" w:hint="default"/>
          <w:b/>
          <w:bCs/>
          <w:sz w:val="21"/>
          <w:szCs w:val="21"/>
        </w:rPr>
        <w:t>（二）校园云平台探索升级，提供校园新服务</w:t>
      </w:r>
      <w:r>
        <w:rPr>
          <w:rFonts w:ascii="宋体" w:hAnsi="宋体" w:cs="宋体" w:eastAsia="宋体" w:hint="default"/>
          <w:b/>
          <w:bCs/>
          <w:w w:val="99"/>
          <w:sz w:val="21"/>
          <w:szCs w:val="21"/>
        </w:rPr>
        <w:t> </w:t>
      </w:r>
      <w:r>
        <w:rPr>
          <w:rFonts w:ascii="宋体" w:hAnsi="宋体" w:cs="宋体" w:eastAsia="宋体" w:hint="default"/>
          <w:spacing w:val="-3"/>
          <w:sz w:val="21"/>
          <w:szCs w:val="21"/>
        </w:rPr>
        <w:t>报告期内，公司通过云计算、大数据、物联网、人工智能、移动互联等技术与现有区域校园生活环境、</w:t>
      </w:r>
    </w:p>
    <w:p>
      <w:pPr>
        <w:pStyle w:val="BodyText"/>
        <w:spacing w:line="386" w:lineRule="auto"/>
        <w:ind w:left="153" w:right="1023"/>
        <w:jc w:val="both"/>
      </w:pPr>
      <w:r>
        <w:rPr>
          <w:spacing w:val="-1"/>
        </w:rPr>
        <w:t>教学环境、教学过程全面进行融合，基于公司现有信息化成果，为校园提升</w:t>
      </w:r>
      <w:r>
        <w:rPr>
          <w:rFonts w:ascii="Times New Roman" w:hAnsi="Times New Roman" w:cs="Times New Roman" w:eastAsia="Times New Roman" w:hint="default"/>
          <w:spacing w:val="-1"/>
        </w:rPr>
        <w:t>ICT</w:t>
      </w:r>
      <w:r>
        <w:rPr>
          <w:spacing w:val="-1"/>
        </w:rPr>
        <w:t>服务水平，降低建设成本，</w:t>
      </w:r>
      <w:r>
        <w:rPr>
          <w:spacing w:val="-102"/>
        </w:rPr>
        <w:t> </w:t>
      </w:r>
      <w:r>
        <w:rPr>
          <w:spacing w:val="-102"/>
        </w:rPr>
      </w:r>
      <w:r>
        <w:rPr/>
        <w:t>提供先进完整、稳定的综合云平台解决方案。</w:t>
      </w:r>
    </w:p>
    <w:p>
      <w:pPr>
        <w:pStyle w:val="BodyText"/>
        <w:spacing w:line="408" w:lineRule="auto" w:before="65"/>
        <w:ind w:left="153" w:right="1131" w:firstLine="420"/>
        <w:jc w:val="both"/>
      </w:pPr>
      <w:r>
        <w:rPr>
          <w:spacing w:val="-1"/>
        </w:rPr>
        <w:t>报告期内，公司通过构建校园物联网、金融服务管理平台、校园生活服务平台、鉴权管理平台，为高</w:t>
      </w:r>
      <w:r>
        <w:rPr/>
        <w:t> </w:t>
      </w:r>
      <w:r>
        <w:rPr>
          <w:spacing w:val="-1"/>
        </w:rPr>
        <w:t>校信息化建设提供基于智慧校园的顶层架构设计和全新的智能管理模式。同时，为多个国有商业银行总行</w:t>
      </w:r>
      <w:r>
        <w:rPr>
          <w:spacing w:val="-81"/>
        </w:rPr>
        <w:t> </w:t>
      </w:r>
      <w:r>
        <w:rPr>
          <w:spacing w:val="-81"/>
        </w:rPr>
      </w:r>
      <w:r>
        <w:rPr>
          <w:spacing w:val="-1"/>
        </w:rPr>
        <w:t>及部分省级分行打造基于银行金融科技能力的智慧校园普惠服务云平台，融合学校生活、学习服务领域私</w:t>
      </w:r>
    </w:p>
    <w:p>
      <w:pPr>
        <w:spacing w:after="0" w:line="408" w:lineRule="auto"/>
        <w:jc w:val="both"/>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379" w:lineRule="auto" w:before="174"/>
        <w:ind w:right="993" w:hanging="1"/>
        <w:jc w:val="left"/>
      </w:pPr>
      <w:r>
        <w:rPr>
          <w:spacing w:val="-10"/>
        </w:rPr>
        <w:t>有云服务应用和新开普公有云</w:t>
      </w:r>
      <w:r>
        <w:rPr>
          <w:rFonts w:ascii="Times New Roman" w:hAnsi="Times New Roman" w:cs="Times New Roman" w:eastAsia="Times New Roman" w:hint="default"/>
          <w:spacing w:val="-10"/>
        </w:rPr>
        <w:t>SaaS</w:t>
      </w:r>
      <w:r>
        <w:rPr>
          <w:spacing w:val="-10"/>
        </w:rPr>
        <w:t>服务群以及银行普惠金融服务能力（聚合支付、二三类账户、</w:t>
      </w:r>
      <w:r>
        <w:rPr>
          <w:rFonts w:ascii="Times New Roman" w:hAnsi="Times New Roman" w:cs="Times New Roman" w:eastAsia="Times New Roman" w:hint="default"/>
          <w:spacing w:val="-10"/>
        </w:rPr>
        <w:t>B2C</w:t>
      </w:r>
      <w:r>
        <w:rPr>
          <w:spacing w:val="-10"/>
        </w:rPr>
        <w:t>、</w:t>
      </w:r>
      <w:r>
        <w:rPr>
          <w:rFonts w:ascii="Times New Roman" w:hAnsi="Times New Roman" w:cs="Times New Roman" w:eastAsia="Times New Roman" w:hint="default"/>
          <w:spacing w:val="-10"/>
        </w:rPr>
        <w:t>B2B</w:t>
      </w:r>
      <w:r>
        <w:rPr>
          <w:spacing w:val="-10"/>
        </w:rPr>
        <w:t>），</w:t>
      </w:r>
      <w:r>
        <w:rPr>
          <w:spacing w:val="-56"/>
        </w:rPr>
        <w:t> </w:t>
      </w:r>
      <w:r>
        <w:rPr>
          <w:spacing w:val="-56"/>
        </w:rPr>
      </w:r>
      <w:r>
        <w:rPr/>
        <w:t>为教育信息化行业产业互联网的行业云产品服务模式提出了新的解决方案。公司为建总行提供的</w:t>
      </w:r>
      <w:r>
        <w:rPr>
          <w:rFonts w:ascii="Calibri" w:hAnsi="Calibri" w:cs="Calibri" w:eastAsia="Calibri" w:hint="default"/>
        </w:rPr>
        <w:t>“</w:t>
      </w:r>
      <w:r>
        <w:rPr/>
        <w:t>建融慧</w:t>
      </w:r>
      <w:r>
        <w:rPr>
          <w:spacing w:val="-20"/>
        </w:rPr>
        <w:t> </w:t>
      </w:r>
      <w:r>
        <w:rPr/>
        <w:t>学</w:t>
      </w:r>
      <w:r>
        <w:rPr>
          <w:rFonts w:ascii="Calibri" w:hAnsi="Calibri" w:cs="Calibri" w:eastAsia="Calibri" w:hint="default"/>
        </w:rPr>
        <w:t>”</w:t>
      </w:r>
      <w:r>
        <w:rPr/>
        <w:t>产品目前已上线，未来公司将结合新开普智慧校园建设规划及产品解决方案，以智慧校园支付主题为</w:t>
      </w:r>
      <w:r>
        <w:rPr>
          <w:spacing w:val="-23"/>
        </w:rPr>
        <w:t> </w:t>
      </w:r>
      <w:r>
        <w:rPr>
          <w:spacing w:val="-23"/>
        </w:rPr>
      </w:r>
      <w:r>
        <w:rPr/>
        <w:t>切入点，逐步覆盖校园全场景，建设智慧校园技术、业务中台，提升</w:t>
      </w:r>
      <w:r>
        <w:rPr>
          <w:rFonts w:ascii="Times New Roman" w:hAnsi="Times New Roman" w:cs="Times New Roman" w:eastAsia="Times New Roman" w:hint="default"/>
        </w:rPr>
        <w:t>B</w:t>
      </w:r>
      <w:r>
        <w:rPr/>
        <w:t>端投资粘性。</w:t>
      </w:r>
      <w:r>
        <w:rPr>
          <w:rFonts w:ascii="Times New Roman" w:hAnsi="Times New Roman" w:cs="Times New Roman" w:eastAsia="Times New Roman" w:hint="default"/>
        </w:rPr>
        <w:t>2019</w:t>
      </w:r>
      <w:r>
        <w:rPr/>
        <w:t>年度，智慧校园</w:t>
      </w:r>
      <w:r>
        <w:rPr>
          <w:spacing w:val="-68"/>
        </w:rPr>
        <w:t> </w:t>
      </w:r>
      <w:r>
        <w:rPr>
          <w:spacing w:val="-68"/>
        </w:rPr>
      </w:r>
      <w:r>
        <w:rPr/>
        <w:t>云平台解决方案实现营业收入</w:t>
      </w:r>
      <w:r>
        <w:rPr>
          <w:rFonts w:ascii="Times New Roman" w:hAnsi="Times New Roman" w:cs="Times New Roman" w:eastAsia="Times New Roman" w:hint="default"/>
        </w:rPr>
        <w:t>12,771.71</w:t>
      </w:r>
      <w:r>
        <w:rPr/>
        <w:t>万元，比上年同期增长</w:t>
      </w:r>
      <w:r>
        <w:rPr>
          <w:rFonts w:ascii="Times New Roman" w:hAnsi="Times New Roman" w:cs="Times New Roman" w:eastAsia="Times New Roman" w:hint="default"/>
        </w:rPr>
        <w:t>45.12%</w:t>
      </w:r>
      <w:r>
        <w:rPr/>
        <w:t>。</w:t>
      </w:r>
    </w:p>
    <w:p>
      <w:pPr>
        <w:spacing w:line="408" w:lineRule="auto" w:before="42"/>
        <w:ind w:left="574" w:right="1113" w:firstLine="0"/>
        <w:jc w:val="left"/>
        <w:rPr>
          <w:rFonts w:ascii="宋体" w:hAnsi="宋体" w:cs="宋体" w:eastAsia="宋体" w:hint="default"/>
          <w:sz w:val="21"/>
          <w:szCs w:val="21"/>
        </w:rPr>
      </w:pPr>
      <w:r>
        <w:rPr>
          <w:rFonts w:ascii="宋体" w:hAnsi="宋体" w:cs="宋体" w:eastAsia="宋体" w:hint="default"/>
          <w:b/>
          <w:bCs/>
          <w:sz w:val="21"/>
          <w:szCs w:val="21"/>
        </w:rPr>
        <w:t>（三）加快公有云服务进度，切入学校信息化痛点</w:t>
      </w:r>
      <w:r>
        <w:rPr>
          <w:rFonts w:ascii="宋体" w:hAnsi="宋体" w:cs="宋体" w:eastAsia="宋体" w:hint="default"/>
          <w:b/>
          <w:bCs/>
          <w:w w:val="99"/>
          <w:sz w:val="21"/>
          <w:szCs w:val="21"/>
        </w:rPr>
        <w:t> </w:t>
      </w:r>
      <w:r>
        <w:rPr>
          <w:rFonts w:ascii="宋体" w:hAnsi="宋体" w:cs="宋体" w:eastAsia="宋体" w:hint="default"/>
          <w:spacing w:val="-1"/>
          <w:sz w:val="21"/>
          <w:szCs w:val="21"/>
        </w:rPr>
        <w:t>报告期内，公司与蚂蚁金服战略合作，借助蚂蚁金服强大的技术优势，深度融合人脸识别算法，优化</w:t>
      </w:r>
    </w:p>
    <w:p>
      <w:pPr>
        <w:pStyle w:val="BodyText"/>
        <w:spacing w:line="400" w:lineRule="auto"/>
        <w:ind w:right="1125"/>
        <w:jc w:val="both"/>
      </w:pPr>
      <w:r>
        <w:rPr>
          <w:spacing w:val="-1"/>
        </w:rPr>
        <w:t>人脸认证服务平台，极大提升了公司的技术实力与多场景应用能力。目前，公司已实现高校场景人脸识别</w:t>
      </w:r>
      <w:r>
        <w:rPr>
          <w:spacing w:val="-83"/>
        </w:rPr>
        <w:t> </w:t>
      </w:r>
      <w:r>
        <w:rPr>
          <w:spacing w:val="-83"/>
        </w:rPr>
      </w:r>
      <w:r>
        <w:rPr>
          <w:spacing w:val="-1"/>
        </w:rPr>
        <w:t>应用的全覆盖，并与支付宝深度合作推出校园码，可实现全场景卡、码、脸双离线核身和支付。目前，校</w:t>
      </w:r>
      <w:r>
        <w:rPr>
          <w:spacing w:val="-83"/>
        </w:rPr>
        <w:t> </w:t>
      </w:r>
      <w:r>
        <w:rPr>
          <w:spacing w:val="-83"/>
        </w:rPr>
      </w:r>
      <w:r>
        <w:rPr/>
        <w:t>园码已经在北京、河南、江苏等</w:t>
      </w:r>
      <w:r>
        <w:rPr>
          <w:rFonts w:ascii="Times New Roman" w:hAnsi="Times New Roman" w:cs="Times New Roman" w:eastAsia="Times New Roman" w:hint="default"/>
        </w:rPr>
        <w:t>90</w:t>
      </w:r>
      <w:r>
        <w:rPr/>
        <w:t>多所高校覆盖，同时为进一步降低用户的使用门槛，实现</w:t>
      </w:r>
      <w:r>
        <w:rPr>
          <w:rFonts w:ascii="Times New Roman" w:hAnsi="Times New Roman" w:cs="Times New Roman" w:eastAsia="Times New Roman" w:hint="default"/>
        </w:rPr>
        <w:t>“</w:t>
      </w:r>
      <w:r>
        <w:rPr/>
        <w:t>校园服务、</w:t>
      </w:r>
      <w:r>
        <w:rPr>
          <w:spacing w:val="-24"/>
        </w:rPr>
        <w:t> </w:t>
      </w:r>
      <w:r>
        <w:rPr/>
        <w:t>即用即走</w:t>
      </w:r>
      <w:r>
        <w:rPr>
          <w:rFonts w:ascii="Times New Roman" w:hAnsi="Times New Roman" w:cs="Times New Roman" w:eastAsia="Times New Roman" w:hint="default"/>
        </w:rPr>
        <w:t>”</w:t>
      </w:r>
      <w:r>
        <w:rPr/>
        <w:t>的理念，</w:t>
      </w:r>
      <w:r>
        <w:rPr>
          <w:rFonts w:ascii="Times New Roman" w:hAnsi="Times New Roman" w:cs="Times New Roman" w:eastAsia="Times New Roman" w:hint="default"/>
        </w:rPr>
        <w:t>5</w:t>
      </w:r>
      <w:r>
        <w:rPr/>
        <w:t>月份上线了完美校园支付宝小程序，目前已接入</w:t>
      </w:r>
      <w:r>
        <w:rPr>
          <w:rFonts w:ascii="Times New Roman" w:hAnsi="Times New Roman" w:cs="Times New Roman" w:eastAsia="Times New Roman" w:hint="default"/>
        </w:rPr>
        <w:t>800</w:t>
      </w:r>
      <w:r>
        <w:rPr/>
        <w:t>多所高校。</w:t>
      </w:r>
    </w:p>
    <w:p>
      <w:pPr>
        <w:pStyle w:val="BodyText"/>
        <w:spacing w:line="403" w:lineRule="auto" w:before="21"/>
        <w:ind w:right="1108" w:firstLine="420"/>
        <w:jc w:val="both"/>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9</w:t>
      </w:r>
      <w:r>
        <w:rPr>
          <w:spacing w:val="-3"/>
        </w:rPr>
        <w:t>月，公司设立控股子公司完美数联（杭州）科技有限公司，以发挥</w:t>
      </w:r>
      <w:r>
        <w:rPr>
          <w:rFonts w:ascii="Times New Roman" w:hAnsi="Times New Roman" w:cs="Times New Roman" w:eastAsia="Times New Roman" w:hint="default"/>
          <w:spacing w:val="-3"/>
        </w:rPr>
        <w:t>“</w:t>
      </w:r>
      <w:r>
        <w:rPr>
          <w:spacing w:val="-3"/>
        </w:rPr>
        <w:t>完美校园</w:t>
      </w:r>
      <w:r>
        <w:rPr>
          <w:rFonts w:ascii="Times New Roman" w:hAnsi="Times New Roman" w:cs="Times New Roman" w:eastAsia="Times New Roman" w:hint="default"/>
          <w:spacing w:val="-3"/>
        </w:rPr>
        <w:t>”</w:t>
      </w:r>
      <w:r>
        <w:rPr>
          <w:spacing w:val="-3"/>
        </w:rPr>
        <w:t>互联网平台优势</w:t>
      </w:r>
      <w:r>
        <w:rPr/>
        <w:t> </w:t>
      </w:r>
      <w:r>
        <w:rPr>
          <w:spacing w:val="-1"/>
        </w:rPr>
        <w:t>和品牌价值，与学校各个垂直场景深度融合，服务学生的学习生活、校园生活、教育培训、实习就业、社</w:t>
      </w:r>
      <w:r>
        <w:rPr>
          <w:spacing w:val="-83"/>
        </w:rPr>
        <w:t> </w:t>
      </w:r>
      <w:r>
        <w:rPr>
          <w:spacing w:val="-83"/>
        </w:rPr>
      </w:r>
      <w:r>
        <w:rPr>
          <w:spacing w:val="-1"/>
        </w:rPr>
        <w:t>区服务等方面，助力高校提供更优质的生活管理、教学管理、人才成长管理服务，帮助大学生提升校园生</w:t>
      </w:r>
      <w:r>
        <w:rPr>
          <w:spacing w:val="-82"/>
        </w:rPr>
        <w:t> </w:t>
      </w:r>
      <w:r>
        <w:rPr>
          <w:spacing w:val="-82"/>
        </w:rPr>
      </w:r>
      <w:r>
        <w:rPr/>
        <w:t>活质量、提升就业能力和素质，为高校、企业与社会提供有效的连接平台，成为高校信息化生态共建者。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月，完美数联收购华驰联创</w:t>
      </w:r>
      <w:r>
        <w:rPr>
          <w:rFonts w:ascii="Times New Roman" w:hAnsi="Times New Roman" w:cs="Times New Roman" w:eastAsia="Times New Roman" w:hint="default"/>
        </w:rPr>
        <w:t>67.00%</w:t>
      </w:r>
      <w:r>
        <w:rPr/>
        <w:t>的股权，依托</w:t>
      </w:r>
      <w:r>
        <w:rPr>
          <w:rFonts w:ascii="Times New Roman" w:hAnsi="Times New Roman" w:cs="Times New Roman" w:eastAsia="Times New Roman" w:hint="default"/>
        </w:rPr>
        <w:t>“</w:t>
      </w:r>
      <w:r>
        <w:rPr/>
        <w:t>就业宝</w:t>
      </w:r>
      <w:r>
        <w:rPr>
          <w:rFonts w:ascii="Times New Roman" w:hAnsi="Times New Roman" w:cs="Times New Roman" w:eastAsia="Times New Roman" w:hint="default"/>
        </w:rPr>
        <w:t>”</w:t>
      </w:r>
      <w:r>
        <w:rPr/>
        <w:t>高校就业服务和就业管理信息平台，完</w:t>
      </w:r>
      <w:r>
        <w:rPr>
          <w:spacing w:val="-35"/>
        </w:rPr>
        <w:t> </w:t>
      </w:r>
      <w:r>
        <w:rPr>
          <w:spacing w:val="-35"/>
        </w:rPr>
      </w:r>
      <w:r>
        <w:rPr>
          <w:spacing w:val="-1"/>
        </w:rPr>
        <w:t>美数联能快速构筑大学生、高校、用人企业端的强连接，形成高校智慧就业服务能力，实现与高校就业指</w:t>
      </w:r>
      <w:r>
        <w:rPr>
          <w:spacing w:val="-82"/>
        </w:rPr>
        <w:t> </w:t>
      </w:r>
      <w:r>
        <w:rPr>
          <w:spacing w:val="-82"/>
        </w:rPr>
      </w:r>
      <w:r>
        <w:rPr>
          <w:spacing w:val="-1"/>
        </w:rPr>
        <w:t>导中心的数据实时互联互通，为后续校园大数据运营场景提供精准高效的数据支撑，加速完美数联人才服</w:t>
      </w:r>
      <w:r>
        <w:rPr>
          <w:spacing w:val="-81"/>
        </w:rPr>
        <w:t> </w:t>
      </w:r>
      <w:r>
        <w:rPr>
          <w:spacing w:val="-81"/>
        </w:rPr>
      </w:r>
      <w:r>
        <w:rPr/>
        <w:t>务业务板块落地，快速构筑校园招聘壁垒，形成多方协同。</w:t>
      </w:r>
    </w:p>
    <w:p>
      <w:pPr>
        <w:spacing w:line="408" w:lineRule="auto" w:before="50"/>
        <w:ind w:left="574" w:right="1113" w:firstLine="0"/>
        <w:jc w:val="left"/>
        <w:rPr>
          <w:rFonts w:ascii="宋体" w:hAnsi="宋体" w:cs="宋体" w:eastAsia="宋体" w:hint="default"/>
          <w:sz w:val="21"/>
          <w:szCs w:val="21"/>
        </w:rPr>
      </w:pPr>
      <w:r>
        <w:rPr>
          <w:rFonts w:ascii="宋体" w:hAnsi="宋体" w:cs="宋体" w:eastAsia="宋体" w:hint="default"/>
          <w:b/>
          <w:bCs/>
          <w:sz w:val="21"/>
          <w:szCs w:val="21"/>
        </w:rPr>
        <w:t>（四）为高校及职业院校提供整体解决方案，实现信息技术与教育教学的深度融合</w:t>
      </w:r>
      <w:r>
        <w:rPr>
          <w:rFonts w:ascii="宋体" w:hAnsi="宋体" w:cs="宋体" w:eastAsia="宋体" w:hint="default"/>
          <w:b/>
          <w:bCs/>
          <w:w w:val="99"/>
          <w:sz w:val="21"/>
          <w:szCs w:val="21"/>
        </w:rPr>
        <w:t> </w:t>
      </w:r>
      <w:r>
        <w:rPr>
          <w:rFonts w:ascii="宋体" w:hAnsi="宋体" w:cs="宋体" w:eastAsia="宋体" w:hint="default"/>
          <w:spacing w:val="-1"/>
          <w:sz w:val="21"/>
          <w:szCs w:val="21"/>
        </w:rPr>
        <w:t>公司密切关注高校专业发展动向和用户需求，牢牢把握信息技术、智能制造相关专业教学实训设备的</w:t>
      </w:r>
    </w:p>
    <w:p>
      <w:pPr>
        <w:pStyle w:val="BodyText"/>
        <w:spacing w:line="408" w:lineRule="auto"/>
        <w:ind w:right="1113"/>
        <w:jc w:val="left"/>
      </w:pPr>
      <w:r>
        <w:rPr>
          <w:spacing w:val="-1"/>
        </w:rPr>
        <w:t>发展趋势，积极做好新产品研发和技术储备工作，完善人才梯队建设，为产品的不断升级和创新提供强有</w:t>
      </w:r>
      <w:r>
        <w:rPr>
          <w:spacing w:val="-83"/>
        </w:rPr>
        <w:t> </w:t>
      </w:r>
      <w:r>
        <w:rPr>
          <w:spacing w:val="-83"/>
        </w:rPr>
      </w:r>
      <w:r>
        <w:rPr/>
        <w:t>力的支撑。</w:t>
      </w:r>
    </w:p>
    <w:p>
      <w:pPr>
        <w:pStyle w:val="BodyText"/>
        <w:spacing w:line="408" w:lineRule="auto"/>
        <w:ind w:right="1128" w:firstLine="420"/>
        <w:jc w:val="both"/>
      </w:pPr>
      <w:r>
        <w:rPr>
          <w:spacing w:val="-1"/>
        </w:rPr>
        <w:t>随着职业教育信息化的发展，信息技术与教育教学深度融合的推进，公司以服务教学为导向，针对中</w:t>
      </w:r>
      <w:r>
        <w:rPr/>
        <w:t> </w:t>
      </w:r>
      <w:r>
        <w:rPr>
          <w:spacing w:val="-1"/>
        </w:rPr>
        <w:t>等职业院校研发了数字化校园、教务系统、教学管理平台、实训实验系统、教学资源为一体的智慧校园综</w:t>
      </w:r>
      <w:r>
        <w:rPr>
          <w:spacing w:val="-82"/>
        </w:rPr>
        <w:t> </w:t>
      </w:r>
      <w:r>
        <w:rPr>
          <w:spacing w:val="-82"/>
        </w:rPr>
      </w:r>
      <w:r>
        <w:rPr>
          <w:spacing w:val="-1"/>
        </w:rPr>
        <w:t>合解决方案。同时，随着教育部对高校专业目录的调整，数据科学与大数据技术、智能科学与技术、工业</w:t>
      </w:r>
      <w:r>
        <w:rPr>
          <w:spacing w:val="-83"/>
        </w:rPr>
        <w:t> </w:t>
      </w:r>
      <w:r>
        <w:rPr>
          <w:spacing w:val="-83"/>
        </w:rPr>
      </w:r>
      <w:r>
        <w:rPr>
          <w:spacing w:val="-1"/>
        </w:rPr>
        <w:t>机器人技术、虚拟现实应用技术全国新增申报数量急剧增加，报告期内，公司整合原教育科技虚拟现实产</w:t>
      </w:r>
      <w:r>
        <w:rPr>
          <w:spacing w:val="-83"/>
        </w:rPr>
        <w:t> </w:t>
      </w:r>
      <w:r>
        <w:rPr>
          <w:spacing w:val="-83"/>
        </w:rPr>
      </w:r>
      <w:r>
        <w:rPr>
          <w:spacing w:val="-1"/>
        </w:rPr>
        <w:t>品、大数据产品、智能硬件等产品，结合高校新专业目录变化持续开发系列的实验室产品和专业建设解决</w:t>
      </w:r>
      <w:r>
        <w:rPr>
          <w:spacing w:val="-83"/>
        </w:rPr>
        <w:t> </w:t>
      </w:r>
      <w:r>
        <w:rPr>
          <w:spacing w:val="-83"/>
        </w:rPr>
      </w:r>
      <w:r>
        <w:rPr>
          <w:spacing w:val="-1"/>
        </w:rPr>
        <w:t>方案，包括计算机数字逻辑实验箱、计算机组成原理与体系结构实验箱、计算机操作系统和编译原理实验</w:t>
      </w:r>
      <w:r>
        <w:rPr>
          <w:spacing w:val="-83"/>
        </w:rPr>
        <w:t> </w:t>
      </w:r>
      <w:r>
        <w:rPr>
          <w:spacing w:val="-83"/>
        </w:rPr>
      </w:r>
      <w:r>
        <w:rPr>
          <w:spacing w:val="-3"/>
        </w:rPr>
        <w:t>箱、大数据整合平台、大数据实训平台、人工智能实训平台、</w:t>
      </w:r>
      <w:r>
        <w:rPr>
          <w:rFonts w:ascii="Times New Roman" w:hAnsi="Times New Roman" w:cs="Times New Roman" w:eastAsia="Times New Roman" w:hint="default"/>
          <w:spacing w:val="-3"/>
        </w:rPr>
        <w:t>VR</w:t>
      </w:r>
      <w:r>
        <w:rPr>
          <w:spacing w:val="-3"/>
        </w:rPr>
        <w:t>数控仿真实训平台等产品。同时结合教育</w:t>
      </w:r>
    </w:p>
    <w:p>
      <w:pPr>
        <w:spacing w:after="0" w:line="408" w:lineRule="auto"/>
        <w:jc w:val="both"/>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386" w:lineRule="auto" w:before="174"/>
        <w:ind w:right="1129"/>
        <w:jc w:val="both"/>
      </w:pPr>
      <w:r>
        <w:rPr>
          <w:spacing w:val="-1"/>
        </w:rPr>
        <w:t>科技</w:t>
      </w:r>
      <w:r>
        <w:rPr>
          <w:rFonts w:ascii="Times New Roman" w:hAnsi="Times New Roman" w:cs="Times New Roman" w:eastAsia="Times New Roman" w:hint="default"/>
          <w:spacing w:val="-1"/>
        </w:rPr>
        <w:t>webVR</w:t>
      </w:r>
      <w:r>
        <w:rPr>
          <w:spacing w:val="-1"/>
        </w:rPr>
        <w:t>的技术与公司智慧校园整体解决方案优势，进一步升级校园云平台解决方案、虚拟现实教学中</w:t>
      </w:r>
      <w:r>
        <w:rPr>
          <w:spacing w:val="-94"/>
        </w:rPr>
        <w:t> </w:t>
      </w:r>
      <w:r>
        <w:rPr>
          <w:spacing w:val="-94"/>
        </w:rPr>
      </w:r>
      <w:r>
        <w:rPr/>
        <w:t>心、虚拟现实实验室、虚拟现实实训室、虚拟仿真实验室、</w:t>
      </w:r>
      <w:r>
        <w:rPr>
          <w:rFonts w:ascii="Times New Roman" w:hAnsi="Times New Roman" w:cs="Times New Roman" w:eastAsia="Times New Roman" w:hint="default"/>
        </w:rPr>
        <w:t>VR</w:t>
      </w:r>
      <w:r>
        <w:rPr/>
        <w:t>数字化校园、</w:t>
      </w:r>
      <w:r>
        <w:rPr>
          <w:rFonts w:ascii="Times New Roman" w:hAnsi="Times New Roman" w:cs="Times New Roman" w:eastAsia="Times New Roman" w:hint="default"/>
        </w:rPr>
        <w:t>VR</w:t>
      </w:r>
      <w:r>
        <w:rPr/>
        <w:t>数字博物馆等，打造沉浸</w:t>
      </w:r>
      <w:r>
        <w:rPr>
          <w:spacing w:val="-89"/>
        </w:rPr>
        <w:t> </w:t>
      </w:r>
      <w:r>
        <w:rPr>
          <w:spacing w:val="-89"/>
        </w:rPr>
      </w:r>
      <w:r>
        <w:rPr>
          <w:spacing w:val="-1"/>
        </w:rPr>
        <w:t>式教学方式、提供一站式解决方案。同时，公司在教育部协同育人项目、师资培训、专业教材、课程体系</w:t>
      </w:r>
    </w:p>
    <w:p>
      <w:pPr>
        <w:pStyle w:val="BodyText"/>
        <w:spacing w:line="240" w:lineRule="auto" w:before="65"/>
        <w:ind w:right="0"/>
        <w:jc w:val="both"/>
      </w:pPr>
      <w:r>
        <w:rPr>
          <w:rFonts w:ascii="Times New Roman" w:hAnsi="Times New Roman" w:cs="Times New Roman" w:eastAsia="Times New Roman" w:hint="default"/>
        </w:rPr>
        <w:t>/</w:t>
      </w:r>
      <w:r>
        <w:rPr/>
        <w:t>校企合作等方面也提供相应的产品和服务。</w:t>
      </w:r>
    </w:p>
    <w:p>
      <w:pPr>
        <w:spacing w:line="408" w:lineRule="auto" w:before="177"/>
        <w:ind w:left="574" w:right="1114" w:firstLine="0"/>
        <w:jc w:val="left"/>
        <w:rPr>
          <w:rFonts w:ascii="宋体" w:hAnsi="宋体" w:cs="宋体" w:eastAsia="宋体" w:hint="default"/>
          <w:sz w:val="21"/>
          <w:szCs w:val="21"/>
        </w:rPr>
      </w:pPr>
      <w:r>
        <w:rPr>
          <w:rFonts w:ascii="宋体" w:hAnsi="宋体" w:cs="宋体" w:eastAsia="宋体" w:hint="default"/>
          <w:b/>
          <w:bCs/>
          <w:sz w:val="21"/>
          <w:szCs w:val="21"/>
        </w:rPr>
        <w:t>（五）打造数字化智慧政企、向社会信息化服务迈进</w:t>
      </w:r>
      <w:r>
        <w:rPr>
          <w:rFonts w:ascii="宋体" w:hAnsi="宋体" w:cs="宋体" w:eastAsia="宋体" w:hint="default"/>
          <w:b/>
          <w:bCs/>
          <w:spacing w:val="1"/>
          <w:w w:val="99"/>
          <w:sz w:val="21"/>
          <w:szCs w:val="21"/>
        </w:rPr>
        <w:t> </w:t>
      </w:r>
      <w:r>
        <w:rPr>
          <w:rFonts w:ascii="宋体" w:hAnsi="宋体" w:cs="宋体" w:eastAsia="宋体" w:hint="default"/>
          <w:sz w:val="21"/>
          <w:szCs w:val="21"/>
        </w:rPr>
        <w:t>公司基于</w:t>
      </w:r>
      <w:r>
        <w:rPr>
          <w:rFonts w:ascii="Times New Roman" w:hAnsi="Times New Roman" w:cs="Times New Roman" w:eastAsia="Times New Roman" w:hint="default"/>
          <w:sz w:val="21"/>
          <w:szCs w:val="21"/>
        </w:rPr>
        <w:t>“</w:t>
      </w:r>
      <w:r>
        <w:rPr>
          <w:rFonts w:ascii="宋体" w:hAnsi="宋体" w:cs="宋体" w:eastAsia="宋体" w:hint="default"/>
          <w:sz w:val="21"/>
          <w:szCs w:val="21"/>
        </w:rPr>
        <w:t>智能物联、移动互联、数据决策、开放融合</w:t>
      </w:r>
      <w:r>
        <w:rPr>
          <w:rFonts w:ascii="Times New Roman" w:hAnsi="Times New Roman" w:cs="Times New Roman" w:eastAsia="Times New Roman" w:hint="default"/>
          <w:sz w:val="21"/>
          <w:szCs w:val="21"/>
        </w:rPr>
        <w:t>”</w:t>
      </w:r>
      <w:r>
        <w:rPr>
          <w:rFonts w:ascii="宋体" w:hAnsi="宋体" w:cs="宋体" w:eastAsia="宋体" w:hint="default"/>
          <w:sz w:val="21"/>
          <w:szCs w:val="21"/>
        </w:rPr>
        <w:t>的总体设计思路理念，通过多种智慧应用有效</w:t>
      </w:r>
    </w:p>
    <w:p>
      <w:pPr>
        <w:pStyle w:val="BodyText"/>
        <w:spacing w:line="408" w:lineRule="auto" w:before="14"/>
        <w:ind w:left="153" w:right="1022"/>
        <w:jc w:val="left"/>
      </w:pPr>
      <w:r>
        <w:rPr/>
        <w:t>实现立体安防、高效办公、智慧生活、绿色能源的企业管理。同时，依托产业互联网科技服务、物联网科 技服务积累优势，积极拓展智慧水利、智能电力、智能燃气等业务板块，大力推进公司社会信息化业务进 展。报告期内，公司坚持科技赋能，助客户经营更高效的市场路线，坚持以人为本，让员工价值更卓越的 产品路线，在坚持公交和企事业两条长线业务的同时，积极开展景区、医院、政府、监狱等行业的产品方 案规划，并将继续采用生物识别、云计算、物联网、人工智能等新兴信息技术打造的针对新一代智慧型企 业、产业园区等的信息化系统，不断地开拓市场，为企业客户带来更精细、更个性化的服务。公司充分利 </w:t>
      </w:r>
      <w:r>
        <w:rPr>
          <w:spacing w:val="-3"/>
        </w:rPr>
        <w:t>用在北京、上海、深圳等研究院的技术研发实力，从产品服务向行业信息化服务战略转型，通过科技赋能、</w:t>
      </w:r>
      <w:r>
        <w:rPr>
          <w:spacing w:val="-96"/>
        </w:rPr>
        <w:t> </w:t>
      </w:r>
      <w:r>
        <w:rPr>
          <w:spacing w:val="-96"/>
        </w:rPr>
      </w:r>
      <w:r>
        <w:rPr/>
        <w:t>服务社会，逐步深入多行业信息化建设。以服务员工生活、安防的一卡通为基础，以企业生产经营信息化</w:t>
      </w:r>
      <w:r>
        <w:rPr/>
        <w:t> 业务中台为入口，逐步打造企业生产经营的信息化和数字化。</w:t>
      </w:r>
    </w:p>
    <w:p>
      <w:pPr>
        <w:pStyle w:val="BodyText"/>
        <w:spacing w:line="405" w:lineRule="auto"/>
        <w:ind w:left="153" w:right="1129" w:firstLine="420"/>
        <w:jc w:val="both"/>
      </w:pPr>
      <w:r>
        <w:rPr>
          <w:spacing w:val="-1"/>
        </w:rPr>
        <w:t>报告期内，公司推出政企行业数字化转型方案，坚持入口、流程、服务、数据四个方向产品路径，帮</w:t>
      </w:r>
      <w:r>
        <w:rPr/>
        <w:t> </w:t>
      </w:r>
      <w:r>
        <w:rPr>
          <w:spacing w:val="-1"/>
        </w:rPr>
        <w:t>助企业构建以多宿主为入口的手机端服务和信息化门户，实现企业生产、经营、工作、安防、生活等多方</w:t>
      </w:r>
      <w:r>
        <w:rPr>
          <w:spacing w:val="-83"/>
        </w:rPr>
        <w:t> </w:t>
      </w:r>
      <w:r>
        <w:rPr>
          <w:spacing w:val="-83"/>
        </w:rPr>
      </w:r>
      <w:r>
        <w:rPr>
          <w:spacing w:val="-1"/>
        </w:rPr>
        <w:t>面的统一入口和信息化入口；通过流程业务中台，助力企业实现从人到人、人到系统、系统到系统的流程</w:t>
      </w:r>
      <w:r>
        <w:rPr>
          <w:spacing w:val="-82"/>
        </w:rPr>
        <w:t> </w:t>
      </w:r>
      <w:r>
        <w:rPr>
          <w:spacing w:val="-82"/>
        </w:rPr>
      </w:r>
      <w:r>
        <w:rPr>
          <w:spacing w:val="-1"/>
        </w:rPr>
        <w:t>化转接和数据交互；通过服务业务中台，实现企业以人为本和以管理为导向的企业服务和员工服务；通过</w:t>
      </w:r>
      <w:r>
        <w:rPr>
          <w:spacing w:val="-83"/>
        </w:rPr>
        <w:t> </w:t>
      </w:r>
      <w:r>
        <w:rPr>
          <w:spacing w:val="-83"/>
        </w:rPr>
      </w:r>
      <w:r>
        <w:rPr>
          <w:spacing w:val="-1"/>
        </w:rPr>
        <w:t>统一认证、数据交换等构建企业共享数据仓库，从管理视角进行企业运营管理的可视化数据决策服务。同</w:t>
      </w:r>
      <w:r>
        <w:rPr>
          <w:spacing w:val="-83"/>
        </w:rPr>
        <w:t> </w:t>
      </w:r>
      <w:r>
        <w:rPr>
          <w:spacing w:val="-83"/>
        </w:rPr>
      </w:r>
      <w:r>
        <w:rPr>
          <w:spacing w:val="-1"/>
        </w:rPr>
        <w:t>时，对不同行业进行泛数据分析，重点选择高端制造、重型装备、集团性信息化企业、汽车工业、医疗卫</w:t>
      </w:r>
      <w:r>
        <w:rPr>
          <w:spacing w:val="-83"/>
        </w:rPr>
        <w:t> </w:t>
      </w:r>
      <w:r>
        <w:rPr>
          <w:spacing w:val="-83"/>
        </w:rPr>
      </w:r>
      <w:r>
        <w:rPr>
          <w:spacing w:val="-1"/>
        </w:rPr>
        <w:t>生、公共交通等行业进行布局和市场拓展，并逐步新增其他行业，帮力细分行业实现业务流程数字化、运</w:t>
      </w:r>
      <w:r>
        <w:rPr>
          <w:spacing w:val="-82"/>
        </w:rPr>
        <w:t> </w:t>
      </w:r>
      <w:r>
        <w:rPr>
          <w:spacing w:val="-82"/>
        </w:rPr>
      </w:r>
      <w:r>
        <w:rPr>
          <w:spacing w:val="-1"/>
        </w:rPr>
        <w:t>营管控数字化、数据平台系统化、企业运营可视化，进而实现降费增效、降本节能的目的。</w:t>
      </w:r>
      <w:r>
        <w:rPr>
          <w:rFonts w:ascii="Times New Roman" w:hAnsi="Times New Roman" w:cs="Times New Roman" w:eastAsia="Times New Roman" w:hint="default"/>
          <w:spacing w:val="-1"/>
        </w:rPr>
        <w:t>2019</w:t>
      </w:r>
      <w:r>
        <w:rPr>
          <w:spacing w:val="-1"/>
        </w:rPr>
        <w:t>年度，智</w:t>
      </w:r>
      <w:r>
        <w:rPr>
          <w:spacing w:val="-83"/>
        </w:rPr>
        <w:t> </w:t>
      </w:r>
      <w:r>
        <w:rPr>
          <w:spacing w:val="-83"/>
        </w:rPr>
      </w:r>
      <w:r>
        <w:rPr/>
        <w:t>慧政企应用解决方案实现营业收入</w:t>
      </w:r>
      <w:r>
        <w:rPr>
          <w:rFonts w:ascii="Times New Roman" w:hAnsi="Times New Roman" w:cs="Times New Roman" w:eastAsia="Times New Roman" w:hint="default"/>
        </w:rPr>
        <w:t>18,690.38</w:t>
      </w:r>
      <w:r>
        <w:rPr/>
        <w:t>万元，比上年同期增长</w:t>
      </w:r>
      <w:r>
        <w:rPr>
          <w:rFonts w:ascii="Times New Roman" w:hAnsi="Times New Roman" w:cs="Times New Roman" w:eastAsia="Times New Roman" w:hint="default"/>
        </w:rPr>
        <w:t>9.61%</w:t>
      </w:r>
      <w:r>
        <w:rPr/>
        <w:t>。</w:t>
      </w:r>
    </w:p>
    <w:p>
      <w:pPr>
        <w:spacing w:line="408" w:lineRule="auto" w:before="17"/>
        <w:ind w:left="574" w:right="1113" w:firstLine="0"/>
        <w:jc w:val="left"/>
        <w:rPr>
          <w:rFonts w:ascii="宋体" w:hAnsi="宋体" w:cs="宋体" w:eastAsia="宋体" w:hint="default"/>
          <w:sz w:val="21"/>
          <w:szCs w:val="21"/>
        </w:rPr>
      </w:pPr>
      <w:r>
        <w:rPr>
          <w:rFonts w:ascii="宋体" w:hAnsi="宋体" w:cs="宋体" w:eastAsia="宋体" w:hint="default"/>
          <w:b/>
          <w:bCs/>
          <w:sz w:val="21"/>
          <w:szCs w:val="21"/>
        </w:rPr>
        <w:t>（六）运维服务使高客户黏性转化为持续收益</w:t>
      </w:r>
      <w:r>
        <w:rPr>
          <w:rFonts w:ascii="宋体" w:hAnsi="宋体" w:cs="宋体" w:eastAsia="宋体" w:hint="default"/>
          <w:b/>
          <w:bCs/>
          <w:w w:val="99"/>
          <w:sz w:val="21"/>
          <w:szCs w:val="21"/>
        </w:rPr>
        <w:t> </w:t>
      </w:r>
      <w:r>
        <w:rPr>
          <w:rFonts w:ascii="宋体" w:hAnsi="宋体" w:cs="宋体" w:eastAsia="宋体" w:hint="default"/>
          <w:spacing w:val="-1"/>
          <w:sz w:val="21"/>
          <w:szCs w:val="21"/>
        </w:rPr>
        <w:t>得益于公司逐渐完善的运维服务体系，公司报告期实现运维服务收入</w:t>
      </w:r>
      <w:r>
        <w:rPr>
          <w:rFonts w:ascii="Times New Roman" w:hAnsi="Times New Roman" w:cs="Times New Roman" w:eastAsia="Times New Roman" w:hint="default"/>
          <w:spacing w:val="-1"/>
          <w:sz w:val="21"/>
          <w:szCs w:val="21"/>
        </w:rPr>
        <w:t>10,668.75</w:t>
      </w:r>
      <w:r>
        <w:rPr>
          <w:rFonts w:ascii="宋体" w:hAnsi="宋体" w:cs="宋体" w:eastAsia="宋体" w:hint="default"/>
          <w:spacing w:val="-1"/>
          <w:sz w:val="21"/>
          <w:szCs w:val="21"/>
        </w:rPr>
        <w:t>万元，比上年同期增长</w:t>
      </w:r>
    </w:p>
    <w:p>
      <w:pPr>
        <w:pStyle w:val="BodyText"/>
        <w:spacing w:line="400" w:lineRule="auto" w:before="14"/>
        <w:ind w:right="1108"/>
        <w:jc w:val="both"/>
      </w:pPr>
      <w:r>
        <w:rPr>
          <w:rFonts w:ascii="Times New Roman" w:hAnsi="Times New Roman" w:cs="Times New Roman" w:eastAsia="Times New Roman" w:hint="default"/>
          <w:spacing w:val="-2"/>
        </w:rPr>
        <w:t>25.43%</w:t>
      </w:r>
      <w:r>
        <w:rPr>
          <w:spacing w:val="-2"/>
        </w:rPr>
        <w:t>。公司近几年从建立全国统一服务热线着手，导入</w:t>
      </w:r>
      <w:r>
        <w:rPr>
          <w:rFonts w:ascii="Times New Roman" w:hAnsi="Times New Roman" w:cs="Times New Roman" w:eastAsia="Times New Roman" w:hint="default"/>
          <w:spacing w:val="-2"/>
        </w:rPr>
        <w:t>ITSS</w:t>
      </w:r>
      <w:r>
        <w:rPr>
          <w:spacing w:val="-2"/>
        </w:rPr>
        <w:t>运维服务体系，优化客服中心架构，设立运</w:t>
      </w:r>
      <w:r>
        <w:rPr>
          <w:spacing w:val="-63"/>
        </w:rPr>
        <w:t> </w:t>
      </w:r>
      <w:r>
        <w:rPr>
          <w:spacing w:val="-63"/>
        </w:rPr>
      </w:r>
      <w:r>
        <w:rPr>
          <w:spacing w:val="-1"/>
        </w:rPr>
        <w:t>维支持部主管运维服务全流程业务。在运维支持部下设服务台、运维工具运营管理、运维服务管理，同时</w:t>
      </w:r>
      <w:r>
        <w:rPr>
          <w:spacing w:val="-82"/>
        </w:rPr>
        <w:t> </w:t>
      </w:r>
      <w:r>
        <w:rPr>
          <w:spacing w:val="-82"/>
        </w:rPr>
      </w:r>
      <w:r>
        <w:rPr/>
        <w:t>在二线工程师设立服务器、数据库、存储专职工程师，为用户提供软硬件产品维保服务、资源负载服务、 </w:t>
      </w:r>
      <w:r>
        <w:rPr>
          <w:spacing w:val="-1"/>
        </w:rPr>
        <w:t>集群服务、数据迁移服务等工作。通过建立呼叫中心服务台、知识库、备品备件库等资源，设立多个运维</w:t>
      </w:r>
    </w:p>
    <w:p>
      <w:pPr>
        <w:spacing w:after="0" w:line="400" w:lineRule="auto"/>
        <w:jc w:val="both"/>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386" w:lineRule="auto" w:before="174"/>
        <w:ind w:left="153" w:right="1113"/>
        <w:jc w:val="left"/>
      </w:pPr>
      <w:r>
        <w:rPr/>
        <w:t>层次工程师，采用全国统一服务监控、一线</w:t>
      </w:r>
      <w:r>
        <w:rPr>
          <w:rFonts w:ascii="Times New Roman" w:hAnsi="Times New Roman" w:cs="Times New Roman" w:eastAsia="Times New Roman" w:hint="default"/>
        </w:rPr>
        <w:t>+</w:t>
      </w:r>
      <w:r>
        <w:rPr/>
        <w:t>二线的服务模式为用户提供在线、上门服务、评价体系，建</w:t>
      </w:r>
      <w:r>
        <w:rPr>
          <w:spacing w:val="-57"/>
        </w:rPr>
        <w:t> </w:t>
      </w:r>
      <w:r>
        <w:rPr/>
        <w:t>立完整的服务闭合环。</w:t>
      </w:r>
    </w:p>
    <w:p>
      <w:pPr>
        <w:pStyle w:val="BodyText"/>
        <w:spacing w:line="386" w:lineRule="auto" w:before="65"/>
        <w:ind w:left="153" w:right="1131" w:firstLine="420"/>
        <w:jc w:val="both"/>
      </w:pPr>
      <w:r>
        <w:rPr/>
        <w:t>公司在为客户提供优质的产品之后，能通过</w:t>
      </w:r>
      <w:r>
        <w:rPr>
          <w:rFonts w:ascii="Times New Roman" w:hAnsi="Times New Roman" w:cs="Times New Roman" w:eastAsia="Times New Roman" w:hint="default"/>
        </w:rPr>
        <w:t>“</w:t>
      </w:r>
      <w:r>
        <w:rPr/>
        <w:t>无感知</w:t>
      </w:r>
      <w:r>
        <w:rPr>
          <w:rFonts w:ascii="Times New Roman" w:hAnsi="Times New Roman" w:cs="Times New Roman" w:eastAsia="Times New Roman" w:hint="default"/>
        </w:rPr>
        <w:t>”</w:t>
      </w:r>
      <w:r>
        <w:rPr/>
        <w:t>服务模式尽早规避风险的发生，在线报修系统管 理后台合理分配维修人员、新开普</w:t>
      </w:r>
      <w:r>
        <w:rPr>
          <w:rFonts w:ascii="Times New Roman" w:hAnsi="Times New Roman" w:cs="Times New Roman" w:eastAsia="Times New Roman" w:hint="default"/>
        </w:rPr>
        <w:t>“</w:t>
      </w:r>
      <w:r>
        <w:rPr/>
        <w:t>服务宝</w:t>
      </w:r>
      <w:r>
        <w:rPr>
          <w:rFonts w:ascii="Times New Roman" w:hAnsi="Times New Roman" w:cs="Times New Roman" w:eastAsia="Times New Roman" w:hint="default"/>
        </w:rPr>
        <w:t>”</w:t>
      </w:r>
      <w:r>
        <w:rPr/>
        <w:t>（手机移动端服务）实时监测系统运行、便捷报修等服务模式 为客户提供全面、便捷长期的售后维护工作，让客户无后顾之忧。</w:t>
      </w:r>
    </w:p>
    <w:p>
      <w:pPr>
        <w:pStyle w:val="BodyText"/>
        <w:spacing w:line="400" w:lineRule="auto" w:before="65"/>
        <w:ind w:left="153" w:right="1108" w:firstLine="420"/>
        <w:jc w:val="both"/>
      </w:pPr>
      <w:r>
        <w:rPr>
          <w:spacing w:val="-1"/>
        </w:rPr>
        <w:t>回顾</w:t>
      </w:r>
      <w:r>
        <w:rPr>
          <w:rFonts w:ascii="Times New Roman" w:hAnsi="Times New Roman" w:cs="Times New Roman" w:eastAsia="Times New Roman" w:hint="default"/>
          <w:spacing w:val="-1"/>
        </w:rPr>
        <w:t>2019</w:t>
      </w:r>
      <w:r>
        <w:rPr>
          <w:spacing w:val="-1"/>
        </w:rPr>
        <w:t>年，公司围绕年初制定发展规划开展各项经营活动，坚持科技服务，混合云产品战略，持续</w:t>
      </w:r>
      <w:r>
        <w:rPr/>
        <w:t> </w:t>
      </w:r>
      <w:r>
        <w:rPr>
          <w:spacing w:val="-1"/>
        </w:rPr>
        <w:t>提升智慧校园产品和服务能力，在智慧校园应用解决方案、智慧校园云平台整体方案、基于</w:t>
      </w:r>
      <w:r>
        <w:rPr>
          <w:rFonts w:ascii="Times New Roman" w:hAnsi="Times New Roman" w:cs="Times New Roman" w:eastAsia="Times New Roman" w:hint="default"/>
          <w:spacing w:val="-1"/>
        </w:rPr>
        <w:t>SaaS</w:t>
      </w:r>
      <w:r>
        <w:rPr>
          <w:spacing w:val="-1"/>
        </w:rPr>
        <w:t>的多维度</w:t>
      </w:r>
      <w:r>
        <w:rPr>
          <w:spacing w:val="-82"/>
        </w:rPr>
        <w:t> </w:t>
      </w:r>
      <w:r>
        <w:rPr/>
        <w:t>运维服务等多个业务环节上取得了突破，并对创新性业务进行大量投入，围绕智慧校园云平台解决方案、 智慧校园应用解决方案、教育科技服务等业务，为公司教育信息化全方位能力建设继续迈出坚实的步伐。 </w:t>
      </w:r>
      <w:r>
        <w:rPr>
          <w:spacing w:val="-1"/>
        </w:rPr>
        <w:t>同时，依托产业互联网科技服务、物联网科技服务积累优势，积极拓展智慧水利、智能电力、智能燃气等</w:t>
      </w:r>
      <w:r>
        <w:rPr>
          <w:spacing w:val="-83"/>
        </w:rPr>
        <w:t> </w:t>
      </w:r>
      <w:r>
        <w:rPr>
          <w:spacing w:val="-83"/>
        </w:rPr>
      </w:r>
      <w:r>
        <w:rPr/>
        <w:t>业务板块，大力推进公司社会信息化业务进展。</w:t>
      </w:r>
    </w:p>
    <w:p>
      <w:pPr>
        <w:spacing w:line="240" w:lineRule="auto" w:before="4"/>
        <w:rPr>
          <w:rFonts w:ascii="宋体" w:hAnsi="宋体" w:cs="宋体" w:eastAsia="宋体" w:hint="default"/>
          <w:sz w:val="19"/>
          <w:szCs w:val="19"/>
        </w:rPr>
      </w:pPr>
    </w:p>
    <w:p>
      <w:pPr>
        <w:pStyle w:val="Heading2"/>
        <w:spacing w:line="240" w:lineRule="auto"/>
        <w:ind w:right="1113"/>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1113"/>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line="240" w:lineRule="auto" w:before="12"/>
        <w:rPr>
          <w:rFonts w:ascii="宋体" w:hAnsi="宋体" w:cs="宋体" w:eastAsia="宋体" w:hint="default"/>
          <w:sz w:val="14"/>
          <w:szCs w:val="14"/>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3D3D3"/>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964,023,443.78</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837,627,576.70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15.09%</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软件和信息技术服 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959,541,764.48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833,027,249.80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4,481,679.30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4,600,326.90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智慧校园应用解决 方案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542,715,148.24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494,042,025.86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智慧校园云平台解 决方案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127,717,088.08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88,007,780.92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45.12%</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智慧政企应用解决 方案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186,903,750.28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170,520,824.94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运维服务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106,687,457.18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85,056,944.98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25.43%</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266,570,723.89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251,750,798.02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246,126,630.27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213,932,167.78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152,129,714.09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146,145,783.09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92,745,909.64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48,320,385.99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91.94%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83,848,721.32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70,769,027.64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71,186,941.34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70,052,634.09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51,414,803.23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36,656,780.09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40.26%</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959,541,764.48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422,214,962.82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0.98%</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智慧校园应用解 决方案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542,715,148.24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295,700,785.83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智慧校园云平台 解决方案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127,717,088.08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7,933,534.77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16.12%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智慧政企应用解 决方案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186,903,750.28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114,894,701.28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运维服务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106,687,457.18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4,733,957.47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266,570,723.89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120,276,232.59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246,126,630.27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102,743,278.23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152,129,714.09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61,955,440.90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92,745,909.64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49,366,920.36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113.58%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83,848,721.32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33,120,950.32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71,186,941.34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28,418,888.20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51,414,803.23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27,381,268.75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12.16%</w:t>
            </w: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line="240" w:lineRule="auto" w:before="11"/>
        <w:rPr>
          <w:rFonts w:ascii="宋体" w:hAnsi="宋体" w:cs="宋体" w:eastAsia="宋体" w:hint="default"/>
          <w:sz w:val="19"/>
          <w:szCs w:val="19"/>
        </w:rPr>
      </w:pPr>
    </w:p>
    <w:p>
      <w:pPr>
        <w:spacing w:before="0"/>
        <w:ind w:left="153"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111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智能一卡通行业</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1,095,416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1,382,719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-20.78%</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1,082,557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1,193,272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-9.28%</w:t>
            </w:r>
          </w:p>
        </w:tc>
      </w:tr>
      <w:tr>
        <w:trPr>
          <w:trHeight w:val="40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479,339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492,198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-2.61%</w:t>
            </w: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240" w:lineRule="auto" w:before="10"/>
        <w:rPr>
          <w:rFonts w:ascii="宋体" w:hAnsi="宋体" w:cs="宋体" w:eastAsia="宋体" w:hint="default"/>
          <w:sz w:val="19"/>
          <w:szCs w:val="19"/>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111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111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8"/>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line="240" w:lineRule="auto" w:before="6"/>
        <w:rPr>
          <w:rFonts w:ascii="宋体" w:hAnsi="宋体" w:cs="宋体" w:eastAsia="宋体" w:hint="default"/>
          <w:sz w:val="11"/>
          <w:szCs w:val="11"/>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智慧校园应用解 决方案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282,177,703.94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251,071,640.37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12.39%</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智慧校园应用解 决方案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3,547,937.67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4,857,886.56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-26.97%</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智慧校园应用解 决方案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9,975,144.22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8,092,354.41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23.27%</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智慧政企应用解 决方案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109,640,300.45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95,407,891.76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14.92%</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智慧政企应用解 决方案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1,378,553.11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1,846,009.82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智慧政企应用解 决方案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3,875,847.72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3,075,116.22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26.04%</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智慧校园云平台 解决方案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7,933,534.77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6,832,470.28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16.12%</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运维服务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4,733,957.47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4,809,676.15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1"/>
        <w:rPr>
          <w:rFonts w:ascii="宋体" w:hAnsi="宋体" w:cs="宋体" w:eastAsia="宋体" w:hint="default"/>
          <w:sz w:val="17"/>
          <w:szCs w:val="17"/>
        </w:rPr>
      </w:pPr>
    </w:p>
    <w:p>
      <w:pPr>
        <w:pStyle w:val="BodyText"/>
        <w:spacing w:line="386" w:lineRule="auto" w:before="0"/>
        <w:ind w:left="153" w:right="1014" w:firstLine="42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日公司新设上海新开普志成信息科技有限公司，将其纳入报表合并范围内；</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 </w:t>
      </w:r>
      <w:r>
        <w:rPr>
          <w:spacing w:val="-2"/>
        </w:rPr>
        <w:t>月</w:t>
      </w:r>
      <w:r>
        <w:rPr>
          <w:rFonts w:ascii="Times New Roman" w:hAnsi="Times New Roman" w:cs="Times New Roman" w:eastAsia="Times New Roman" w:hint="default"/>
          <w:spacing w:val="-2"/>
        </w:rPr>
        <w:t>31</w:t>
      </w:r>
      <w:r>
        <w:rPr>
          <w:spacing w:val="-2"/>
        </w:rPr>
        <w:t>日公司收购北京希嘉创智教育科技有限公司部分股权后持有其</w:t>
      </w:r>
      <w:r>
        <w:rPr>
          <w:rFonts w:ascii="Times New Roman" w:hAnsi="Times New Roman" w:cs="Times New Roman" w:eastAsia="Times New Roman" w:hint="default"/>
          <w:spacing w:val="-2"/>
        </w:rPr>
        <w:t>51%</w:t>
      </w:r>
      <w:r>
        <w:rPr>
          <w:spacing w:val="-2"/>
        </w:rPr>
        <w:t>的股权，将其纳入报表合并范围内；</w:t>
      </w:r>
      <w:r>
        <w:rPr>
          <w:spacing w:val="-103"/>
        </w:rPr>
        <w:t> </w:t>
      </w:r>
      <w:r>
        <w:rPr>
          <w:spacing w:val="-103"/>
        </w:rPr>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spacing w:val="-2"/>
        </w:rPr>
        <w:t>日控股子公司完美数联（杭州）科技有限公司收购北京华驰联创科技有限公司</w:t>
      </w:r>
      <w:r>
        <w:rPr>
          <w:rFonts w:ascii="Times New Roman" w:hAnsi="Times New Roman" w:cs="Times New Roman" w:eastAsia="Times New Roman" w:hint="default"/>
          <w:spacing w:val="-2"/>
        </w:rPr>
        <w:t>67%</w:t>
      </w:r>
      <w:r>
        <w:rPr>
          <w:spacing w:val="-2"/>
        </w:rPr>
        <w:t>的股权，将</w:t>
      </w:r>
      <w:r>
        <w:rPr/>
        <w:t> 其纳入报表合并范围内。</w:t>
      </w:r>
    </w:p>
    <w:p>
      <w:pPr>
        <w:pStyle w:val="BodyText"/>
        <w:spacing w:line="240" w:lineRule="auto" w:before="65"/>
        <w:ind w:left="573" w:right="1113"/>
        <w:jc w:val="left"/>
      </w:pPr>
      <w:r>
        <w:rPr>
          <w:rFonts w:ascii="Times New Roman" w:hAnsi="Times New Roman" w:cs="Times New Roman" w:eastAsia="Times New Roman" w:hint="default"/>
        </w:rPr>
        <w:t>2</w:t>
      </w:r>
      <w:r>
        <w:rPr/>
        <w:t>、本年度注销子公司北京开普力维科技有限公司，注销后不再纳入合并范围。</w:t>
      </w:r>
    </w:p>
    <w:p>
      <w:pPr>
        <w:spacing w:line="240" w:lineRule="auto" w:before="8"/>
        <w:rPr>
          <w:rFonts w:ascii="宋体" w:hAnsi="宋体" w:cs="宋体" w:eastAsia="宋体" w:hint="default"/>
          <w:sz w:val="30"/>
          <w:szCs w:val="30"/>
        </w:rPr>
      </w:pPr>
    </w:p>
    <w:p>
      <w:pPr>
        <w:pStyle w:val="Heading3"/>
        <w:spacing w:line="240" w:lineRule="auto"/>
        <w:ind w:right="111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111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46,535,331.11</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4.84%</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2"/>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11,039,887.79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1.15%</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9,645,471.60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9,035,369.60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0.94%</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9,017,522.13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0.94%</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7,797,079.99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46,535,331.11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4.84%</w:t>
            </w: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after="0"/>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line="489" w:lineRule="auto" w:before="0"/>
        <w:ind w:left="154" w:right="91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pacing w:val="-1"/>
                <w:sz w:val="18"/>
              </w:rPr>
              <w:t>34,536,129.71</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9.07%</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22" w:right="82"/>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3"/>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7,524,451.76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7,207,623.61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7,163,059.13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7,112,094.47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5,528,900.74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34,536,129.71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9.07%</w:t>
            </w: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line="240" w:lineRule="auto" w:before="12"/>
        <w:rPr>
          <w:rFonts w:ascii="宋体" w:hAnsi="宋体" w:cs="宋体" w:eastAsia="宋体" w:hint="default"/>
          <w:sz w:val="20"/>
          <w:szCs w:val="20"/>
        </w:rPr>
      </w:pPr>
    </w:p>
    <w:p>
      <w:pPr>
        <w:spacing w:before="0"/>
        <w:ind w:left="153"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111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5"/>
        <w:gridCol w:w="1637"/>
        <w:gridCol w:w="1637"/>
        <w:gridCol w:w="1462"/>
        <w:gridCol w:w="2917"/>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93"/>
              <w:jc w:val="righ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234,359,113.35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209,201,909.55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12.03%</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93"/>
              <w:jc w:val="righ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62,646,615.00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63,684,221.57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1915" w:type="dxa"/>
            <w:tcBorders>
              <w:top w:val="single" w:sz="4" w:space="0" w:color="000000"/>
              <w:left w:val="single" w:sz="4" w:space="0" w:color="000000"/>
              <w:bottom w:val="nil" w:sz="6" w:space="0" w:color="auto"/>
              <w:right w:val="single" w:sz="4" w:space="0" w:color="000000"/>
            </w:tcBorders>
            <w:shd w:val="clear" w:color="auto" w:fill="D3D3D3"/>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462" w:type="dxa"/>
            <w:tcBorders>
              <w:top w:val="single" w:sz="4" w:space="0" w:color="000000"/>
              <w:left w:val="single" w:sz="4" w:space="0" w:color="000000"/>
              <w:bottom w:val="nil" w:sz="6" w:space="0" w:color="auto"/>
              <w:right w:val="single" w:sz="4" w:space="0" w:color="000000"/>
            </w:tcBorders>
          </w:tcPr>
          <w:p>
            <w:pPr/>
          </w:p>
        </w:tc>
        <w:tc>
          <w:tcPr>
            <w:tcW w:w="29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w:t>
            </w:r>
            <w:r>
              <w:rPr>
                <w:rFonts w:ascii="Times New Roman" w:hAnsi="Times New Roman" w:cs="Times New Roman" w:eastAsia="Times New Roman" w:hint="default"/>
                <w:sz w:val="18"/>
                <w:szCs w:val="18"/>
              </w:rPr>
              <w:t>1</w:t>
            </w:r>
            <w:r>
              <w:rPr>
                <w:rFonts w:ascii="宋体" w:hAnsi="宋体" w:cs="宋体" w:eastAsia="宋体" w:hint="default"/>
                <w:sz w:val="18"/>
                <w:szCs w:val="18"/>
              </w:rPr>
              <w:t>）上报告期支付限制性股</w:t>
            </w:r>
          </w:p>
        </w:tc>
      </w:tr>
      <w:tr>
        <w:trPr>
          <w:trHeight w:val="625" w:hRule="exact"/>
        </w:trPr>
        <w:tc>
          <w:tcPr>
            <w:tcW w:w="19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1"/>
              <w:ind w:right="593"/>
              <w:jc w:val="righ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2,103,746.58</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z w:val="18"/>
              </w:rPr>
              <w:t>11,981,072.25</w:t>
            </w: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-82.44%</w:t>
            </w:r>
          </w:p>
        </w:tc>
        <w:tc>
          <w:tcPr>
            <w:tcW w:w="2917"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20"/>
              <w:jc w:val="left"/>
              <w:rPr>
                <w:rFonts w:ascii="宋体" w:hAnsi="宋体" w:cs="宋体" w:eastAsia="宋体" w:hint="default"/>
                <w:sz w:val="18"/>
                <w:szCs w:val="18"/>
              </w:rPr>
            </w:pPr>
            <w:r>
              <w:rPr>
                <w:rFonts w:ascii="宋体" w:hAnsi="宋体" w:cs="宋体" w:eastAsia="宋体" w:hint="default"/>
                <w:spacing w:val="-2"/>
                <w:sz w:val="18"/>
                <w:szCs w:val="18"/>
              </w:rPr>
              <w:t>票回购款的同期银行利息，本报告期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7"/>
                <w:sz w:val="18"/>
                <w:szCs w:val="18"/>
              </w:rPr>
              <w:t>无；（</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）本报告期银行借款利息支出</w:t>
            </w:r>
          </w:p>
        </w:tc>
      </w:tr>
      <w:tr>
        <w:trPr>
          <w:trHeight w:val="351" w:hRule="exact"/>
        </w:trPr>
        <w:tc>
          <w:tcPr>
            <w:tcW w:w="19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462" w:type="dxa"/>
            <w:tcBorders>
              <w:top w:val="nil" w:sz="6" w:space="0" w:color="auto"/>
              <w:left w:val="single" w:sz="4" w:space="0" w:color="000000"/>
              <w:bottom w:val="single" w:sz="4" w:space="0" w:color="000000"/>
              <w:right w:val="single" w:sz="4" w:space="0" w:color="000000"/>
            </w:tcBorders>
          </w:tcPr>
          <w:p>
            <w:pPr/>
          </w:p>
        </w:tc>
        <w:tc>
          <w:tcPr>
            <w:tcW w:w="29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较上报告期减少。</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93"/>
              <w:jc w:val="righ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105,853,249.54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87,499,160.98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20.98%</w:t>
            </w:r>
          </w:p>
        </w:tc>
        <w:tc>
          <w:tcPr>
            <w:tcW w:w="29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12"/>
        <w:rPr>
          <w:rFonts w:ascii="宋体" w:hAnsi="宋体" w:cs="宋体" w:eastAsia="宋体" w:hint="default"/>
          <w:sz w:val="2"/>
          <w:szCs w:val="2"/>
        </w:rPr>
      </w:pPr>
      <w:r>
        <w:rPr/>
        <w:pict>
          <v:shape style="position:absolute;margin-left:71.630997pt;margin-top:182.970001pt;width:738.25pt;height:351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10"/>
                    <w:gridCol w:w="1699"/>
                    <w:gridCol w:w="1134"/>
                    <w:gridCol w:w="1702"/>
                    <w:gridCol w:w="1700"/>
                    <w:gridCol w:w="7798"/>
                  </w:tblGrid>
                  <w:tr>
                    <w:trPr>
                      <w:trHeight w:val="659" w:hRule="exact"/>
                    </w:trPr>
                    <w:tc>
                      <w:tcPr>
                        <w:tcW w:w="71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699"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b/>
                            <w:bCs/>
                            <w:w w:val="95"/>
                            <w:sz w:val="18"/>
                            <w:szCs w:val="18"/>
                          </w:rPr>
                          <w:t>对应功能</w:t>
                        </w:r>
                        <w:r>
                          <w:rPr>
                            <w:rFonts w:ascii="宋体" w:hAnsi="宋体" w:cs="宋体" w:eastAsia="宋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所处阶段</w:t>
                        </w:r>
                        <w:r>
                          <w:rPr>
                            <w:rFonts w:ascii="宋体" w:hAnsi="宋体" w:cs="宋体" w:eastAsia="宋体" w:hint="default"/>
                            <w:sz w:val="18"/>
                            <w:szCs w:val="18"/>
                          </w:rPr>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b/>
                            <w:bCs/>
                            <w:sz w:val="18"/>
                            <w:szCs w:val="18"/>
                          </w:rPr>
                          <w:t>（截止到</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c>
                      <w:tcPr>
                        <w:tcW w:w="170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计划起止时间</w:t>
                        </w:r>
                        <w:r>
                          <w:rPr>
                            <w:rFonts w:ascii="宋体" w:hAnsi="宋体" w:cs="宋体" w:eastAsia="宋体" w:hint="default"/>
                            <w:sz w:val="18"/>
                            <w:szCs w:val="18"/>
                          </w:rPr>
                        </w:r>
                      </w:p>
                    </w:tc>
                    <w:tc>
                      <w:tcPr>
                        <w:tcW w:w="779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开发功能及技术创新</w:t>
                        </w:r>
                        <w:r>
                          <w:rPr>
                            <w:rFonts w:ascii="宋体" w:hAnsi="宋体" w:cs="宋体" w:eastAsia="宋体" w:hint="default"/>
                            <w:sz w:val="18"/>
                            <w:szCs w:val="18"/>
                          </w:rPr>
                        </w:r>
                      </w:p>
                    </w:tc>
                  </w:tr>
                  <w:tr>
                    <w:trPr>
                      <w:trHeight w:val="334" w:hRule="exact"/>
                    </w:trPr>
                    <w:tc>
                      <w:tcPr>
                        <w:tcW w:w="710" w:type="dxa"/>
                        <w:tcBorders>
                          <w:top w:val="single" w:sz="6" w:space="0" w:color="000000"/>
                          <w:left w:val="single" w:sz="6" w:space="0" w:color="000000"/>
                          <w:bottom w:val="nil" w:sz="6" w:space="0" w:color="auto"/>
                          <w:right w:val="single" w:sz="6" w:space="0" w:color="000000"/>
                        </w:tcBorders>
                      </w:tcPr>
                      <w:p>
                        <w:pPr/>
                      </w:p>
                    </w:tc>
                    <w:tc>
                      <w:tcPr>
                        <w:tcW w:w="1699"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1702" w:type="dxa"/>
                        <w:tcBorders>
                          <w:top w:val="single" w:sz="6" w:space="0" w:color="000000"/>
                          <w:left w:val="single" w:sz="6" w:space="0" w:color="000000"/>
                          <w:bottom w:val="nil" w:sz="6" w:space="0" w:color="auto"/>
                          <w:right w:val="single" w:sz="6" w:space="0" w:color="000000"/>
                        </w:tcBorders>
                      </w:tcPr>
                      <w:p>
                        <w:pPr/>
                      </w:p>
                    </w:tc>
                    <w:tc>
                      <w:tcPr>
                        <w:tcW w:w="1700" w:type="dxa"/>
                        <w:tcBorders>
                          <w:top w:val="single" w:sz="6" w:space="0" w:color="000000"/>
                          <w:left w:val="single" w:sz="6" w:space="0" w:color="000000"/>
                          <w:bottom w:val="nil" w:sz="6" w:space="0" w:color="auto"/>
                          <w:right w:val="single" w:sz="6" w:space="0" w:color="000000"/>
                        </w:tcBorders>
                      </w:tcPr>
                      <w:p>
                        <w:pPr/>
                      </w:p>
                    </w:tc>
                    <w:tc>
                      <w:tcPr>
                        <w:tcW w:w="779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、行业唯一的面向校园的互联网金融支付云平台，结合一卡通线下体系和产品入口；</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、采用互联网</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的理念，构建线下行业系统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互联网金融支付平台的产品形态，提供线上加线下、有</w:t>
                        </w:r>
                      </w:p>
                    </w:tc>
                  </w:tr>
                  <w:tr>
                    <w:trPr>
                      <w:trHeight w:val="30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卡加无卡，覆盖校园全支付场景的解决方案；</w:t>
                        </w:r>
                      </w:p>
                    </w:tc>
                  </w:tr>
                  <w:tr>
                    <w:trPr>
                      <w:trHeight w:val="936" w:hRule="exact"/>
                    </w:trPr>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Times New Roman" w:hAnsi="Times New Roman" w:cs="Times New Roman" w:eastAsia="Times New Roman" w:hint="default"/>
                            <w:sz w:val="18"/>
                            <w:szCs w:val="18"/>
                          </w:rPr>
                        </w:pPr>
                        <w:r>
                          <w:rPr>
                            <w:rFonts w:ascii="Times New Roman"/>
                            <w:sz w:val="18"/>
                          </w:rPr>
                          <w:t>1</w:t>
                        </w:r>
                      </w:p>
                    </w:tc>
                    <w:tc>
                      <w:tcPr>
                        <w:tcW w:w="1699"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智慧校园一卡通平台</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V6.0</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智慧校园</w:t>
                        </w:r>
                      </w:p>
                    </w:tc>
                    <w:tc>
                      <w:tcPr>
                        <w:tcW w:w="1702" w:type="dxa"/>
                        <w:tcBorders>
                          <w:top w:val="nil" w:sz="6" w:space="0" w:color="auto"/>
                          <w:left w:val="single" w:sz="6" w:space="0" w:color="000000"/>
                          <w:bottom w:val="nil" w:sz="6" w:space="0" w:color="auto"/>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结项，已经开始销售</w:t>
                        </w:r>
                      </w:p>
                    </w:tc>
                    <w:tc>
                      <w:tcPr>
                        <w:tcW w:w="1700"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2018/3/7-2019/5/31</w:t>
                        </w: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、行业领先的使用扫一扫、二维码的在线消费记录，完成资金结算和划拨，并提供对账服务；</w:t>
                        </w:r>
                      </w:p>
                      <w:p>
                        <w:pPr>
                          <w:pStyle w:val="TableParagraph"/>
                          <w:spacing w:line="300" w:lineRule="auto" w:before="63"/>
                          <w:ind w:left="3" w:right="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、统一身份识别管理，制定统一规范与标准，支持多个厂商的所有身份识别终端如门禁、通道、门</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锁、梯控接入，完成统一管理、区域管理；</w:t>
                        </w:r>
                      </w:p>
                    </w:tc>
                  </w:tr>
                  <w:tr>
                    <w:trPr>
                      <w:trHeight w:val="31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、大数据分析平台，提供统计分析和数据挖掘功能及便捷的图形化操作、业务建模等功能；</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、全自主服务，集</w:t>
                        </w:r>
                        <w:r>
                          <w:rPr>
                            <w:rFonts w:ascii="Times New Roman" w:hAnsi="Times New Roman" w:cs="Times New Roman" w:eastAsia="Times New Roman" w:hint="default"/>
                            <w:spacing w:val="-2"/>
                            <w:sz w:val="18"/>
                            <w:szCs w:val="18"/>
                          </w:rPr>
                          <w:t>NFC</w:t>
                        </w:r>
                        <w:r>
                          <w:rPr>
                            <w:rFonts w:ascii="宋体" w:hAnsi="宋体" w:cs="宋体" w:eastAsia="宋体" w:hint="default"/>
                            <w:spacing w:val="-2"/>
                            <w:sz w:val="18"/>
                            <w:szCs w:val="18"/>
                          </w:rPr>
                          <w:t>移动支付、一卡通充值缴费、信息查询、校园公共服务、校园通讯录等功能</w:t>
                        </w:r>
                      </w:p>
                    </w:tc>
                  </w:tr>
                  <w:tr>
                    <w:trPr>
                      <w:trHeight w:val="325" w:hRule="exact"/>
                    </w:trPr>
                    <w:tc>
                      <w:tcPr>
                        <w:tcW w:w="710" w:type="dxa"/>
                        <w:tcBorders>
                          <w:top w:val="nil" w:sz="6" w:space="0" w:color="auto"/>
                          <w:left w:val="single" w:sz="6" w:space="0" w:color="000000"/>
                          <w:bottom w:val="single" w:sz="6" w:space="0" w:color="000000"/>
                          <w:right w:val="single" w:sz="6" w:space="0" w:color="000000"/>
                        </w:tcBorders>
                      </w:tcPr>
                      <w:p>
                        <w:pPr/>
                      </w:p>
                    </w:tc>
                    <w:tc>
                      <w:tcPr>
                        <w:tcW w:w="1699"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1702" w:type="dxa"/>
                        <w:tcBorders>
                          <w:top w:val="nil" w:sz="6" w:space="0" w:color="auto"/>
                          <w:left w:val="single" w:sz="6" w:space="0" w:color="000000"/>
                          <w:bottom w:val="single" w:sz="6" w:space="0" w:color="000000"/>
                          <w:right w:val="single" w:sz="6" w:space="0" w:color="000000"/>
                        </w:tcBorders>
                      </w:tcPr>
                      <w:p>
                        <w:pPr/>
                      </w:p>
                    </w:tc>
                    <w:tc>
                      <w:tcPr>
                        <w:tcW w:w="1700" w:type="dxa"/>
                        <w:tcBorders>
                          <w:top w:val="nil" w:sz="6" w:space="0" w:color="auto"/>
                          <w:left w:val="single" w:sz="6" w:space="0" w:color="000000"/>
                          <w:bottom w:val="single" w:sz="6" w:space="0" w:color="000000"/>
                          <w:right w:val="single" w:sz="6" w:space="0" w:color="000000"/>
                        </w:tcBorders>
                      </w:tcPr>
                      <w:p>
                        <w:pPr/>
                      </w:p>
                    </w:tc>
                    <w:tc>
                      <w:tcPr>
                        <w:tcW w:w="779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为一体，向广大师生用户提供全方位移动终端校园服务。</w:t>
                        </w:r>
                      </w:p>
                    </w:tc>
                  </w:tr>
                  <w:tr>
                    <w:trPr>
                      <w:trHeight w:val="335" w:hRule="exact"/>
                    </w:trPr>
                    <w:tc>
                      <w:tcPr>
                        <w:tcW w:w="710" w:type="dxa"/>
                        <w:tcBorders>
                          <w:top w:val="single" w:sz="6" w:space="0" w:color="000000"/>
                          <w:left w:val="single" w:sz="6" w:space="0" w:color="000000"/>
                          <w:bottom w:val="nil" w:sz="6" w:space="0" w:color="auto"/>
                          <w:right w:val="single" w:sz="6" w:space="0" w:color="000000"/>
                        </w:tcBorders>
                      </w:tcPr>
                      <w:p>
                        <w:pPr/>
                      </w:p>
                    </w:tc>
                    <w:tc>
                      <w:tcPr>
                        <w:tcW w:w="1699"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1702" w:type="dxa"/>
                        <w:tcBorders>
                          <w:top w:val="single" w:sz="6" w:space="0" w:color="000000"/>
                          <w:left w:val="single" w:sz="6" w:space="0" w:color="000000"/>
                          <w:bottom w:val="nil" w:sz="6" w:space="0" w:color="auto"/>
                          <w:right w:val="single" w:sz="6" w:space="0" w:color="000000"/>
                        </w:tcBorders>
                      </w:tcPr>
                      <w:p>
                        <w:pPr/>
                      </w:p>
                    </w:tc>
                    <w:tc>
                      <w:tcPr>
                        <w:tcW w:w="1700" w:type="dxa"/>
                        <w:tcBorders>
                          <w:top w:val="single" w:sz="6" w:space="0" w:color="000000"/>
                          <w:left w:val="single" w:sz="6" w:space="0" w:color="000000"/>
                          <w:bottom w:val="nil" w:sz="6" w:space="0" w:color="auto"/>
                          <w:right w:val="single" w:sz="6" w:space="0" w:color="000000"/>
                        </w:tcBorders>
                      </w:tcPr>
                      <w:p>
                        <w:pPr/>
                      </w:p>
                    </w:tc>
                    <w:tc>
                      <w:tcPr>
                        <w:tcW w:w="779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、独有的</w:t>
                        </w:r>
                        <w:r>
                          <w:rPr>
                            <w:rFonts w:ascii="Times New Roman" w:hAnsi="Times New Roman" w:cs="Times New Roman" w:eastAsia="Times New Roman" w:hint="default"/>
                            <w:sz w:val="18"/>
                            <w:szCs w:val="18"/>
                          </w:rPr>
                          <w:t>B/S</w:t>
                        </w:r>
                        <w:r>
                          <w:rPr>
                            <w:rFonts w:ascii="宋体" w:hAnsi="宋体" w:cs="宋体" w:eastAsia="宋体" w:hint="default"/>
                            <w:sz w:val="18"/>
                            <w:szCs w:val="18"/>
                          </w:rPr>
                          <w:t>架构式虚拟机管理控制；</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、采用</w:t>
                        </w:r>
                        <w:r>
                          <w:rPr>
                            <w:rFonts w:ascii="Times New Roman" w:hAnsi="Times New Roman" w:cs="Times New Roman" w:eastAsia="Times New Roman" w:hint="default"/>
                            <w:sz w:val="18"/>
                            <w:szCs w:val="18"/>
                          </w:rPr>
                          <w:t>openstack</w:t>
                        </w:r>
                        <w:r>
                          <w:rPr>
                            <w:rFonts w:ascii="宋体" w:hAnsi="宋体" w:cs="宋体" w:eastAsia="宋体" w:hint="default"/>
                            <w:sz w:val="18"/>
                            <w:szCs w:val="18"/>
                          </w:rPr>
                          <w:t>云计算系统，大数据采集挖掘分析技术；</w:t>
                        </w:r>
                      </w:p>
                    </w:tc>
                  </w:tr>
                  <w:tr>
                    <w:trPr>
                      <w:trHeight w:val="624" w:hRule="exact"/>
                    </w:trPr>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w:t>
                        </w:r>
                      </w:p>
                    </w:tc>
                    <w:tc>
                      <w:tcPr>
                        <w:tcW w:w="1699" w:type="dxa"/>
                        <w:tcBorders>
                          <w:top w:val="nil" w:sz="6" w:space="0" w:color="auto"/>
                          <w:left w:val="single" w:sz="6" w:space="0" w:color="000000"/>
                          <w:bottom w:val="nil" w:sz="6" w:space="0" w:color="auto"/>
                          <w:right w:val="single" w:sz="6"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大数据实验室平台</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40" w:lineRule="auto" w:before="161"/>
                          <w:ind w:right="197"/>
                          <w:jc w:val="right"/>
                          <w:rPr>
                            <w:rFonts w:ascii="宋体" w:hAnsi="宋体" w:cs="宋体" w:eastAsia="宋体" w:hint="default"/>
                            <w:sz w:val="18"/>
                            <w:szCs w:val="18"/>
                          </w:rPr>
                        </w:pPr>
                        <w:r>
                          <w:rPr>
                            <w:rFonts w:ascii="宋体" w:hAnsi="宋体" w:cs="宋体" w:eastAsia="宋体" w:hint="default"/>
                            <w:sz w:val="18"/>
                            <w:szCs w:val="18"/>
                          </w:rPr>
                          <w:t>智慧校园</w:t>
                        </w:r>
                      </w:p>
                    </w:tc>
                    <w:tc>
                      <w:tcPr>
                        <w:tcW w:w="1702" w:type="dxa"/>
                        <w:tcBorders>
                          <w:top w:val="nil" w:sz="6" w:space="0" w:color="auto"/>
                          <w:left w:val="single" w:sz="6" w:space="0" w:color="000000"/>
                          <w:bottom w:val="nil" w:sz="6" w:space="0" w:color="auto"/>
                          <w:right w:val="single" w:sz="6"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结项，已经开始销售</w:t>
                        </w:r>
                      </w:p>
                    </w:tc>
                    <w:tc>
                      <w:tcPr>
                        <w:tcW w:w="170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2018/3/1-2019/11/30</w:t>
                        </w: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、基于云计算虚拟技术，解决大数据实验课的多机器要求和实验环境隔离要求；</w:t>
                        </w:r>
                      </w:p>
                      <w:p>
                        <w:pPr>
                          <w:pStyle w:val="TableParagraph"/>
                          <w:spacing w:line="240" w:lineRule="auto" w:before="63"/>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、首创</w:t>
                        </w:r>
                        <w:r>
                          <w:rPr>
                            <w:rFonts w:ascii="Times New Roman" w:hAnsi="Times New Roman" w:cs="Times New Roman" w:eastAsia="Times New Roman" w:hint="default"/>
                            <w:sz w:val="18"/>
                            <w:szCs w:val="18"/>
                          </w:rPr>
                          <w:t>B/S</w:t>
                        </w:r>
                        <w:r>
                          <w:rPr>
                            <w:rFonts w:ascii="宋体" w:hAnsi="宋体" w:cs="宋体" w:eastAsia="宋体" w:hint="default"/>
                            <w:sz w:val="18"/>
                            <w:szCs w:val="18"/>
                          </w:rPr>
                          <w:t>架构式远程协助教学模式，摆脱实验室空间限制；</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、采用大数据分析技术对学生考试和学习行为进行综合分析；</w:t>
                        </w:r>
                      </w:p>
                    </w:tc>
                  </w:tr>
                  <w:tr>
                    <w:trPr>
                      <w:trHeight w:val="324" w:hRule="exact"/>
                    </w:trPr>
                    <w:tc>
                      <w:tcPr>
                        <w:tcW w:w="710" w:type="dxa"/>
                        <w:tcBorders>
                          <w:top w:val="nil" w:sz="6" w:space="0" w:color="auto"/>
                          <w:left w:val="single" w:sz="6" w:space="0" w:color="000000"/>
                          <w:bottom w:val="single" w:sz="6" w:space="0" w:color="000000"/>
                          <w:right w:val="single" w:sz="6" w:space="0" w:color="000000"/>
                        </w:tcBorders>
                      </w:tcPr>
                      <w:p>
                        <w:pPr/>
                      </w:p>
                    </w:tc>
                    <w:tc>
                      <w:tcPr>
                        <w:tcW w:w="1699"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1702" w:type="dxa"/>
                        <w:tcBorders>
                          <w:top w:val="nil" w:sz="6" w:space="0" w:color="auto"/>
                          <w:left w:val="single" w:sz="6" w:space="0" w:color="000000"/>
                          <w:bottom w:val="single" w:sz="6" w:space="0" w:color="000000"/>
                          <w:right w:val="single" w:sz="6" w:space="0" w:color="000000"/>
                        </w:tcBorders>
                      </w:tcPr>
                      <w:p>
                        <w:pPr/>
                      </w:p>
                    </w:tc>
                    <w:tc>
                      <w:tcPr>
                        <w:tcW w:w="1700" w:type="dxa"/>
                        <w:tcBorders>
                          <w:top w:val="nil" w:sz="6" w:space="0" w:color="auto"/>
                          <w:left w:val="single" w:sz="6" w:space="0" w:color="000000"/>
                          <w:bottom w:val="single" w:sz="6" w:space="0" w:color="000000"/>
                          <w:right w:val="single" w:sz="6" w:space="0" w:color="000000"/>
                        </w:tcBorders>
                      </w:tcPr>
                      <w:p>
                        <w:pPr/>
                      </w:p>
                    </w:tc>
                    <w:tc>
                      <w:tcPr>
                        <w:tcW w:w="779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、采用分布式可横向扩展服务器部署，动态扩展计算资源满足各个高校不同规模需求。</w:t>
                        </w:r>
                      </w:p>
                    </w:tc>
                  </w:tr>
                  <w:tr>
                    <w:trPr>
                      <w:trHeight w:val="335" w:hRule="exact"/>
                    </w:trPr>
                    <w:tc>
                      <w:tcPr>
                        <w:tcW w:w="710" w:type="dxa"/>
                        <w:tcBorders>
                          <w:top w:val="single" w:sz="6" w:space="0" w:color="000000"/>
                          <w:left w:val="single" w:sz="6" w:space="0" w:color="000000"/>
                          <w:bottom w:val="nil" w:sz="6" w:space="0" w:color="auto"/>
                          <w:right w:val="single" w:sz="6" w:space="0" w:color="000000"/>
                        </w:tcBorders>
                      </w:tcPr>
                      <w:p>
                        <w:pPr/>
                      </w:p>
                    </w:tc>
                    <w:tc>
                      <w:tcPr>
                        <w:tcW w:w="1699"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1702" w:type="dxa"/>
                        <w:tcBorders>
                          <w:top w:val="single" w:sz="6" w:space="0" w:color="000000"/>
                          <w:left w:val="single" w:sz="6" w:space="0" w:color="000000"/>
                          <w:bottom w:val="nil" w:sz="6" w:space="0" w:color="auto"/>
                          <w:right w:val="single" w:sz="6" w:space="0" w:color="000000"/>
                        </w:tcBorders>
                      </w:tcPr>
                      <w:p>
                        <w:pPr/>
                      </w:p>
                    </w:tc>
                    <w:tc>
                      <w:tcPr>
                        <w:tcW w:w="1700" w:type="dxa"/>
                        <w:tcBorders>
                          <w:top w:val="single" w:sz="6" w:space="0" w:color="000000"/>
                          <w:left w:val="single" w:sz="6" w:space="0" w:color="000000"/>
                          <w:bottom w:val="nil" w:sz="6" w:space="0" w:color="auto"/>
                          <w:right w:val="single" w:sz="6" w:space="0" w:color="000000"/>
                        </w:tcBorders>
                      </w:tcPr>
                      <w:p>
                        <w:pPr/>
                      </w:p>
                    </w:tc>
                    <w:tc>
                      <w:tcPr>
                        <w:tcW w:w="779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、对传统的门禁读头进行颠覆性的改进，从外观设计、技术革新、功能设置等方面都能令人耳目一</w:t>
                        </w:r>
                      </w:p>
                    </w:tc>
                  </w:tr>
                  <w:tr>
                    <w:trPr>
                      <w:trHeight w:val="931" w:hRule="exact"/>
                    </w:trPr>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
                          <w:jc w:val="center"/>
                          <w:rPr>
                            <w:rFonts w:ascii="Times New Roman" w:hAnsi="Times New Roman" w:cs="Times New Roman" w:eastAsia="Times New Roman" w:hint="default"/>
                            <w:sz w:val="18"/>
                            <w:szCs w:val="18"/>
                          </w:rPr>
                        </w:pPr>
                        <w:r>
                          <w:rPr>
                            <w:rFonts w:ascii="Times New Roman"/>
                            <w:sz w:val="18"/>
                          </w:rPr>
                          <w:t>3</w:t>
                        </w:r>
                      </w:p>
                    </w:tc>
                    <w:tc>
                      <w:tcPr>
                        <w:tcW w:w="1699" w:type="dxa"/>
                        <w:tcBorders>
                          <w:top w:val="nil" w:sz="6" w:space="0" w:color="auto"/>
                          <w:left w:val="single" w:sz="6" w:space="0" w:color="000000"/>
                          <w:bottom w:val="nil" w:sz="6" w:space="0" w:color="auto"/>
                          <w:right w:val="single" w:sz="6" w:space="0" w:color="000000"/>
                        </w:tcBorders>
                      </w:tcPr>
                      <w:p>
                        <w:pPr>
                          <w:pStyle w:val="TableParagraph"/>
                          <w:spacing w:line="316" w:lineRule="auto" w:before="161"/>
                          <w:ind w:left="122" w:right="30" w:hanging="90"/>
                          <w:jc w:val="left"/>
                          <w:rPr>
                            <w:rFonts w:ascii="宋体" w:hAnsi="宋体" w:cs="宋体" w:eastAsia="宋体" w:hint="default"/>
                            <w:sz w:val="18"/>
                            <w:szCs w:val="18"/>
                          </w:rPr>
                        </w:pPr>
                        <w:r>
                          <w:rPr>
                            <w:rFonts w:ascii="宋体" w:hAnsi="宋体" w:cs="宋体" w:eastAsia="宋体" w:hint="default"/>
                            <w:sz w:val="18"/>
                            <w:szCs w:val="18"/>
                          </w:rPr>
                          <w:t>基于物联网技术的多 介质智能识别终端</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身份识别</w:t>
                        </w:r>
                      </w:p>
                    </w:tc>
                    <w:tc>
                      <w:tcPr>
                        <w:tcW w:w="1702"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结项，已经开始销售</w:t>
                        </w:r>
                      </w:p>
                    </w:tc>
                    <w:tc>
                      <w:tcPr>
                        <w:tcW w:w="170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
                          <w:jc w:val="center"/>
                          <w:rPr>
                            <w:rFonts w:ascii="Times New Roman" w:hAnsi="Times New Roman" w:cs="Times New Roman" w:eastAsia="Times New Roman" w:hint="default"/>
                            <w:sz w:val="18"/>
                            <w:szCs w:val="18"/>
                          </w:rPr>
                        </w:pPr>
                        <w:r>
                          <w:rPr>
                            <w:rFonts w:ascii="Times New Roman"/>
                            <w:sz w:val="18"/>
                          </w:rPr>
                          <w:t>2018/3/2-2019/8/30</w:t>
                        </w: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309" w:lineRule="auto" w:before="5"/>
                          <w:ind w:left="3" w:right="25"/>
                          <w:jc w:val="left"/>
                          <w:rPr>
                            <w:rFonts w:ascii="宋体" w:hAnsi="宋体" w:cs="宋体" w:eastAsia="宋体" w:hint="default"/>
                            <w:sz w:val="18"/>
                            <w:szCs w:val="18"/>
                          </w:rPr>
                        </w:pPr>
                        <w:r>
                          <w:rPr>
                            <w:rFonts w:ascii="宋体" w:hAnsi="宋体" w:cs="宋体" w:eastAsia="宋体" w:hint="default"/>
                            <w:sz w:val="18"/>
                            <w:szCs w:val="18"/>
                          </w:rPr>
                          <w:t>新，主要是为了打造一款能代表公司形象的标杆产品。主要用于高校宿舍、教室、企业办公等场合 </w:t>
                        </w:r>
                        <w:r>
                          <w:rPr>
                            <w:rFonts w:ascii="Times New Roman" w:hAnsi="Times New Roman" w:cs="Times New Roman" w:eastAsia="Times New Roman" w:hint="default"/>
                            <w:sz w:val="18"/>
                            <w:szCs w:val="18"/>
                          </w:rPr>
                          <w:t>2</w:t>
                        </w:r>
                        <w:r>
                          <w:rPr>
                            <w:rFonts w:ascii="宋体" w:hAnsi="宋体" w:cs="宋体" w:eastAsia="宋体" w:hint="default"/>
                            <w:sz w:val="18"/>
                            <w:szCs w:val="18"/>
                          </w:rPr>
                          <w:t>、寻找专业设计公司设计外观，采用金属外观</w:t>
                        </w:r>
                        <w:r>
                          <w:rPr>
                            <w:rFonts w:ascii="Times New Roman" w:hAnsi="Times New Roman" w:cs="Times New Roman" w:eastAsia="Times New Roman" w:hint="default"/>
                            <w:sz w:val="18"/>
                            <w:szCs w:val="18"/>
                          </w:rPr>
                          <w:t>+</w:t>
                        </w:r>
                        <w:r>
                          <w:rPr>
                            <w:rFonts w:ascii="宋体" w:hAnsi="宋体" w:cs="宋体" w:eastAsia="宋体" w:hint="default"/>
                            <w:sz w:val="18"/>
                            <w:szCs w:val="18"/>
                          </w:rPr>
                          <w:t>玻璃面板以及超薄外壳设计，使整个读头显得高端 时尚，富含科技感；</w:t>
                        </w:r>
                      </w:p>
                    </w:tc>
                  </w:tr>
                  <w:tr>
                    <w:trPr>
                      <w:trHeight w:val="330" w:hRule="exact"/>
                    </w:trPr>
                    <w:tc>
                      <w:tcPr>
                        <w:tcW w:w="710" w:type="dxa"/>
                        <w:tcBorders>
                          <w:top w:val="nil" w:sz="6" w:space="0" w:color="auto"/>
                          <w:left w:val="single" w:sz="6" w:space="0" w:color="000000"/>
                          <w:bottom w:val="single" w:sz="6" w:space="0" w:color="000000"/>
                          <w:right w:val="single" w:sz="6" w:space="0" w:color="000000"/>
                        </w:tcBorders>
                      </w:tcPr>
                      <w:p>
                        <w:pPr/>
                      </w:p>
                    </w:tc>
                    <w:tc>
                      <w:tcPr>
                        <w:tcW w:w="1699"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1702" w:type="dxa"/>
                        <w:tcBorders>
                          <w:top w:val="nil" w:sz="6" w:space="0" w:color="auto"/>
                          <w:left w:val="single" w:sz="6" w:space="0" w:color="000000"/>
                          <w:bottom w:val="single" w:sz="6" w:space="0" w:color="000000"/>
                          <w:right w:val="single" w:sz="6" w:space="0" w:color="000000"/>
                        </w:tcBorders>
                      </w:tcPr>
                      <w:p>
                        <w:pPr/>
                      </w:p>
                    </w:tc>
                    <w:tc>
                      <w:tcPr>
                        <w:tcW w:w="1700" w:type="dxa"/>
                        <w:tcBorders>
                          <w:top w:val="nil" w:sz="6" w:space="0" w:color="auto"/>
                          <w:left w:val="single" w:sz="6" w:space="0" w:color="000000"/>
                          <w:bottom w:val="single" w:sz="6" w:space="0" w:color="000000"/>
                          <w:right w:val="single" w:sz="6" w:space="0" w:color="000000"/>
                        </w:tcBorders>
                      </w:tcPr>
                      <w:p>
                        <w:pPr/>
                      </w:p>
                    </w:tc>
                    <w:tc>
                      <w:tcPr>
                        <w:tcW w:w="779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、采用</w:t>
                        </w:r>
                        <w:r>
                          <w:rPr>
                            <w:rFonts w:ascii="Times New Roman" w:hAnsi="Times New Roman" w:cs="Times New Roman" w:eastAsia="Times New Roman" w:hint="default"/>
                            <w:sz w:val="18"/>
                            <w:szCs w:val="18"/>
                          </w:rPr>
                          <w:t>Linux</w:t>
                        </w:r>
                        <w:r>
                          <w:rPr>
                            <w:rFonts w:ascii="宋体" w:hAnsi="宋体" w:cs="宋体" w:eastAsia="宋体" w:hint="default"/>
                            <w:sz w:val="18"/>
                            <w:szCs w:val="18"/>
                          </w:rPr>
                          <w:t>系统方案，算法上对传统扫码算法进行改进，在扫码速度以及扫码成功率上达到国内</w:t>
                        </w:r>
                      </w:p>
                    </w:tc>
                  </w:tr>
                </w:tbl>
                <w:p>
                  <w:pPr/>
                </w:p>
              </w:txbxContent>
            </v:textbox>
            <w10:wrap type="none"/>
          </v:shape>
        </w:pict>
      </w: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39"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7"/>
        <w:rPr>
          <w:rFonts w:ascii="宋体" w:hAnsi="宋体" w:cs="宋体" w:eastAsia="宋体" w:hint="default"/>
          <w:b/>
          <w:bCs/>
          <w:sz w:val="32"/>
          <w:szCs w:val="32"/>
        </w:rPr>
      </w:pPr>
    </w:p>
    <w:p>
      <w:pPr>
        <w:spacing w:before="0"/>
        <w:ind w:left="13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7"/>
          <w:szCs w:val="17"/>
        </w:rPr>
      </w:pPr>
    </w:p>
    <w:p>
      <w:pPr>
        <w:pStyle w:val="BodyText"/>
        <w:spacing w:line="408" w:lineRule="auto" w:before="0"/>
        <w:ind w:left="139" w:right="0" w:firstLine="420"/>
        <w:jc w:val="left"/>
      </w:pPr>
      <w:r>
        <w:rPr/>
        <w:t>公司是国家重点支持的高新技术企业、火炬计划重点高新技术企业，持续的研发与创新是公司保持核心竞争力的重要保证，长期以来公司一直非常 重视研发投入，报告期内，公司仍保持了较大的技术开发与研究投入力度，研发投入金额占营业收入比例为</w:t>
      </w:r>
      <w:r>
        <w:rPr>
          <w:rFonts w:ascii="Times New Roman" w:hAnsi="Times New Roman" w:cs="Times New Roman" w:eastAsia="Times New Roman" w:hint="default"/>
        </w:rPr>
        <w:t>16.87%</w:t>
      </w:r>
      <w:r>
        <w:rPr/>
        <w:t>。</w:t>
      </w:r>
    </w:p>
    <w:p>
      <w:pPr>
        <w:pStyle w:val="BodyText"/>
        <w:spacing w:line="240" w:lineRule="auto" w:before="14"/>
        <w:ind w:left="559" w:right="0"/>
        <w:jc w:val="left"/>
      </w:pPr>
      <w:r>
        <w:rPr/>
        <w:t>报告期内，公司进行的研发项目进展情况如下：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before="44"/>
        <w:ind w:left="0" w:right="114"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headerReference w:type="default" r:id="rId15"/>
          <w:footerReference w:type="default" r:id="rId16"/>
          <w:pgSz w:w="16840" w:h="11910" w:orient="landscape"/>
          <w:pgMar w:header="867" w:footer="978" w:top="1060" w:bottom="1220" w:left="1300" w:right="460"/>
          <w:pgNumType w:start="33"/>
        </w:sectPr>
      </w:pPr>
    </w:p>
    <w:p>
      <w:pPr>
        <w:spacing w:line="240" w:lineRule="auto" w:before="0"/>
        <w:rPr>
          <w:rFonts w:ascii="宋体" w:hAnsi="宋体" w:cs="宋体" w:eastAsia="宋体" w:hint="default"/>
          <w:sz w:val="20"/>
          <w:szCs w:val="20"/>
        </w:rPr>
      </w:pPr>
      <w:r>
        <w:rPr/>
        <w:pict>
          <v:shape style="position:absolute;margin-left:71.630997pt;margin-top:55.259998pt;width:738.25pt;height:477.2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10"/>
                    <w:gridCol w:w="1699"/>
                    <w:gridCol w:w="1134"/>
                    <w:gridCol w:w="1702"/>
                    <w:gridCol w:w="1700"/>
                    <w:gridCol w:w="7798"/>
                  </w:tblGrid>
                  <w:tr>
                    <w:trPr>
                      <w:trHeight w:val="1297" w:hRule="exact"/>
                    </w:trPr>
                    <w:tc>
                      <w:tcPr>
                        <w:tcW w:w="710" w:type="dxa"/>
                        <w:tcBorders>
                          <w:top w:val="single" w:sz="17" w:space="0" w:color="000000"/>
                          <w:left w:val="single" w:sz="6" w:space="0" w:color="000000"/>
                          <w:bottom w:val="single" w:sz="6" w:space="0" w:color="000000"/>
                          <w:right w:val="single" w:sz="6" w:space="0" w:color="000000"/>
                        </w:tcBorders>
                      </w:tcPr>
                      <w:p>
                        <w:pPr/>
                      </w:p>
                    </w:tc>
                    <w:tc>
                      <w:tcPr>
                        <w:tcW w:w="1699" w:type="dxa"/>
                        <w:tcBorders>
                          <w:top w:val="single" w:sz="17" w:space="0" w:color="000000"/>
                          <w:left w:val="single" w:sz="6" w:space="0" w:color="000000"/>
                          <w:bottom w:val="single" w:sz="6" w:space="0" w:color="000000"/>
                          <w:right w:val="single" w:sz="6" w:space="0" w:color="000000"/>
                        </w:tcBorders>
                      </w:tcPr>
                      <w:p>
                        <w:pPr/>
                      </w:p>
                    </w:tc>
                    <w:tc>
                      <w:tcPr>
                        <w:tcW w:w="1134" w:type="dxa"/>
                        <w:tcBorders>
                          <w:top w:val="single" w:sz="17" w:space="0" w:color="000000"/>
                          <w:left w:val="single" w:sz="6" w:space="0" w:color="000000"/>
                          <w:bottom w:val="single" w:sz="6" w:space="0" w:color="000000"/>
                          <w:right w:val="single" w:sz="6" w:space="0" w:color="000000"/>
                        </w:tcBorders>
                      </w:tcPr>
                      <w:p>
                        <w:pPr/>
                      </w:p>
                    </w:tc>
                    <w:tc>
                      <w:tcPr>
                        <w:tcW w:w="1702" w:type="dxa"/>
                        <w:tcBorders>
                          <w:top w:val="single" w:sz="17" w:space="0" w:color="000000"/>
                          <w:left w:val="single" w:sz="6" w:space="0" w:color="000000"/>
                          <w:bottom w:val="single" w:sz="6" w:space="0" w:color="000000"/>
                          <w:right w:val="single" w:sz="6" w:space="0" w:color="000000"/>
                        </w:tcBorders>
                      </w:tcPr>
                      <w:p>
                        <w:pPr/>
                      </w:p>
                    </w:tc>
                    <w:tc>
                      <w:tcPr>
                        <w:tcW w:w="1700" w:type="dxa"/>
                        <w:tcBorders>
                          <w:top w:val="single" w:sz="17" w:space="0" w:color="000000"/>
                          <w:left w:val="single" w:sz="6" w:space="0" w:color="000000"/>
                          <w:bottom w:val="single" w:sz="6" w:space="0" w:color="000000"/>
                          <w:right w:val="single" w:sz="6" w:space="0" w:color="000000"/>
                        </w:tcBorders>
                      </w:tcPr>
                      <w:p>
                        <w:pPr/>
                      </w:p>
                    </w:tc>
                    <w:tc>
                      <w:tcPr>
                        <w:tcW w:w="7798" w:type="dxa"/>
                        <w:tcBorders>
                          <w:top w:val="single" w:sz="17" w:space="0" w:color="000000"/>
                          <w:left w:val="single" w:sz="6" w:space="0" w:color="000000"/>
                          <w:bottom w:val="single" w:sz="6" w:space="0" w:color="000000"/>
                          <w:right w:val="single" w:sz="6" w:space="0" w:color="000000"/>
                        </w:tcBorders>
                      </w:tcPr>
                      <w:p>
                        <w:pPr>
                          <w:pStyle w:val="TableParagraph"/>
                          <w:spacing w:line="307"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领先水平； </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、本项目会推出一系列配有不同开门方式的产品，包括二维码正反扫开门、刷卡开门、动态密码开</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门、虚拟卡</w:t>
                        </w:r>
                        <w:r>
                          <w:rPr>
                            <w:rFonts w:ascii="Times New Roman" w:hAnsi="Times New Roman" w:cs="Times New Roman" w:eastAsia="Times New Roman" w:hint="default"/>
                            <w:sz w:val="18"/>
                            <w:szCs w:val="18"/>
                          </w:rPr>
                          <w:t>HCE</w:t>
                        </w:r>
                        <w:r>
                          <w:rPr>
                            <w:rFonts w:ascii="宋体" w:hAnsi="宋体" w:cs="宋体" w:eastAsia="宋体" w:hint="default"/>
                            <w:sz w:val="18"/>
                            <w:szCs w:val="18"/>
                          </w:rPr>
                          <w:t>开门、蓝牙开门等，满足市场上绝大多数用户的需求。针对此产品开发的智能门禁 系统，将向用户提供一站式管理和大数据分析及相关服务。</w:t>
                        </w:r>
                      </w:p>
                    </w:tc>
                  </w:tr>
                  <w:tr>
                    <w:trPr>
                      <w:trHeight w:val="335" w:hRule="exact"/>
                    </w:trPr>
                    <w:tc>
                      <w:tcPr>
                        <w:tcW w:w="710" w:type="dxa"/>
                        <w:tcBorders>
                          <w:top w:val="single" w:sz="6" w:space="0" w:color="000000"/>
                          <w:left w:val="single" w:sz="6" w:space="0" w:color="000000"/>
                          <w:bottom w:val="nil" w:sz="6" w:space="0" w:color="auto"/>
                          <w:right w:val="single" w:sz="6" w:space="0" w:color="000000"/>
                        </w:tcBorders>
                      </w:tcPr>
                      <w:p>
                        <w:pPr/>
                      </w:p>
                    </w:tc>
                    <w:tc>
                      <w:tcPr>
                        <w:tcW w:w="1699"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1702" w:type="dxa"/>
                        <w:tcBorders>
                          <w:top w:val="single" w:sz="6" w:space="0" w:color="000000"/>
                          <w:left w:val="single" w:sz="6" w:space="0" w:color="000000"/>
                          <w:bottom w:val="nil" w:sz="6" w:space="0" w:color="auto"/>
                          <w:right w:val="single" w:sz="6" w:space="0" w:color="000000"/>
                        </w:tcBorders>
                      </w:tcPr>
                      <w:p>
                        <w:pPr/>
                      </w:p>
                    </w:tc>
                    <w:tc>
                      <w:tcPr>
                        <w:tcW w:w="1700" w:type="dxa"/>
                        <w:tcBorders>
                          <w:top w:val="single" w:sz="6" w:space="0" w:color="000000"/>
                          <w:left w:val="single" w:sz="6" w:space="0" w:color="000000"/>
                          <w:bottom w:val="nil" w:sz="6" w:space="0" w:color="auto"/>
                          <w:right w:val="single" w:sz="6" w:space="0" w:color="000000"/>
                        </w:tcBorders>
                      </w:tcPr>
                      <w:p>
                        <w:pPr/>
                      </w:p>
                    </w:tc>
                    <w:tc>
                      <w:tcPr>
                        <w:tcW w:w="779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、领先采用先进的</w:t>
                        </w:r>
                        <w:r>
                          <w:rPr>
                            <w:rFonts w:ascii="Times New Roman" w:hAnsi="Times New Roman" w:cs="Times New Roman" w:eastAsia="Times New Roman" w:hint="default"/>
                            <w:sz w:val="18"/>
                            <w:szCs w:val="18"/>
                          </w:rPr>
                          <w:t>NB-IOT</w:t>
                        </w:r>
                        <w:r>
                          <w:rPr>
                            <w:rFonts w:ascii="宋体" w:hAnsi="宋体" w:cs="宋体" w:eastAsia="宋体" w:hint="default"/>
                            <w:sz w:val="18"/>
                            <w:szCs w:val="18"/>
                          </w:rPr>
                          <w:t>通讯技术，具有大连接、广覆盖、低功耗等特点，表具通讯更稳定，电</w:t>
                        </w:r>
                      </w:p>
                    </w:tc>
                  </w:tr>
                  <w:tr>
                    <w:trPr>
                      <w:trHeight w:val="30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池更耐用；</w:t>
                        </w:r>
                      </w:p>
                    </w:tc>
                  </w:tr>
                  <w:tr>
                    <w:trPr>
                      <w:trHeight w:val="31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、采用现代电机阀技术、防外界电</w:t>
                        </w:r>
                        <w:r>
                          <w:rPr>
                            <w:rFonts w:ascii="Times New Roman" w:hAnsi="Times New Roman" w:cs="Times New Roman" w:eastAsia="Times New Roman" w:hint="default"/>
                            <w:sz w:val="18"/>
                            <w:szCs w:val="18"/>
                          </w:rPr>
                          <w:t>/</w:t>
                        </w:r>
                        <w:r>
                          <w:rPr>
                            <w:rFonts w:ascii="宋体" w:hAnsi="宋体" w:cs="宋体" w:eastAsia="宋体" w:hint="default"/>
                            <w:sz w:val="18"/>
                            <w:szCs w:val="18"/>
                          </w:rPr>
                          <w:t>磁攻击技术及全密封设计，并加入掉电欠压检测、燃气漏气检</w:t>
                        </w:r>
                      </w:p>
                    </w:tc>
                  </w:tr>
                  <w:tr>
                    <w:trPr>
                      <w:trHeight w:val="936" w:hRule="exact"/>
                    </w:trPr>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
                          <w:jc w:val="center"/>
                          <w:rPr>
                            <w:rFonts w:ascii="Times New Roman" w:hAnsi="Times New Roman" w:cs="Times New Roman" w:eastAsia="Times New Roman" w:hint="default"/>
                            <w:sz w:val="18"/>
                            <w:szCs w:val="18"/>
                          </w:rPr>
                        </w:pPr>
                        <w:r>
                          <w:rPr>
                            <w:rFonts w:ascii="Times New Roman"/>
                            <w:sz w:val="18"/>
                          </w:rPr>
                          <w:t>4</w:t>
                        </w:r>
                      </w:p>
                    </w:tc>
                    <w:tc>
                      <w:tcPr>
                        <w:tcW w:w="1699" w:type="dxa"/>
                        <w:tcBorders>
                          <w:top w:val="nil" w:sz="6" w:space="0" w:color="auto"/>
                          <w:left w:val="single" w:sz="6" w:space="0" w:color="000000"/>
                          <w:bottom w:val="nil" w:sz="6" w:space="0" w:color="auto"/>
                          <w:right w:val="single" w:sz="6" w:space="0" w:color="000000"/>
                        </w:tcBorders>
                      </w:tcPr>
                      <w:p>
                        <w:pPr>
                          <w:pStyle w:val="TableParagraph"/>
                          <w:spacing w:line="300" w:lineRule="auto" w:before="161"/>
                          <w:ind w:left="752" w:right="85" w:hanging="665"/>
                          <w:jc w:val="left"/>
                          <w:rPr>
                            <w:rFonts w:ascii="宋体" w:hAnsi="宋体" w:cs="宋体" w:eastAsia="宋体" w:hint="default"/>
                            <w:sz w:val="18"/>
                            <w:szCs w:val="18"/>
                          </w:rPr>
                        </w:pPr>
                        <w:r>
                          <w:rPr>
                            <w:rFonts w:ascii="Times New Roman" w:hAnsi="Times New Roman" w:cs="Times New Roman" w:eastAsia="Times New Roman" w:hint="default"/>
                            <w:sz w:val="18"/>
                            <w:szCs w:val="18"/>
                          </w:rPr>
                          <w:t>NB-IOT</w:t>
                        </w:r>
                        <w:r>
                          <w:rPr>
                            <w:rFonts w:ascii="宋体" w:hAnsi="宋体" w:cs="宋体" w:eastAsia="宋体" w:hint="default"/>
                            <w:sz w:val="18"/>
                            <w:szCs w:val="18"/>
                          </w:rPr>
                          <w:t>物联网燃气 表</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燃气集成</w:t>
                        </w:r>
                      </w:p>
                    </w:tc>
                    <w:tc>
                      <w:tcPr>
                        <w:tcW w:w="1702"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结项，已经开始销售</w:t>
                        </w:r>
                      </w:p>
                    </w:tc>
                    <w:tc>
                      <w:tcPr>
                        <w:tcW w:w="170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27" w:right="0"/>
                          <w:jc w:val="left"/>
                          <w:rPr>
                            <w:rFonts w:ascii="Times New Roman" w:hAnsi="Times New Roman" w:cs="Times New Roman" w:eastAsia="Times New Roman" w:hint="default"/>
                            <w:sz w:val="18"/>
                            <w:szCs w:val="18"/>
                          </w:rPr>
                        </w:pPr>
                        <w:r>
                          <w:rPr>
                            <w:rFonts w:ascii="Times New Roman"/>
                            <w:sz w:val="18"/>
                          </w:rPr>
                          <w:t>2018/3/5-2019/3/22</w:t>
                        </w: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测机制，表具具有工作稳定、压损小、异常自动切断关阀报警等特点；</w:t>
                        </w:r>
                      </w:p>
                      <w:p>
                        <w:pPr>
                          <w:pStyle w:val="TableParagraph"/>
                          <w:spacing w:line="240" w:lineRule="auto" w:before="76"/>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、表具计量精度高，准确度等级为</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级；具有阶梯计价、温压补偿等功能，交易更公平；</w:t>
                        </w:r>
                      </w:p>
                      <w:p>
                        <w:pPr>
                          <w:pStyle w:val="TableParagraph"/>
                          <w:spacing w:line="240" w:lineRule="auto" w:before="63"/>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、表具具有主动上报、异常报警、空中充值、远程控制等功能；</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、表具严格依照国家和行业标准进行设计、开发、测试，并要求完全达标；</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、燃气物联网云平台可以实时监控表具用量、信号强度、电池电压、阀门状态等运行信息，并具有</w:t>
                        </w:r>
                      </w:p>
                    </w:tc>
                  </w:tr>
                  <w:tr>
                    <w:trPr>
                      <w:trHeight w:val="324" w:hRule="exact"/>
                    </w:trPr>
                    <w:tc>
                      <w:tcPr>
                        <w:tcW w:w="710" w:type="dxa"/>
                        <w:tcBorders>
                          <w:top w:val="nil" w:sz="6" w:space="0" w:color="auto"/>
                          <w:left w:val="single" w:sz="6" w:space="0" w:color="000000"/>
                          <w:bottom w:val="single" w:sz="6" w:space="0" w:color="000000"/>
                          <w:right w:val="single" w:sz="6" w:space="0" w:color="000000"/>
                        </w:tcBorders>
                      </w:tcPr>
                      <w:p>
                        <w:pPr/>
                      </w:p>
                    </w:tc>
                    <w:tc>
                      <w:tcPr>
                        <w:tcW w:w="1699"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1702" w:type="dxa"/>
                        <w:tcBorders>
                          <w:top w:val="nil" w:sz="6" w:space="0" w:color="auto"/>
                          <w:left w:val="single" w:sz="6" w:space="0" w:color="000000"/>
                          <w:bottom w:val="single" w:sz="6" w:space="0" w:color="000000"/>
                          <w:right w:val="single" w:sz="6" w:space="0" w:color="000000"/>
                        </w:tcBorders>
                      </w:tcPr>
                      <w:p>
                        <w:pPr/>
                      </w:p>
                    </w:tc>
                    <w:tc>
                      <w:tcPr>
                        <w:tcW w:w="1700" w:type="dxa"/>
                        <w:tcBorders>
                          <w:top w:val="nil" w:sz="6" w:space="0" w:color="auto"/>
                          <w:left w:val="single" w:sz="6" w:space="0" w:color="000000"/>
                          <w:bottom w:val="single" w:sz="6" w:space="0" w:color="000000"/>
                          <w:right w:val="single" w:sz="6" w:space="0" w:color="000000"/>
                        </w:tcBorders>
                      </w:tcPr>
                      <w:p>
                        <w:pPr/>
                      </w:p>
                    </w:tc>
                    <w:tc>
                      <w:tcPr>
                        <w:tcW w:w="779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充值、阀控、平台计费、大数据分析等功能。</w:t>
                        </w:r>
                      </w:p>
                    </w:tc>
                  </w:tr>
                  <w:tr>
                    <w:trPr>
                      <w:trHeight w:val="335" w:hRule="exact"/>
                    </w:trPr>
                    <w:tc>
                      <w:tcPr>
                        <w:tcW w:w="710" w:type="dxa"/>
                        <w:tcBorders>
                          <w:top w:val="single" w:sz="6" w:space="0" w:color="000000"/>
                          <w:left w:val="single" w:sz="6" w:space="0" w:color="000000"/>
                          <w:bottom w:val="nil" w:sz="6" w:space="0" w:color="auto"/>
                          <w:right w:val="single" w:sz="6" w:space="0" w:color="000000"/>
                        </w:tcBorders>
                      </w:tcPr>
                      <w:p>
                        <w:pPr/>
                      </w:p>
                    </w:tc>
                    <w:tc>
                      <w:tcPr>
                        <w:tcW w:w="1699"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1702" w:type="dxa"/>
                        <w:tcBorders>
                          <w:top w:val="single" w:sz="6" w:space="0" w:color="000000"/>
                          <w:left w:val="single" w:sz="6" w:space="0" w:color="000000"/>
                          <w:bottom w:val="nil" w:sz="6" w:space="0" w:color="auto"/>
                          <w:right w:val="single" w:sz="6" w:space="0" w:color="000000"/>
                        </w:tcBorders>
                      </w:tcPr>
                      <w:p>
                        <w:pPr/>
                      </w:p>
                    </w:tc>
                    <w:tc>
                      <w:tcPr>
                        <w:tcW w:w="1700" w:type="dxa"/>
                        <w:tcBorders>
                          <w:top w:val="single" w:sz="6" w:space="0" w:color="000000"/>
                          <w:left w:val="single" w:sz="6" w:space="0" w:color="000000"/>
                          <w:bottom w:val="nil" w:sz="6" w:space="0" w:color="auto"/>
                          <w:right w:val="single" w:sz="6" w:space="0" w:color="000000"/>
                        </w:tcBorders>
                      </w:tcPr>
                      <w:p>
                        <w:pPr/>
                      </w:p>
                    </w:tc>
                    <w:tc>
                      <w:tcPr>
                        <w:tcW w:w="779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、借鉴我公司对水类产品防水技术的积累，使用密封圈加螺钉方式实现防水；支持密封性测试，出</w:t>
                        </w:r>
                      </w:p>
                    </w:tc>
                  </w:tr>
                  <w:tr>
                    <w:trPr>
                      <w:trHeight w:val="30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线方式使用灌胶密封；</w:t>
                        </w:r>
                      </w:p>
                    </w:tc>
                  </w:tr>
                  <w:tr>
                    <w:trPr>
                      <w:trHeight w:val="31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、采用全新的光学原理防水按键，机械部分与电子部分分离，能够应用在潮湿淋水环境下，同时提</w:t>
                        </w:r>
                      </w:p>
                    </w:tc>
                  </w:tr>
                  <w:tr>
                    <w:trPr>
                      <w:trHeight w:val="30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高了按键寿命；</w:t>
                        </w:r>
                      </w:p>
                    </w:tc>
                  </w:tr>
                  <w:tr>
                    <w:trPr>
                      <w:trHeight w:val="941" w:hRule="exact"/>
                    </w:trPr>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Times New Roman" w:hAnsi="Times New Roman" w:cs="Times New Roman" w:eastAsia="Times New Roman" w:hint="default"/>
                            <w:sz w:val="18"/>
                            <w:szCs w:val="18"/>
                          </w:rPr>
                        </w:pPr>
                        <w:r>
                          <w:rPr>
                            <w:rFonts w:ascii="Times New Roman"/>
                            <w:sz w:val="18"/>
                          </w:rPr>
                          <w:t>5</w:t>
                        </w:r>
                      </w:p>
                    </w:tc>
                    <w:tc>
                      <w:tcPr>
                        <w:tcW w:w="1699"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482" w:right="30" w:hanging="450"/>
                          <w:jc w:val="left"/>
                          <w:rPr>
                            <w:rFonts w:ascii="宋体" w:hAnsi="宋体" w:cs="宋体" w:eastAsia="宋体" w:hint="default"/>
                            <w:sz w:val="18"/>
                            <w:szCs w:val="18"/>
                          </w:rPr>
                        </w:pPr>
                        <w:r>
                          <w:rPr>
                            <w:rFonts w:ascii="宋体" w:hAnsi="宋体" w:cs="宋体" w:eastAsia="宋体" w:hint="default"/>
                            <w:sz w:val="18"/>
                            <w:szCs w:val="18"/>
                          </w:rPr>
                          <w:t>基于物联网技术的节 水控制器</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能源管控</w:t>
                        </w:r>
                      </w:p>
                    </w:tc>
                    <w:tc>
                      <w:tcPr>
                        <w:tcW w:w="170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结项，已经开始销售</w:t>
                        </w:r>
                      </w:p>
                    </w:tc>
                    <w:tc>
                      <w:tcPr>
                        <w:tcW w:w="170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72" w:right="0"/>
                          <w:jc w:val="left"/>
                          <w:rPr>
                            <w:rFonts w:ascii="Times New Roman" w:hAnsi="Times New Roman" w:cs="Times New Roman" w:eastAsia="Times New Roman" w:hint="default"/>
                            <w:sz w:val="18"/>
                            <w:szCs w:val="18"/>
                          </w:rPr>
                        </w:pPr>
                        <w:r>
                          <w:rPr>
                            <w:rFonts w:ascii="Times New Roman"/>
                            <w:sz w:val="18"/>
                          </w:rPr>
                          <w:t>2018/3/5-2019/3/5</w:t>
                        </w: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309" w:lineRule="auto" w:before="10"/>
                          <w:ind w:left="3" w:right="1"/>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、淋浴环境虚拟卡实现，通过手机</w:t>
                        </w:r>
                        <w:r>
                          <w:rPr>
                            <w:rFonts w:ascii="Times New Roman" w:hAnsi="Times New Roman" w:cs="Times New Roman" w:eastAsia="Times New Roman" w:hint="default"/>
                            <w:sz w:val="18"/>
                            <w:szCs w:val="18"/>
                          </w:rPr>
                          <w:t>App</w:t>
                        </w:r>
                        <w:r>
                          <w:rPr>
                            <w:rFonts w:ascii="宋体" w:hAnsi="宋体" w:cs="宋体" w:eastAsia="宋体" w:hint="default"/>
                            <w:sz w:val="18"/>
                            <w:szCs w:val="18"/>
                          </w:rPr>
                          <w:t>预约产生授权码，在水控终端输入授权码开始在线消费，这 种方式很好的解决了浴室场合无法带入手机的问题；同时仍支持卡片及手机刷卡；开水场合，也可 使用手机</w:t>
                        </w:r>
                        <w:r>
                          <w:rPr>
                            <w:rFonts w:ascii="Times New Roman" w:hAnsi="Times New Roman" w:cs="Times New Roman" w:eastAsia="Times New Roman" w:hint="default"/>
                            <w:sz w:val="18"/>
                            <w:szCs w:val="18"/>
                          </w:rPr>
                          <w:t>App</w:t>
                        </w:r>
                        <w:r>
                          <w:rPr>
                            <w:rFonts w:ascii="宋体" w:hAnsi="宋体" w:cs="宋体" w:eastAsia="宋体" w:hint="default"/>
                            <w:sz w:val="18"/>
                            <w:szCs w:val="18"/>
                          </w:rPr>
                          <w:t>扫码消费；</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、重新设计产品外观，突破传统思维限制，美观大方、使用便捷、富含科技感；使用液晶屏显示</w:t>
                        </w:r>
                      </w:p>
                    </w:tc>
                  </w:tr>
                  <w:tr>
                    <w:trPr>
                      <w:trHeight w:val="30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使人机交互界面更加丰富；</w:t>
                        </w:r>
                      </w:p>
                    </w:tc>
                  </w:tr>
                  <w:tr>
                    <w:trPr>
                      <w:trHeight w:val="31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、通讯方式改用</w:t>
                        </w:r>
                        <w:r>
                          <w:rPr>
                            <w:rFonts w:ascii="Times New Roman" w:hAnsi="Times New Roman" w:cs="Times New Roman" w:eastAsia="Times New Roman" w:hint="default"/>
                            <w:spacing w:val="-2"/>
                            <w:sz w:val="18"/>
                            <w:szCs w:val="18"/>
                          </w:rPr>
                          <w:t>CAN</w:t>
                        </w:r>
                        <w:r>
                          <w:rPr>
                            <w:rFonts w:ascii="宋体" w:hAnsi="宋体" w:cs="宋体" w:eastAsia="宋体" w:hint="default"/>
                            <w:spacing w:val="-2"/>
                            <w:sz w:val="18"/>
                            <w:szCs w:val="18"/>
                          </w:rPr>
                          <w:t>通讯，极大提高了通讯效率，同时支持了在线消费，领款、清欠等功能，用户</w:t>
                        </w:r>
                      </w:p>
                    </w:tc>
                  </w:tr>
                  <w:tr>
                    <w:trPr>
                      <w:trHeight w:val="324" w:hRule="exact"/>
                    </w:trPr>
                    <w:tc>
                      <w:tcPr>
                        <w:tcW w:w="710" w:type="dxa"/>
                        <w:tcBorders>
                          <w:top w:val="nil" w:sz="6" w:space="0" w:color="auto"/>
                          <w:left w:val="single" w:sz="6" w:space="0" w:color="000000"/>
                          <w:bottom w:val="single" w:sz="6" w:space="0" w:color="000000"/>
                          <w:right w:val="single" w:sz="6" w:space="0" w:color="000000"/>
                        </w:tcBorders>
                      </w:tcPr>
                      <w:p>
                        <w:pPr/>
                      </w:p>
                    </w:tc>
                    <w:tc>
                      <w:tcPr>
                        <w:tcW w:w="1699"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1702" w:type="dxa"/>
                        <w:tcBorders>
                          <w:top w:val="nil" w:sz="6" w:space="0" w:color="auto"/>
                          <w:left w:val="single" w:sz="6" w:space="0" w:color="000000"/>
                          <w:bottom w:val="single" w:sz="6" w:space="0" w:color="000000"/>
                          <w:right w:val="single" w:sz="6" w:space="0" w:color="000000"/>
                        </w:tcBorders>
                      </w:tcPr>
                      <w:p>
                        <w:pPr/>
                      </w:p>
                    </w:tc>
                    <w:tc>
                      <w:tcPr>
                        <w:tcW w:w="1700" w:type="dxa"/>
                        <w:tcBorders>
                          <w:top w:val="nil" w:sz="6" w:space="0" w:color="auto"/>
                          <w:left w:val="single" w:sz="6" w:space="0" w:color="000000"/>
                          <w:bottom w:val="single" w:sz="6" w:space="0" w:color="000000"/>
                          <w:right w:val="single" w:sz="6" w:space="0" w:color="000000"/>
                        </w:tcBorders>
                      </w:tcPr>
                      <w:p>
                        <w:pPr/>
                      </w:p>
                    </w:tc>
                    <w:tc>
                      <w:tcPr>
                        <w:tcW w:w="779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体验更佳。</w:t>
                        </w:r>
                      </w:p>
                    </w:tc>
                  </w:tr>
                  <w:tr>
                    <w:trPr>
                      <w:trHeight w:val="335" w:hRule="exact"/>
                    </w:trPr>
                    <w:tc>
                      <w:tcPr>
                        <w:tcW w:w="710" w:type="dxa"/>
                        <w:tcBorders>
                          <w:top w:val="single" w:sz="6" w:space="0" w:color="000000"/>
                          <w:left w:val="single" w:sz="6" w:space="0" w:color="000000"/>
                          <w:bottom w:val="nil" w:sz="6" w:space="0" w:color="auto"/>
                          <w:right w:val="single" w:sz="6" w:space="0" w:color="000000"/>
                        </w:tcBorders>
                      </w:tcPr>
                      <w:p>
                        <w:pPr/>
                      </w:p>
                    </w:tc>
                    <w:tc>
                      <w:tcPr>
                        <w:tcW w:w="1699"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1702" w:type="dxa"/>
                        <w:tcBorders>
                          <w:top w:val="single" w:sz="6" w:space="0" w:color="000000"/>
                          <w:left w:val="single" w:sz="6" w:space="0" w:color="000000"/>
                          <w:bottom w:val="nil" w:sz="6" w:space="0" w:color="auto"/>
                          <w:right w:val="single" w:sz="6" w:space="0" w:color="000000"/>
                        </w:tcBorders>
                      </w:tcPr>
                      <w:p>
                        <w:pPr/>
                      </w:p>
                    </w:tc>
                    <w:tc>
                      <w:tcPr>
                        <w:tcW w:w="1700" w:type="dxa"/>
                        <w:tcBorders>
                          <w:top w:val="single" w:sz="6" w:space="0" w:color="000000"/>
                          <w:left w:val="single" w:sz="6" w:space="0" w:color="000000"/>
                          <w:bottom w:val="nil" w:sz="6" w:space="0" w:color="auto"/>
                          <w:right w:val="single" w:sz="6" w:space="0" w:color="000000"/>
                        </w:tcBorders>
                      </w:tcPr>
                      <w:p>
                        <w:pPr/>
                      </w:p>
                    </w:tc>
                    <w:tc>
                      <w:tcPr>
                        <w:tcW w:w="779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开发的</w:t>
                        </w:r>
                        <w:r>
                          <w:rPr>
                            <w:rFonts w:ascii="Times New Roman" w:hAnsi="Times New Roman" w:cs="Times New Roman" w:eastAsia="Times New Roman" w:hint="default"/>
                            <w:sz w:val="18"/>
                            <w:szCs w:val="18"/>
                          </w:rPr>
                          <w:t>XKP362x</w:t>
                        </w:r>
                        <w:r>
                          <w:rPr>
                            <w:rFonts w:ascii="宋体" w:hAnsi="宋体" w:cs="宋体" w:eastAsia="宋体" w:hint="default"/>
                            <w:sz w:val="18"/>
                            <w:szCs w:val="18"/>
                          </w:rPr>
                          <w:t>系列高速载波芯片，具有独立的自主版权，其对应的载波模块包括集中器模块、单</w:t>
                        </w:r>
                      </w:p>
                    </w:tc>
                  </w:tr>
                  <w:tr>
                    <w:trPr>
                      <w:trHeight w:val="30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三相模块，具备如下特点：</w:t>
                        </w:r>
                      </w:p>
                    </w:tc>
                  </w:tr>
                  <w:tr>
                    <w:trPr>
                      <w:trHeight w:val="629" w:hRule="exact"/>
                    </w:trPr>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w:t>
                        </w:r>
                      </w:p>
                    </w:tc>
                    <w:tc>
                      <w:tcPr>
                        <w:tcW w:w="1699"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122" w:right="30" w:hanging="90"/>
                          <w:jc w:val="left"/>
                          <w:rPr>
                            <w:rFonts w:ascii="宋体" w:hAnsi="宋体" w:cs="宋体" w:eastAsia="宋体" w:hint="default"/>
                            <w:sz w:val="18"/>
                            <w:szCs w:val="18"/>
                          </w:rPr>
                        </w:pPr>
                        <w:r>
                          <w:rPr>
                            <w:rFonts w:ascii="宋体" w:hAnsi="宋体" w:cs="宋体" w:eastAsia="宋体" w:hint="default"/>
                            <w:sz w:val="18"/>
                            <w:szCs w:val="18"/>
                          </w:rPr>
                          <w:t>基于互联互通技术的 高速载波芯片项目</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电力集成</w:t>
                        </w:r>
                      </w:p>
                    </w:tc>
                    <w:tc>
                      <w:tcPr>
                        <w:tcW w:w="170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结项，已经开始销售</w:t>
                        </w:r>
                      </w:p>
                    </w:tc>
                    <w:tc>
                      <w:tcPr>
                        <w:tcW w:w="170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2018/3/2-2019/12/31</w:t>
                        </w: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、支持数据汇集、并发抄表机制，抄表效率高；</w:t>
                        </w:r>
                      </w:p>
                      <w:p>
                        <w:pPr>
                          <w:pStyle w:val="TableParagraph"/>
                          <w:spacing w:line="240" w:lineRule="auto" w:before="63"/>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、多路径寻址，通信节点根据当前通信环境和状态自动快速组网，无需额外配置；</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、频段自适应。低压电力线干扰在</w:t>
                        </w:r>
                        <w:r>
                          <w:rPr>
                            <w:rFonts w:ascii="Times New Roman" w:hAnsi="Times New Roman" w:cs="Times New Roman" w:eastAsia="Times New Roman" w:hint="default"/>
                            <w:sz w:val="18"/>
                            <w:szCs w:val="18"/>
                          </w:rPr>
                          <w:t>1MHz</w:t>
                        </w:r>
                        <w:r>
                          <w:rPr>
                            <w:rFonts w:ascii="宋体" w:hAnsi="宋体" w:cs="宋体" w:eastAsia="宋体" w:hint="default"/>
                            <w:sz w:val="18"/>
                            <w:szCs w:val="18"/>
                          </w:rPr>
                          <w:t>以下，能有效避免陈旧或缺陷电器设备带来的信号干扰；</w:t>
                        </w:r>
                      </w:p>
                    </w:tc>
                  </w:tr>
                  <w:tr>
                    <w:trPr>
                      <w:trHeight w:val="325" w:hRule="exact"/>
                    </w:trPr>
                    <w:tc>
                      <w:tcPr>
                        <w:tcW w:w="710" w:type="dxa"/>
                        <w:tcBorders>
                          <w:top w:val="nil" w:sz="6" w:space="0" w:color="auto"/>
                          <w:left w:val="single" w:sz="6" w:space="0" w:color="000000"/>
                          <w:bottom w:val="single" w:sz="6" w:space="0" w:color="000000"/>
                          <w:right w:val="single" w:sz="6" w:space="0" w:color="000000"/>
                        </w:tcBorders>
                      </w:tcPr>
                      <w:p>
                        <w:pPr/>
                      </w:p>
                    </w:tc>
                    <w:tc>
                      <w:tcPr>
                        <w:tcW w:w="1699"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1702" w:type="dxa"/>
                        <w:tcBorders>
                          <w:top w:val="nil" w:sz="6" w:space="0" w:color="auto"/>
                          <w:left w:val="single" w:sz="6" w:space="0" w:color="000000"/>
                          <w:bottom w:val="single" w:sz="6" w:space="0" w:color="000000"/>
                          <w:right w:val="single" w:sz="6" w:space="0" w:color="000000"/>
                        </w:tcBorders>
                      </w:tcPr>
                      <w:p>
                        <w:pPr/>
                      </w:p>
                    </w:tc>
                    <w:tc>
                      <w:tcPr>
                        <w:tcW w:w="1700" w:type="dxa"/>
                        <w:tcBorders>
                          <w:top w:val="nil" w:sz="6" w:space="0" w:color="auto"/>
                          <w:left w:val="single" w:sz="6" w:space="0" w:color="000000"/>
                          <w:bottom w:val="single" w:sz="6" w:space="0" w:color="000000"/>
                          <w:right w:val="single" w:sz="6" w:space="0" w:color="000000"/>
                        </w:tcBorders>
                      </w:tcPr>
                      <w:p>
                        <w:pPr/>
                      </w:p>
                    </w:tc>
                    <w:tc>
                      <w:tcPr>
                        <w:tcW w:w="779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、子载波支持多种调制方式，能并行传输，有效解决信道拥堵情况；</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44"/>
        <w:ind w:left="0" w:right="115"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6840" w:h="11910" w:orient="landscape"/>
          <w:pgMar w:header="867" w:footer="978" w:top="1060" w:bottom="1240" w:left="1320" w:right="460"/>
        </w:sectPr>
      </w:pPr>
    </w:p>
    <w:p>
      <w:pPr>
        <w:spacing w:line="240" w:lineRule="auto" w:before="0"/>
        <w:rPr>
          <w:rFonts w:ascii="宋体" w:hAnsi="宋体" w:cs="宋体" w:eastAsia="宋体" w:hint="default"/>
          <w:sz w:val="20"/>
          <w:szCs w:val="20"/>
        </w:rPr>
      </w:pPr>
      <w:r>
        <w:rPr/>
        <w:pict>
          <v:shape style="position:absolute;margin-left:71.630997pt;margin-top:55.259998pt;width:738.25pt;height:477.2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10"/>
                    <w:gridCol w:w="1699"/>
                    <w:gridCol w:w="1134"/>
                    <w:gridCol w:w="1702"/>
                    <w:gridCol w:w="1700"/>
                    <w:gridCol w:w="7798"/>
                  </w:tblGrid>
                  <w:tr>
                    <w:trPr>
                      <w:trHeight w:val="349" w:hRule="exact"/>
                    </w:trPr>
                    <w:tc>
                      <w:tcPr>
                        <w:tcW w:w="710" w:type="dxa"/>
                        <w:vMerge w:val="restart"/>
                        <w:tcBorders>
                          <w:top w:val="single" w:sz="17" w:space="0" w:color="000000"/>
                          <w:left w:val="single" w:sz="6" w:space="0" w:color="000000"/>
                          <w:right w:val="single" w:sz="6" w:space="0" w:color="000000"/>
                        </w:tcBorders>
                      </w:tcPr>
                      <w:p>
                        <w:pPr/>
                      </w:p>
                    </w:tc>
                    <w:tc>
                      <w:tcPr>
                        <w:tcW w:w="1699" w:type="dxa"/>
                        <w:vMerge w:val="restart"/>
                        <w:tcBorders>
                          <w:top w:val="single" w:sz="17" w:space="0" w:color="000000"/>
                          <w:left w:val="single" w:sz="6" w:space="0" w:color="000000"/>
                          <w:right w:val="single" w:sz="6" w:space="0" w:color="000000"/>
                        </w:tcBorders>
                      </w:tcPr>
                      <w:p>
                        <w:pPr/>
                      </w:p>
                    </w:tc>
                    <w:tc>
                      <w:tcPr>
                        <w:tcW w:w="1134" w:type="dxa"/>
                        <w:vMerge w:val="restart"/>
                        <w:tcBorders>
                          <w:top w:val="single" w:sz="17" w:space="0" w:color="000000"/>
                          <w:left w:val="single" w:sz="6" w:space="0" w:color="000000"/>
                          <w:right w:val="single" w:sz="6" w:space="0" w:color="000000"/>
                        </w:tcBorders>
                      </w:tcPr>
                      <w:p>
                        <w:pPr/>
                      </w:p>
                    </w:tc>
                    <w:tc>
                      <w:tcPr>
                        <w:tcW w:w="1702" w:type="dxa"/>
                        <w:vMerge w:val="restart"/>
                        <w:tcBorders>
                          <w:top w:val="single" w:sz="17" w:space="0" w:color="000000"/>
                          <w:left w:val="single" w:sz="6" w:space="0" w:color="000000"/>
                          <w:right w:val="single" w:sz="6" w:space="0" w:color="000000"/>
                        </w:tcBorders>
                      </w:tcPr>
                      <w:p>
                        <w:pPr/>
                      </w:p>
                    </w:tc>
                    <w:tc>
                      <w:tcPr>
                        <w:tcW w:w="1700" w:type="dxa"/>
                        <w:vMerge w:val="restart"/>
                        <w:tcBorders>
                          <w:top w:val="single" w:sz="17" w:space="0" w:color="000000"/>
                          <w:left w:val="single" w:sz="6" w:space="0" w:color="000000"/>
                          <w:right w:val="single" w:sz="6" w:space="0" w:color="000000"/>
                        </w:tcBorders>
                      </w:tcPr>
                      <w:p>
                        <w:pPr/>
                      </w:p>
                    </w:tc>
                    <w:tc>
                      <w:tcPr>
                        <w:tcW w:w="7798" w:type="dxa"/>
                        <w:tcBorders>
                          <w:top w:val="single" w:sz="17"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、基于电力线双向、实时、高速通讯方式，增强数据的实时性，提高费控的成功率，无需加装辅助</w:t>
                        </w:r>
                      </w:p>
                    </w:tc>
                  </w:tr>
                  <w:tr>
                    <w:trPr>
                      <w:trHeight w:val="307" w:hRule="exact"/>
                    </w:trPr>
                    <w:tc>
                      <w:tcPr>
                        <w:tcW w:w="710" w:type="dxa"/>
                        <w:vMerge/>
                        <w:tcBorders>
                          <w:left w:val="single" w:sz="6" w:space="0" w:color="000000"/>
                          <w:right w:val="single" w:sz="6" w:space="0" w:color="000000"/>
                        </w:tcBorders>
                      </w:tcPr>
                      <w:p>
                        <w:pPr/>
                      </w:p>
                    </w:tc>
                    <w:tc>
                      <w:tcPr>
                        <w:tcW w:w="1699" w:type="dxa"/>
                        <w:vMerge/>
                        <w:tcBorders>
                          <w:left w:val="single" w:sz="6" w:space="0" w:color="000000"/>
                          <w:right w:val="single" w:sz="6" w:space="0" w:color="000000"/>
                        </w:tcBorders>
                      </w:tcPr>
                      <w:p>
                        <w:pPr/>
                      </w:p>
                    </w:tc>
                    <w:tc>
                      <w:tcPr>
                        <w:tcW w:w="1134" w:type="dxa"/>
                        <w:vMerge/>
                        <w:tcBorders>
                          <w:left w:val="single" w:sz="6" w:space="0" w:color="000000"/>
                          <w:right w:val="single" w:sz="6" w:space="0" w:color="000000"/>
                        </w:tcBorders>
                      </w:tcPr>
                      <w:p>
                        <w:pPr/>
                      </w:p>
                    </w:tc>
                    <w:tc>
                      <w:tcPr>
                        <w:tcW w:w="1702" w:type="dxa"/>
                        <w:vMerge/>
                        <w:tcBorders>
                          <w:left w:val="single" w:sz="6" w:space="0" w:color="000000"/>
                          <w:right w:val="single" w:sz="6" w:space="0" w:color="000000"/>
                        </w:tcBorders>
                      </w:tcPr>
                      <w:p>
                        <w:pPr/>
                      </w:p>
                    </w:tc>
                    <w:tc>
                      <w:tcPr>
                        <w:tcW w:w="1700" w:type="dxa"/>
                        <w:vMerge/>
                        <w:tcBorders>
                          <w:left w:val="single" w:sz="6" w:space="0" w:color="000000"/>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设备；</w:t>
                        </w:r>
                      </w:p>
                    </w:tc>
                  </w:tr>
                  <w:tr>
                    <w:trPr>
                      <w:trHeight w:val="317" w:hRule="exact"/>
                    </w:trPr>
                    <w:tc>
                      <w:tcPr>
                        <w:tcW w:w="710" w:type="dxa"/>
                        <w:vMerge/>
                        <w:tcBorders>
                          <w:left w:val="single" w:sz="6" w:space="0" w:color="000000"/>
                          <w:right w:val="single" w:sz="6" w:space="0" w:color="000000"/>
                        </w:tcBorders>
                      </w:tcPr>
                      <w:p>
                        <w:pPr/>
                      </w:p>
                    </w:tc>
                    <w:tc>
                      <w:tcPr>
                        <w:tcW w:w="1699" w:type="dxa"/>
                        <w:vMerge/>
                        <w:tcBorders>
                          <w:left w:val="single" w:sz="6" w:space="0" w:color="000000"/>
                          <w:right w:val="single" w:sz="6" w:space="0" w:color="000000"/>
                        </w:tcBorders>
                      </w:tcPr>
                      <w:p>
                        <w:pPr/>
                      </w:p>
                    </w:tc>
                    <w:tc>
                      <w:tcPr>
                        <w:tcW w:w="1134" w:type="dxa"/>
                        <w:vMerge/>
                        <w:tcBorders>
                          <w:left w:val="single" w:sz="6" w:space="0" w:color="000000"/>
                          <w:right w:val="single" w:sz="6" w:space="0" w:color="000000"/>
                        </w:tcBorders>
                      </w:tcPr>
                      <w:p>
                        <w:pPr/>
                      </w:p>
                    </w:tc>
                    <w:tc>
                      <w:tcPr>
                        <w:tcW w:w="1702" w:type="dxa"/>
                        <w:vMerge/>
                        <w:tcBorders>
                          <w:left w:val="single" w:sz="6" w:space="0" w:color="000000"/>
                          <w:right w:val="single" w:sz="6" w:space="0" w:color="000000"/>
                        </w:tcBorders>
                      </w:tcPr>
                      <w:p>
                        <w:pPr/>
                      </w:p>
                    </w:tc>
                    <w:tc>
                      <w:tcPr>
                        <w:tcW w:w="1700" w:type="dxa"/>
                        <w:vMerge/>
                        <w:tcBorders>
                          <w:left w:val="single" w:sz="6" w:space="0" w:color="000000"/>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、在线远程升级，支持带电单点或全网在线升级；</w:t>
                        </w:r>
                      </w:p>
                    </w:tc>
                  </w:tr>
                  <w:tr>
                    <w:trPr>
                      <w:trHeight w:val="324" w:hRule="exact"/>
                    </w:trPr>
                    <w:tc>
                      <w:tcPr>
                        <w:tcW w:w="710" w:type="dxa"/>
                        <w:vMerge/>
                        <w:tcBorders>
                          <w:left w:val="single" w:sz="6" w:space="0" w:color="000000"/>
                          <w:bottom w:val="single" w:sz="6" w:space="0" w:color="000000"/>
                          <w:right w:val="single" w:sz="6" w:space="0" w:color="000000"/>
                        </w:tcBorders>
                      </w:tcPr>
                      <w:p>
                        <w:pPr/>
                      </w:p>
                    </w:tc>
                    <w:tc>
                      <w:tcPr>
                        <w:tcW w:w="1699" w:type="dxa"/>
                        <w:vMerge/>
                        <w:tcBorders>
                          <w:left w:val="single" w:sz="6" w:space="0" w:color="000000"/>
                          <w:bottom w:val="single" w:sz="6" w:space="0" w:color="000000"/>
                          <w:right w:val="single" w:sz="6" w:space="0" w:color="000000"/>
                        </w:tcBorders>
                      </w:tcPr>
                      <w:p>
                        <w:pPr/>
                      </w:p>
                    </w:tc>
                    <w:tc>
                      <w:tcPr>
                        <w:tcW w:w="1134"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1700" w:type="dxa"/>
                        <w:vMerge/>
                        <w:tcBorders>
                          <w:left w:val="single" w:sz="6" w:space="0" w:color="000000"/>
                          <w:bottom w:val="single" w:sz="6" w:space="0" w:color="000000"/>
                          <w:right w:val="single" w:sz="6" w:space="0" w:color="000000"/>
                        </w:tcBorders>
                      </w:tcPr>
                      <w:p>
                        <w:pPr/>
                      </w:p>
                    </w:tc>
                    <w:tc>
                      <w:tcPr>
                        <w:tcW w:w="779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、完全兼容国网互联互通技术，拥有完善的网络数据通信协议集，应用范围更广。</w:t>
                        </w:r>
                      </w:p>
                    </w:tc>
                  </w:tr>
                  <w:tr>
                    <w:trPr>
                      <w:trHeight w:val="335" w:hRule="exact"/>
                    </w:trPr>
                    <w:tc>
                      <w:tcPr>
                        <w:tcW w:w="710" w:type="dxa"/>
                        <w:tcBorders>
                          <w:top w:val="single" w:sz="6" w:space="0" w:color="000000"/>
                          <w:left w:val="single" w:sz="6" w:space="0" w:color="000000"/>
                          <w:bottom w:val="nil" w:sz="6" w:space="0" w:color="auto"/>
                          <w:right w:val="single" w:sz="6" w:space="0" w:color="000000"/>
                        </w:tcBorders>
                      </w:tcPr>
                      <w:p>
                        <w:pPr/>
                      </w:p>
                    </w:tc>
                    <w:tc>
                      <w:tcPr>
                        <w:tcW w:w="1699"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1702" w:type="dxa"/>
                        <w:tcBorders>
                          <w:top w:val="single" w:sz="6" w:space="0" w:color="000000"/>
                          <w:left w:val="single" w:sz="6" w:space="0" w:color="000000"/>
                          <w:bottom w:val="nil" w:sz="6" w:space="0" w:color="auto"/>
                          <w:right w:val="single" w:sz="6" w:space="0" w:color="000000"/>
                        </w:tcBorders>
                      </w:tcPr>
                      <w:p>
                        <w:pPr/>
                      </w:p>
                    </w:tc>
                    <w:tc>
                      <w:tcPr>
                        <w:tcW w:w="1700" w:type="dxa"/>
                        <w:tcBorders>
                          <w:top w:val="single" w:sz="6" w:space="0" w:color="000000"/>
                          <w:left w:val="single" w:sz="6" w:space="0" w:color="000000"/>
                          <w:bottom w:val="nil" w:sz="6" w:space="0" w:color="auto"/>
                          <w:right w:val="single" w:sz="6" w:space="0" w:color="000000"/>
                        </w:tcBorders>
                      </w:tcPr>
                      <w:p>
                        <w:pPr/>
                      </w:p>
                    </w:tc>
                    <w:tc>
                      <w:tcPr>
                        <w:tcW w:w="779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、行业唯一的面向校园的互联网金融支付云平台，结合一卡通线下体系和产品入口，提供便捷的签</w:t>
                        </w:r>
                      </w:p>
                    </w:tc>
                  </w:tr>
                  <w:tr>
                    <w:trPr>
                      <w:trHeight w:val="30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约银行支付通道、第三方支付、移动支付通道等多种支付方式，帮助客户快速高效的搭建自己的支</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付系统，完成聚合支付；</w:t>
                        </w:r>
                      </w:p>
                    </w:tc>
                  </w:tr>
                  <w:tr>
                    <w:trPr>
                      <w:trHeight w:val="317" w:hRule="exact"/>
                    </w:trPr>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7</w:t>
                        </w:r>
                      </w:p>
                    </w:tc>
                    <w:tc>
                      <w:tcPr>
                        <w:tcW w:w="169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2" w:right="0"/>
                          <w:jc w:val="left"/>
                          <w:rPr>
                            <w:rFonts w:ascii="宋体" w:hAnsi="宋体" w:cs="宋体" w:eastAsia="宋体" w:hint="default"/>
                            <w:sz w:val="18"/>
                            <w:szCs w:val="18"/>
                          </w:rPr>
                        </w:pPr>
                        <w:r>
                          <w:rPr>
                            <w:rFonts w:ascii="宋体" w:hAnsi="宋体" w:cs="宋体" w:eastAsia="宋体" w:hint="default"/>
                            <w:sz w:val="18"/>
                            <w:szCs w:val="18"/>
                          </w:rPr>
                          <w:t>虚拟卡支付平台项目</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97"/>
                          <w:jc w:val="right"/>
                          <w:rPr>
                            <w:rFonts w:ascii="宋体" w:hAnsi="宋体" w:cs="宋体" w:eastAsia="宋体" w:hint="default"/>
                            <w:sz w:val="18"/>
                            <w:szCs w:val="18"/>
                          </w:rPr>
                        </w:pPr>
                        <w:r>
                          <w:rPr>
                            <w:rFonts w:ascii="宋体" w:hAnsi="宋体" w:cs="宋体" w:eastAsia="宋体" w:hint="default"/>
                            <w:sz w:val="18"/>
                            <w:szCs w:val="18"/>
                          </w:rPr>
                          <w:t>智慧校园</w:t>
                        </w:r>
                      </w:p>
                    </w:tc>
                    <w:tc>
                      <w:tcPr>
                        <w:tcW w:w="17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结项，已经开始销售</w:t>
                        </w:r>
                      </w:p>
                    </w:tc>
                    <w:tc>
                      <w:tcPr>
                        <w:tcW w:w="1700" w:type="dxa"/>
                        <w:tcBorders>
                          <w:top w:val="nil" w:sz="6" w:space="0" w:color="auto"/>
                          <w:left w:val="single" w:sz="6" w:space="0" w:color="000000"/>
                          <w:bottom w:val="nil" w:sz="6" w:space="0" w:color="auto"/>
                          <w:right w:val="single" w:sz="6" w:space="0" w:color="000000"/>
                        </w:tcBorders>
                      </w:tcPr>
                      <w:p>
                        <w:pPr>
                          <w:pStyle w:val="TableParagraph"/>
                          <w:spacing w:line="240" w:lineRule="auto" w:before="50"/>
                          <w:ind w:left="127" w:right="0"/>
                          <w:jc w:val="left"/>
                          <w:rPr>
                            <w:rFonts w:ascii="Times New Roman" w:hAnsi="Times New Roman" w:cs="Times New Roman" w:eastAsia="Times New Roman" w:hint="default"/>
                            <w:sz w:val="18"/>
                            <w:szCs w:val="18"/>
                          </w:rPr>
                        </w:pPr>
                        <w:r>
                          <w:rPr>
                            <w:rFonts w:ascii="Times New Roman"/>
                            <w:sz w:val="18"/>
                          </w:rPr>
                          <w:t>2018/4/1-2019/6/30</w:t>
                        </w: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、采用互联网</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的理念，构建线下行业系统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互联网金融支付平台的产品形态，提供线上加线下、有</w:t>
                        </w:r>
                      </w:p>
                    </w:tc>
                  </w:tr>
                  <w:tr>
                    <w:trPr>
                      <w:trHeight w:val="30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卡加无卡，覆盖校园全支付场景的解决方案；</w:t>
                        </w:r>
                      </w:p>
                    </w:tc>
                  </w:tr>
                  <w:tr>
                    <w:trPr>
                      <w:trHeight w:val="31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、行业领先的使用扫一扫、二维码的在线消费记录，上传平台产生支付结算凭证，平台再对交易进</w:t>
                        </w:r>
                      </w:p>
                    </w:tc>
                  </w:tr>
                  <w:tr>
                    <w:trPr>
                      <w:trHeight w:val="324" w:hRule="exact"/>
                    </w:trPr>
                    <w:tc>
                      <w:tcPr>
                        <w:tcW w:w="710" w:type="dxa"/>
                        <w:tcBorders>
                          <w:top w:val="nil" w:sz="6" w:space="0" w:color="auto"/>
                          <w:left w:val="single" w:sz="6" w:space="0" w:color="000000"/>
                          <w:bottom w:val="single" w:sz="6" w:space="0" w:color="000000"/>
                          <w:right w:val="single" w:sz="6" w:space="0" w:color="000000"/>
                        </w:tcBorders>
                      </w:tcPr>
                      <w:p>
                        <w:pPr/>
                      </w:p>
                    </w:tc>
                    <w:tc>
                      <w:tcPr>
                        <w:tcW w:w="1699"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1702" w:type="dxa"/>
                        <w:tcBorders>
                          <w:top w:val="nil" w:sz="6" w:space="0" w:color="auto"/>
                          <w:left w:val="single" w:sz="6" w:space="0" w:color="000000"/>
                          <w:bottom w:val="single" w:sz="6" w:space="0" w:color="000000"/>
                          <w:right w:val="single" w:sz="6" w:space="0" w:color="000000"/>
                        </w:tcBorders>
                      </w:tcPr>
                      <w:p>
                        <w:pPr/>
                      </w:p>
                    </w:tc>
                    <w:tc>
                      <w:tcPr>
                        <w:tcW w:w="1700" w:type="dxa"/>
                        <w:tcBorders>
                          <w:top w:val="nil" w:sz="6" w:space="0" w:color="auto"/>
                          <w:left w:val="single" w:sz="6" w:space="0" w:color="000000"/>
                          <w:bottom w:val="single" w:sz="6" w:space="0" w:color="000000"/>
                          <w:right w:val="single" w:sz="6" w:space="0" w:color="000000"/>
                        </w:tcBorders>
                      </w:tcPr>
                      <w:p>
                        <w:pPr/>
                      </w:p>
                    </w:tc>
                    <w:tc>
                      <w:tcPr>
                        <w:tcW w:w="779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行计费清算，生成商户、受理机构的清算金额，完成资金结算和划拨，并提供对账服务。</w:t>
                        </w:r>
                      </w:p>
                    </w:tc>
                  </w:tr>
                  <w:tr>
                    <w:trPr>
                      <w:trHeight w:val="330" w:hRule="exact"/>
                    </w:trPr>
                    <w:tc>
                      <w:tcPr>
                        <w:tcW w:w="710" w:type="dxa"/>
                        <w:tcBorders>
                          <w:top w:val="single" w:sz="6" w:space="0" w:color="000000"/>
                          <w:left w:val="single" w:sz="6" w:space="0" w:color="000000"/>
                          <w:bottom w:val="nil" w:sz="6" w:space="0" w:color="auto"/>
                          <w:right w:val="single" w:sz="6" w:space="0" w:color="000000"/>
                        </w:tcBorders>
                      </w:tcPr>
                      <w:p>
                        <w:pPr/>
                      </w:p>
                    </w:tc>
                    <w:tc>
                      <w:tcPr>
                        <w:tcW w:w="1699"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1702" w:type="dxa"/>
                        <w:tcBorders>
                          <w:top w:val="single" w:sz="6" w:space="0" w:color="000000"/>
                          <w:left w:val="single" w:sz="6" w:space="0" w:color="000000"/>
                          <w:bottom w:val="nil" w:sz="6" w:space="0" w:color="auto"/>
                          <w:right w:val="single" w:sz="6" w:space="0" w:color="000000"/>
                        </w:tcBorders>
                      </w:tcPr>
                      <w:p>
                        <w:pPr/>
                      </w:p>
                    </w:tc>
                    <w:tc>
                      <w:tcPr>
                        <w:tcW w:w="1700" w:type="dxa"/>
                        <w:tcBorders>
                          <w:top w:val="single" w:sz="6" w:space="0" w:color="000000"/>
                          <w:left w:val="single" w:sz="6" w:space="0" w:color="000000"/>
                          <w:bottom w:val="nil" w:sz="6" w:space="0" w:color="auto"/>
                          <w:right w:val="single" w:sz="6" w:space="0" w:color="000000"/>
                        </w:tcBorders>
                      </w:tcPr>
                      <w:p>
                        <w:pPr/>
                      </w:p>
                    </w:tc>
                    <w:tc>
                      <w:tcPr>
                        <w:tcW w:w="779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高校学生行为轨迹研究项目是针对在校生学生所有行为产生的日志记录进行挖掘分析的一款数据决</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策产品。此项目主要有如下几个技术特征：</w:t>
                        </w:r>
                      </w:p>
                    </w:tc>
                  </w:tr>
                  <w:tr>
                    <w:trPr>
                      <w:trHeight w:val="31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、教育行业首次以全覆盖行为日志记录进行综合挖掘分析；</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、教育行业首次采用机器学习算法真正落地的一款基于人工智能技术产品；</w:t>
                        </w:r>
                      </w:p>
                    </w:tc>
                  </w:tr>
                  <w:tr>
                    <w:trPr>
                      <w:trHeight w:val="624" w:hRule="exact"/>
                    </w:trPr>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w:t>
                        </w:r>
                      </w:p>
                    </w:tc>
                    <w:tc>
                      <w:tcPr>
                        <w:tcW w:w="1699" w:type="dxa"/>
                        <w:tcBorders>
                          <w:top w:val="nil" w:sz="6" w:space="0" w:color="auto"/>
                          <w:left w:val="single" w:sz="6" w:space="0" w:color="000000"/>
                          <w:bottom w:val="nil" w:sz="6" w:space="0" w:color="auto"/>
                          <w:right w:val="single" w:sz="6" w:space="0" w:color="000000"/>
                        </w:tcBorders>
                      </w:tcPr>
                      <w:p>
                        <w:pPr>
                          <w:pStyle w:val="TableParagraph"/>
                          <w:spacing w:line="316" w:lineRule="auto" w:before="5"/>
                          <w:ind w:left="482" w:right="30" w:hanging="450"/>
                          <w:jc w:val="left"/>
                          <w:rPr>
                            <w:rFonts w:ascii="宋体" w:hAnsi="宋体" w:cs="宋体" w:eastAsia="宋体" w:hint="default"/>
                            <w:sz w:val="18"/>
                            <w:szCs w:val="18"/>
                          </w:rPr>
                        </w:pPr>
                        <w:r>
                          <w:rPr>
                            <w:rFonts w:ascii="宋体" w:hAnsi="宋体" w:cs="宋体" w:eastAsia="宋体" w:hint="default"/>
                            <w:sz w:val="18"/>
                            <w:szCs w:val="18"/>
                          </w:rPr>
                          <w:t>高校学生行为轨迹研 究与开发</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40" w:lineRule="auto" w:before="161"/>
                          <w:ind w:right="197"/>
                          <w:jc w:val="right"/>
                          <w:rPr>
                            <w:rFonts w:ascii="宋体" w:hAnsi="宋体" w:cs="宋体" w:eastAsia="宋体" w:hint="default"/>
                            <w:sz w:val="18"/>
                            <w:szCs w:val="18"/>
                          </w:rPr>
                        </w:pPr>
                        <w:r>
                          <w:rPr>
                            <w:rFonts w:ascii="宋体" w:hAnsi="宋体" w:cs="宋体" w:eastAsia="宋体" w:hint="default"/>
                            <w:sz w:val="18"/>
                            <w:szCs w:val="18"/>
                          </w:rPr>
                          <w:t>智慧校园</w:t>
                        </w:r>
                      </w:p>
                    </w:tc>
                    <w:tc>
                      <w:tcPr>
                        <w:tcW w:w="1702" w:type="dxa"/>
                        <w:tcBorders>
                          <w:top w:val="nil" w:sz="6" w:space="0" w:color="auto"/>
                          <w:left w:val="single" w:sz="6" w:space="0" w:color="000000"/>
                          <w:bottom w:val="nil" w:sz="6" w:space="0" w:color="auto"/>
                          <w:right w:val="single" w:sz="6"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结项，已经开始销售</w:t>
                        </w:r>
                      </w:p>
                    </w:tc>
                    <w:tc>
                      <w:tcPr>
                        <w:tcW w:w="170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2018/4/5-2019/3/31</w:t>
                        </w: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、产品架构首次采用成熟的模型</w:t>
                        </w:r>
                        <w:r>
                          <w:rPr>
                            <w:rFonts w:ascii="Times New Roman" w:hAnsi="Times New Roman" w:cs="Times New Roman" w:eastAsia="Times New Roman" w:hint="default"/>
                            <w:sz w:val="18"/>
                            <w:szCs w:val="18"/>
                          </w:rPr>
                          <w:t>+BI+</w:t>
                        </w:r>
                        <w:r>
                          <w:rPr>
                            <w:rFonts w:ascii="宋体" w:hAnsi="宋体" w:cs="宋体" w:eastAsia="宋体" w:hint="default"/>
                            <w:sz w:val="18"/>
                            <w:szCs w:val="18"/>
                          </w:rPr>
                          <w:t>平台的方式，让开发人员更多的精力用在模型上；</w:t>
                        </w:r>
                      </w:p>
                      <w:p>
                        <w:pPr>
                          <w:pStyle w:val="TableParagraph"/>
                          <w:spacing w:line="240" w:lineRule="auto" w:before="63"/>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、产品中第一次包含了离线计算和实时计算，根据不同的场景采用不同的计算模式。</w:t>
                        </w:r>
                      </w:p>
                    </w:tc>
                  </w:tr>
                  <w:tr>
                    <w:trPr>
                      <w:trHeight w:val="30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另外，此项目还有几个产品特点：</w:t>
                        </w:r>
                      </w:p>
                    </w:tc>
                  </w:tr>
                  <w:tr>
                    <w:trPr>
                      <w:trHeight w:val="31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、产品细节设计达到极致，菜单不超过</w:t>
                        </w:r>
                        <w:r>
                          <w:rPr>
                            <w:rFonts w:ascii="Times New Roman" w:hAnsi="Times New Roman" w:cs="Times New Roman" w:eastAsia="Times New Roman" w:hint="default"/>
                            <w:sz w:val="18"/>
                            <w:szCs w:val="18"/>
                          </w:rPr>
                          <w:t>2</w:t>
                        </w:r>
                        <w:r>
                          <w:rPr>
                            <w:rFonts w:ascii="宋体" w:hAnsi="宋体" w:cs="宋体" w:eastAsia="宋体" w:hint="default"/>
                            <w:sz w:val="18"/>
                            <w:szCs w:val="18"/>
                          </w:rPr>
                          <w:t>级，每个图表右上角都提供帮助等，用户免培训即可使用</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、产品实施周期短、效果体现快；</w:t>
                        </w:r>
                      </w:p>
                    </w:tc>
                  </w:tr>
                  <w:tr>
                    <w:trPr>
                      <w:trHeight w:val="324" w:hRule="exact"/>
                    </w:trPr>
                    <w:tc>
                      <w:tcPr>
                        <w:tcW w:w="710" w:type="dxa"/>
                        <w:tcBorders>
                          <w:top w:val="nil" w:sz="6" w:space="0" w:color="auto"/>
                          <w:left w:val="single" w:sz="6" w:space="0" w:color="000000"/>
                          <w:bottom w:val="single" w:sz="6" w:space="0" w:color="000000"/>
                          <w:right w:val="single" w:sz="6" w:space="0" w:color="000000"/>
                        </w:tcBorders>
                      </w:tcPr>
                      <w:p>
                        <w:pPr/>
                      </w:p>
                    </w:tc>
                    <w:tc>
                      <w:tcPr>
                        <w:tcW w:w="1699"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1702" w:type="dxa"/>
                        <w:tcBorders>
                          <w:top w:val="nil" w:sz="6" w:space="0" w:color="auto"/>
                          <w:left w:val="single" w:sz="6" w:space="0" w:color="000000"/>
                          <w:bottom w:val="single" w:sz="6" w:space="0" w:color="000000"/>
                          <w:right w:val="single" w:sz="6" w:space="0" w:color="000000"/>
                        </w:tcBorders>
                      </w:tcPr>
                      <w:p>
                        <w:pPr/>
                      </w:p>
                    </w:tc>
                    <w:tc>
                      <w:tcPr>
                        <w:tcW w:w="1700" w:type="dxa"/>
                        <w:tcBorders>
                          <w:top w:val="nil" w:sz="6" w:space="0" w:color="auto"/>
                          <w:left w:val="single" w:sz="6" w:space="0" w:color="000000"/>
                          <w:bottom w:val="single" w:sz="6" w:space="0" w:color="000000"/>
                          <w:right w:val="single" w:sz="6" w:space="0" w:color="000000"/>
                        </w:tcBorders>
                      </w:tcPr>
                      <w:p>
                        <w:pPr/>
                      </w:p>
                    </w:tc>
                    <w:tc>
                      <w:tcPr>
                        <w:tcW w:w="779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、实现</w:t>
                        </w:r>
                        <w:r>
                          <w:rPr>
                            <w:rFonts w:ascii="Times New Roman" w:hAnsi="Times New Roman" w:cs="Times New Roman" w:eastAsia="Times New Roman" w:hint="default"/>
                            <w:sz w:val="18"/>
                            <w:szCs w:val="18"/>
                          </w:rPr>
                          <w:t>360°</w:t>
                        </w:r>
                        <w:r>
                          <w:rPr>
                            <w:rFonts w:ascii="宋体" w:hAnsi="宋体" w:cs="宋体" w:eastAsia="宋体" w:hint="default"/>
                            <w:sz w:val="18"/>
                            <w:szCs w:val="18"/>
                          </w:rPr>
                          <w:t>无死角辅助学校管理。</w:t>
                        </w:r>
                      </w:p>
                    </w:tc>
                  </w:tr>
                  <w:tr>
                    <w:trPr>
                      <w:trHeight w:val="335" w:hRule="exact"/>
                    </w:trPr>
                    <w:tc>
                      <w:tcPr>
                        <w:tcW w:w="710" w:type="dxa"/>
                        <w:tcBorders>
                          <w:top w:val="single" w:sz="6" w:space="0" w:color="000000"/>
                          <w:left w:val="single" w:sz="6" w:space="0" w:color="000000"/>
                          <w:bottom w:val="nil" w:sz="6" w:space="0" w:color="auto"/>
                          <w:right w:val="single" w:sz="6" w:space="0" w:color="000000"/>
                        </w:tcBorders>
                      </w:tcPr>
                      <w:p>
                        <w:pPr/>
                      </w:p>
                    </w:tc>
                    <w:tc>
                      <w:tcPr>
                        <w:tcW w:w="1699"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1702" w:type="dxa"/>
                        <w:tcBorders>
                          <w:top w:val="single" w:sz="6" w:space="0" w:color="000000"/>
                          <w:left w:val="single" w:sz="6" w:space="0" w:color="000000"/>
                          <w:bottom w:val="nil" w:sz="6" w:space="0" w:color="auto"/>
                          <w:right w:val="single" w:sz="6" w:space="0" w:color="000000"/>
                        </w:tcBorders>
                      </w:tcPr>
                      <w:p>
                        <w:pPr/>
                      </w:p>
                    </w:tc>
                    <w:tc>
                      <w:tcPr>
                        <w:tcW w:w="1700" w:type="dxa"/>
                        <w:tcBorders>
                          <w:top w:val="single" w:sz="6" w:space="0" w:color="000000"/>
                          <w:left w:val="single" w:sz="6" w:space="0" w:color="000000"/>
                          <w:bottom w:val="nil" w:sz="6" w:space="0" w:color="auto"/>
                          <w:right w:val="single" w:sz="6" w:space="0" w:color="000000"/>
                        </w:tcBorders>
                      </w:tcPr>
                      <w:p>
                        <w:pPr/>
                      </w:p>
                    </w:tc>
                    <w:tc>
                      <w:tcPr>
                        <w:tcW w:w="779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、智能</w:t>
                        </w:r>
                        <w:r>
                          <w:rPr>
                            <w:rFonts w:ascii="Times New Roman" w:hAnsi="Times New Roman" w:cs="Times New Roman" w:eastAsia="Times New Roman" w:hint="default"/>
                            <w:sz w:val="18"/>
                            <w:szCs w:val="18"/>
                          </w:rPr>
                          <w:t>POS</w:t>
                        </w:r>
                        <w:r>
                          <w:rPr>
                            <w:rFonts w:ascii="宋体" w:hAnsi="宋体" w:cs="宋体" w:eastAsia="宋体" w:hint="default"/>
                            <w:sz w:val="18"/>
                            <w:szCs w:val="18"/>
                          </w:rPr>
                          <w:t>领域首家基于</w:t>
                        </w:r>
                        <w:r>
                          <w:rPr>
                            <w:rFonts w:ascii="Times New Roman" w:hAnsi="Times New Roman" w:cs="Times New Roman" w:eastAsia="Times New Roman" w:hint="default"/>
                            <w:sz w:val="18"/>
                            <w:szCs w:val="18"/>
                          </w:rPr>
                          <w:t>Android</w:t>
                        </w:r>
                        <w:r>
                          <w:rPr>
                            <w:rFonts w:ascii="宋体" w:hAnsi="宋体" w:cs="宋体" w:eastAsia="宋体" w:hint="default"/>
                            <w:sz w:val="18"/>
                            <w:szCs w:val="18"/>
                          </w:rPr>
                          <w:t>操作系统深度定制产品。针对</w:t>
                        </w:r>
                        <w:r>
                          <w:rPr>
                            <w:rFonts w:ascii="Times New Roman" w:hAnsi="Times New Roman" w:cs="Times New Roman" w:eastAsia="Times New Roman" w:hint="default"/>
                            <w:sz w:val="18"/>
                            <w:szCs w:val="18"/>
                          </w:rPr>
                          <w:t>NFC</w:t>
                        </w:r>
                        <w:r>
                          <w:rPr>
                            <w:rFonts w:ascii="宋体" w:hAnsi="宋体" w:cs="宋体" w:eastAsia="宋体" w:hint="default"/>
                            <w:sz w:val="18"/>
                            <w:szCs w:val="18"/>
                          </w:rPr>
                          <w:t>、接触式</w:t>
                        </w:r>
                        <w:r>
                          <w:rPr>
                            <w:rFonts w:ascii="Times New Roman" w:hAnsi="Times New Roman" w:cs="Times New Roman" w:eastAsia="Times New Roman" w:hint="default"/>
                            <w:sz w:val="18"/>
                            <w:szCs w:val="18"/>
                          </w:rPr>
                          <w:t>IC</w:t>
                        </w:r>
                        <w:r>
                          <w:rPr>
                            <w:rFonts w:ascii="宋体" w:hAnsi="宋体" w:cs="宋体" w:eastAsia="宋体" w:hint="default"/>
                            <w:sz w:val="18"/>
                            <w:szCs w:val="18"/>
                          </w:rPr>
                          <w:t>、摄像头等</w:t>
                        </w:r>
                        <w:r>
                          <w:rPr>
                            <w:rFonts w:ascii="Times New Roman" w:hAnsi="Times New Roman" w:cs="Times New Roman" w:eastAsia="Times New Roman" w:hint="default"/>
                            <w:sz w:val="18"/>
                            <w:szCs w:val="18"/>
                          </w:rPr>
                          <w:t>API</w:t>
                        </w:r>
                        <w:r>
                          <w:rPr>
                            <w:rFonts w:ascii="宋体" w:hAnsi="宋体" w:cs="宋体" w:eastAsia="宋体" w:hint="default"/>
                            <w:sz w:val="18"/>
                            <w:szCs w:val="18"/>
                          </w:rPr>
                          <w:t>进行</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开发，封装了基于国际标准</w:t>
                        </w:r>
                        <w:r>
                          <w:rPr>
                            <w:rFonts w:ascii="Times New Roman" w:hAnsi="Times New Roman" w:cs="Times New Roman" w:eastAsia="Times New Roman" w:hint="default"/>
                            <w:sz w:val="18"/>
                            <w:szCs w:val="18"/>
                          </w:rPr>
                          <w:t>ISO14443</w:t>
                        </w:r>
                        <w:r>
                          <w:rPr>
                            <w:rFonts w:ascii="宋体" w:hAnsi="宋体" w:cs="宋体" w:eastAsia="宋体" w:hint="default"/>
                            <w:sz w:val="18"/>
                            <w:szCs w:val="18"/>
                          </w:rPr>
                          <w:t>和</w:t>
                        </w:r>
                        <w:r>
                          <w:rPr>
                            <w:rFonts w:ascii="Times New Roman" w:hAnsi="Times New Roman" w:cs="Times New Roman" w:eastAsia="Times New Roman" w:hint="default"/>
                            <w:sz w:val="18"/>
                            <w:szCs w:val="18"/>
                          </w:rPr>
                          <w:t>ISO7816</w:t>
                        </w:r>
                        <w:r>
                          <w:rPr>
                            <w:rFonts w:ascii="宋体" w:hAnsi="宋体" w:cs="宋体" w:eastAsia="宋体" w:hint="default"/>
                            <w:sz w:val="18"/>
                            <w:szCs w:val="18"/>
                          </w:rPr>
                          <w:t>的库文件，实现接触卡、非接触卡、二维码识别、</w:t>
                        </w:r>
                      </w:p>
                    </w:tc>
                  </w:tr>
                  <w:tr>
                    <w:trPr>
                      <w:trHeight w:val="30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人脸识别的功能；</w:t>
                        </w:r>
                      </w:p>
                    </w:tc>
                  </w:tr>
                  <w:tr>
                    <w:trPr>
                      <w:trHeight w:val="941" w:hRule="exact"/>
                    </w:trPr>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Times New Roman" w:hAnsi="Times New Roman" w:cs="Times New Roman" w:eastAsia="Times New Roman" w:hint="default"/>
                            <w:sz w:val="18"/>
                            <w:szCs w:val="18"/>
                          </w:rPr>
                        </w:pPr>
                        <w:r>
                          <w:rPr>
                            <w:rFonts w:ascii="Times New Roman"/>
                            <w:sz w:val="18"/>
                          </w:rPr>
                          <w:t>9</w:t>
                        </w:r>
                      </w:p>
                    </w:tc>
                    <w:tc>
                      <w:tcPr>
                        <w:tcW w:w="1699"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302" w:right="30" w:hanging="270"/>
                          <w:jc w:val="left"/>
                          <w:rPr>
                            <w:rFonts w:ascii="宋体" w:hAnsi="宋体" w:cs="宋体" w:eastAsia="宋体" w:hint="default"/>
                            <w:sz w:val="18"/>
                            <w:szCs w:val="18"/>
                          </w:rPr>
                        </w:pPr>
                        <w:r>
                          <w:rPr>
                            <w:rFonts w:ascii="宋体" w:hAnsi="宋体" w:cs="宋体" w:eastAsia="宋体" w:hint="default"/>
                            <w:sz w:val="18"/>
                            <w:szCs w:val="18"/>
                          </w:rPr>
                          <w:t>基于智能操作系统的 聚合支付终端</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电子支付</w:t>
                        </w:r>
                      </w:p>
                    </w:tc>
                    <w:tc>
                      <w:tcPr>
                        <w:tcW w:w="170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结项，已经开始销售</w:t>
                        </w:r>
                      </w:p>
                    </w:tc>
                    <w:tc>
                      <w:tcPr>
                        <w:tcW w:w="170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27" w:right="0"/>
                          <w:jc w:val="left"/>
                          <w:rPr>
                            <w:rFonts w:ascii="Times New Roman" w:hAnsi="Times New Roman" w:cs="Times New Roman" w:eastAsia="Times New Roman" w:hint="default"/>
                            <w:sz w:val="18"/>
                            <w:szCs w:val="18"/>
                          </w:rPr>
                        </w:pPr>
                        <w:r>
                          <w:rPr>
                            <w:rFonts w:ascii="Times New Roman"/>
                            <w:sz w:val="18"/>
                          </w:rPr>
                          <w:t>2018/4/1-2019/3/10</w:t>
                        </w: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、采用行业领先的分布签名验证和拆机自毁机制，防止非法侵入及盗窃数据，确保支付安全；</w:t>
                        </w:r>
                      </w:p>
                      <w:p>
                        <w:pPr>
                          <w:pStyle w:val="TableParagraph"/>
                          <w:spacing w:line="240" w:lineRule="auto" w:before="63"/>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、具有核心知识产权二维码</w:t>
                        </w:r>
                        <w:r>
                          <w:rPr>
                            <w:rFonts w:ascii="Times New Roman" w:hAnsi="Times New Roman" w:cs="Times New Roman" w:eastAsia="Times New Roman" w:hint="default"/>
                            <w:sz w:val="18"/>
                            <w:szCs w:val="18"/>
                          </w:rPr>
                          <w:t>/</w:t>
                        </w:r>
                        <w:r>
                          <w:rPr>
                            <w:rFonts w:ascii="宋体" w:hAnsi="宋体" w:cs="宋体" w:eastAsia="宋体" w:hint="default"/>
                            <w:sz w:val="18"/>
                            <w:szCs w:val="18"/>
                          </w:rPr>
                          <w:t>条码扫描和识别算法，保证对二维码快速准确识别；</w:t>
                        </w:r>
                      </w:p>
                      <w:p>
                        <w:pPr>
                          <w:pStyle w:val="TableParagraph"/>
                          <w:spacing w:line="240" w:lineRule="auto" w:before="63"/>
                          <w:ind w:left="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、通过终端管理系统和物联网平台，首次实现联网</w:t>
                        </w:r>
                        <w:r>
                          <w:rPr>
                            <w:rFonts w:ascii="Times New Roman" w:hAnsi="Times New Roman" w:cs="Times New Roman" w:eastAsia="Times New Roman" w:hint="default"/>
                            <w:spacing w:val="-1"/>
                            <w:sz w:val="18"/>
                            <w:szCs w:val="18"/>
                          </w:rPr>
                          <w:t>POS</w:t>
                        </w:r>
                        <w:r>
                          <w:rPr>
                            <w:rFonts w:ascii="宋体" w:hAnsi="宋体" w:cs="宋体" w:eastAsia="宋体" w:hint="default"/>
                            <w:spacing w:val="-1"/>
                            <w:sz w:val="18"/>
                            <w:szCs w:val="18"/>
                          </w:rPr>
                          <w:t>的固件升级、应用升级、换机移机等智能操</w:t>
                        </w:r>
                      </w:p>
                    </w:tc>
                  </w:tr>
                  <w:tr>
                    <w:trPr>
                      <w:trHeight w:val="30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作；</w:t>
                        </w:r>
                      </w:p>
                    </w:tc>
                  </w:tr>
                  <w:tr>
                    <w:trPr>
                      <w:trHeight w:val="31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、标准开放式开发平台，提供</w:t>
                        </w:r>
                        <w:r>
                          <w:rPr>
                            <w:rFonts w:ascii="Times New Roman" w:hAnsi="Times New Roman" w:cs="Times New Roman" w:eastAsia="Times New Roman" w:hint="default"/>
                            <w:sz w:val="18"/>
                            <w:szCs w:val="18"/>
                          </w:rPr>
                          <w:t>SDK</w:t>
                        </w:r>
                        <w:r>
                          <w:rPr>
                            <w:rFonts w:ascii="宋体" w:hAnsi="宋体" w:cs="宋体" w:eastAsia="宋体" w:hint="default"/>
                            <w:sz w:val="18"/>
                            <w:szCs w:val="18"/>
                          </w:rPr>
                          <w:t>包、</w:t>
                        </w:r>
                        <w:r>
                          <w:rPr>
                            <w:rFonts w:ascii="Times New Roman" w:hAnsi="Times New Roman" w:cs="Times New Roman" w:eastAsia="Times New Roman" w:hint="default"/>
                            <w:sz w:val="18"/>
                            <w:szCs w:val="18"/>
                          </w:rPr>
                          <w:t>API</w:t>
                        </w:r>
                        <w:r>
                          <w:rPr>
                            <w:rFonts w:ascii="宋体" w:hAnsi="宋体" w:cs="宋体" w:eastAsia="宋体" w:hint="default"/>
                            <w:sz w:val="18"/>
                            <w:szCs w:val="18"/>
                          </w:rPr>
                          <w:t>接口及开发工具供第三方集成开发使用，解决用户开发</w:t>
                        </w:r>
                      </w:p>
                    </w:tc>
                  </w:tr>
                  <w:tr>
                    <w:trPr>
                      <w:trHeight w:val="325" w:hRule="exact"/>
                    </w:trPr>
                    <w:tc>
                      <w:tcPr>
                        <w:tcW w:w="710" w:type="dxa"/>
                        <w:tcBorders>
                          <w:top w:val="nil" w:sz="6" w:space="0" w:color="auto"/>
                          <w:left w:val="single" w:sz="6" w:space="0" w:color="000000"/>
                          <w:bottom w:val="single" w:sz="6" w:space="0" w:color="000000"/>
                          <w:right w:val="single" w:sz="6" w:space="0" w:color="000000"/>
                        </w:tcBorders>
                      </w:tcPr>
                      <w:p>
                        <w:pPr/>
                      </w:p>
                    </w:tc>
                    <w:tc>
                      <w:tcPr>
                        <w:tcW w:w="1699"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1702" w:type="dxa"/>
                        <w:tcBorders>
                          <w:top w:val="nil" w:sz="6" w:space="0" w:color="auto"/>
                          <w:left w:val="single" w:sz="6" w:space="0" w:color="000000"/>
                          <w:bottom w:val="single" w:sz="6" w:space="0" w:color="000000"/>
                          <w:right w:val="single" w:sz="6" w:space="0" w:color="000000"/>
                        </w:tcBorders>
                      </w:tcPr>
                      <w:p>
                        <w:pPr/>
                      </w:p>
                    </w:tc>
                    <w:tc>
                      <w:tcPr>
                        <w:tcW w:w="1700" w:type="dxa"/>
                        <w:tcBorders>
                          <w:top w:val="nil" w:sz="6" w:space="0" w:color="auto"/>
                          <w:left w:val="single" w:sz="6" w:space="0" w:color="000000"/>
                          <w:bottom w:val="single" w:sz="6" w:space="0" w:color="000000"/>
                          <w:right w:val="single" w:sz="6" w:space="0" w:color="000000"/>
                        </w:tcBorders>
                      </w:tcPr>
                      <w:p>
                        <w:pPr/>
                      </w:p>
                    </w:tc>
                    <w:tc>
                      <w:tcPr>
                        <w:tcW w:w="779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的技术难题；</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before="44"/>
        <w:ind w:left="0" w:right="114"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6840" w:h="11910" w:orient="landscape"/>
          <w:pgMar w:header="867" w:footer="978" w:top="1060" w:bottom="1240" w:left="1320" w:right="460"/>
        </w:sectPr>
      </w:pPr>
    </w:p>
    <w:p>
      <w:pPr>
        <w:spacing w:line="240" w:lineRule="auto" w:before="0"/>
        <w:rPr>
          <w:rFonts w:ascii="宋体" w:hAnsi="宋体" w:cs="宋体" w:eastAsia="宋体" w:hint="default"/>
          <w:sz w:val="20"/>
          <w:szCs w:val="20"/>
        </w:rPr>
      </w:pPr>
      <w:r>
        <w:rPr/>
        <w:pict>
          <v:shape style="position:absolute;margin-left:71.630997pt;margin-top:55.259998pt;width:738.25pt;height:477.2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10"/>
                    <w:gridCol w:w="1699"/>
                    <w:gridCol w:w="1134"/>
                    <w:gridCol w:w="1702"/>
                    <w:gridCol w:w="1700"/>
                    <w:gridCol w:w="7798"/>
                  </w:tblGrid>
                  <w:tr>
                    <w:trPr>
                      <w:trHeight w:val="361" w:hRule="exact"/>
                    </w:trPr>
                    <w:tc>
                      <w:tcPr>
                        <w:tcW w:w="710" w:type="dxa"/>
                        <w:tcBorders>
                          <w:top w:val="single" w:sz="17" w:space="0" w:color="000000"/>
                          <w:left w:val="single" w:sz="6" w:space="0" w:color="000000"/>
                          <w:bottom w:val="single" w:sz="6" w:space="0" w:color="000000"/>
                          <w:right w:val="single" w:sz="6" w:space="0" w:color="000000"/>
                        </w:tcBorders>
                      </w:tcPr>
                      <w:p>
                        <w:pPr/>
                      </w:p>
                    </w:tc>
                    <w:tc>
                      <w:tcPr>
                        <w:tcW w:w="1699" w:type="dxa"/>
                        <w:tcBorders>
                          <w:top w:val="single" w:sz="17" w:space="0" w:color="000000"/>
                          <w:left w:val="single" w:sz="6" w:space="0" w:color="000000"/>
                          <w:bottom w:val="single" w:sz="6" w:space="0" w:color="000000"/>
                          <w:right w:val="single" w:sz="6" w:space="0" w:color="000000"/>
                        </w:tcBorders>
                      </w:tcPr>
                      <w:p>
                        <w:pPr/>
                      </w:p>
                    </w:tc>
                    <w:tc>
                      <w:tcPr>
                        <w:tcW w:w="1134" w:type="dxa"/>
                        <w:tcBorders>
                          <w:top w:val="single" w:sz="17" w:space="0" w:color="000000"/>
                          <w:left w:val="single" w:sz="6" w:space="0" w:color="000000"/>
                          <w:bottom w:val="single" w:sz="6" w:space="0" w:color="000000"/>
                          <w:right w:val="single" w:sz="6" w:space="0" w:color="000000"/>
                        </w:tcBorders>
                      </w:tcPr>
                      <w:p>
                        <w:pPr/>
                      </w:p>
                    </w:tc>
                    <w:tc>
                      <w:tcPr>
                        <w:tcW w:w="1702" w:type="dxa"/>
                        <w:tcBorders>
                          <w:top w:val="single" w:sz="17" w:space="0" w:color="000000"/>
                          <w:left w:val="single" w:sz="6" w:space="0" w:color="000000"/>
                          <w:bottom w:val="single" w:sz="6" w:space="0" w:color="000000"/>
                          <w:right w:val="single" w:sz="6" w:space="0" w:color="000000"/>
                        </w:tcBorders>
                      </w:tcPr>
                      <w:p>
                        <w:pPr/>
                      </w:p>
                    </w:tc>
                    <w:tc>
                      <w:tcPr>
                        <w:tcW w:w="1700" w:type="dxa"/>
                        <w:tcBorders>
                          <w:top w:val="single" w:sz="17" w:space="0" w:color="000000"/>
                          <w:left w:val="single" w:sz="6" w:space="0" w:color="000000"/>
                          <w:bottom w:val="single" w:sz="6" w:space="0" w:color="000000"/>
                          <w:right w:val="single" w:sz="6" w:space="0" w:color="000000"/>
                        </w:tcBorders>
                      </w:tcPr>
                      <w:p>
                        <w:pPr/>
                      </w:p>
                    </w:tc>
                    <w:tc>
                      <w:tcPr>
                        <w:tcW w:w="7798"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、国内首家实现银行卡非接</w:t>
                        </w:r>
                        <w:r>
                          <w:rPr>
                            <w:rFonts w:ascii="Times New Roman" w:hAnsi="Times New Roman" w:cs="Times New Roman" w:eastAsia="Times New Roman" w:hint="default"/>
                            <w:sz w:val="18"/>
                            <w:szCs w:val="18"/>
                          </w:rPr>
                          <w:t>/ODA/</w:t>
                        </w:r>
                        <w:r>
                          <w:rPr>
                            <w:rFonts w:ascii="宋体" w:hAnsi="宋体" w:cs="宋体" w:eastAsia="宋体" w:hint="default"/>
                            <w:sz w:val="18"/>
                            <w:szCs w:val="18"/>
                          </w:rPr>
                          <w:t>小额免密支付、微信</w:t>
                        </w:r>
                        <w:r>
                          <w:rPr>
                            <w:rFonts w:ascii="Times New Roman" w:hAnsi="Times New Roman" w:cs="Times New Roman" w:eastAsia="Times New Roman" w:hint="default"/>
                            <w:sz w:val="18"/>
                            <w:szCs w:val="18"/>
                          </w:rPr>
                          <w:t>/</w:t>
                        </w:r>
                        <w:r>
                          <w:rPr>
                            <w:rFonts w:ascii="宋体" w:hAnsi="宋体" w:cs="宋体" w:eastAsia="宋体" w:hint="default"/>
                            <w:sz w:val="18"/>
                            <w:szCs w:val="18"/>
                          </w:rPr>
                          <w:t>支付宝支付等为一体的聚合支付</w:t>
                        </w:r>
                        <w:r>
                          <w:rPr>
                            <w:rFonts w:ascii="Times New Roman" w:hAnsi="Times New Roman" w:cs="Times New Roman" w:eastAsia="Times New Roman" w:hint="default"/>
                            <w:sz w:val="18"/>
                            <w:szCs w:val="18"/>
                          </w:rPr>
                          <w:t>POS</w:t>
                        </w:r>
                        <w:r>
                          <w:rPr>
                            <w:rFonts w:ascii="宋体" w:hAnsi="宋体" w:cs="宋体" w:eastAsia="宋体" w:hint="default"/>
                            <w:sz w:val="18"/>
                            <w:szCs w:val="18"/>
                          </w:rPr>
                          <w:t>。</w:t>
                        </w:r>
                      </w:p>
                    </w:tc>
                  </w:tr>
                  <w:tr>
                    <w:trPr>
                      <w:trHeight w:val="190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10</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河长制云平台</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智慧水利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结项，已经开始销售</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2018/5/1-2019/12/30</w:t>
                        </w:r>
                      </w:p>
                    </w:tc>
                    <w:tc>
                      <w:tcPr>
                        <w:tcW w:w="779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、行业内首个基于</w:t>
                        </w:r>
                        <w:r>
                          <w:rPr>
                            <w:rFonts w:ascii="Times New Roman" w:hAnsi="Times New Roman" w:cs="Times New Roman" w:eastAsia="Times New Roman" w:hint="default"/>
                            <w:sz w:val="18"/>
                            <w:szCs w:val="18"/>
                          </w:rPr>
                          <w:t>SAAS</w:t>
                        </w:r>
                        <w:r>
                          <w:rPr>
                            <w:rFonts w:ascii="宋体" w:hAnsi="宋体" w:cs="宋体" w:eastAsia="宋体" w:hint="default"/>
                            <w:sz w:val="18"/>
                            <w:szCs w:val="18"/>
                          </w:rPr>
                          <w:t>云平台部署方案，实现统一部署统一管理，各个行政县根据使用情况配置 功能；</w:t>
                        </w:r>
                      </w:p>
                      <w:p>
                        <w:pPr>
                          <w:pStyle w:val="TableParagraph"/>
                          <w:spacing w:line="240" w:lineRule="auto" w:before="3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、基于</w:t>
                        </w:r>
                        <w:r>
                          <w:rPr>
                            <w:rFonts w:ascii="Times New Roman" w:hAnsi="Times New Roman" w:cs="Times New Roman" w:eastAsia="Times New Roman" w:hint="default"/>
                            <w:sz w:val="18"/>
                            <w:szCs w:val="18"/>
                          </w:rPr>
                          <w:t>Hadoop</w:t>
                        </w:r>
                        <w:r>
                          <w:rPr>
                            <w:rFonts w:ascii="宋体" w:hAnsi="宋体" w:cs="宋体" w:eastAsia="宋体" w:hint="default"/>
                            <w:sz w:val="18"/>
                            <w:szCs w:val="18"/>
                          </w:rPr>
                          <w:t>和</w:t>
                        </w:r>
                        <w:r>
                          <w:rPr>
                            <w:rFonts w:ascii="Times New Roman" w:hAnsi="Times New Roman" w:cs="Times New Roman" w:eastAsia="Times New Roman" w:hint="default"/>
                            <w:sz w:val="18"/>
                            <w:szCs w:val="18"/>
                          </w:rPr>
                          <w:t>HBASE</w:t>
                        </w:r>
                        <w:r>
                          <w:rPr>
                            <w:rFonts w:ascii="宋体" w:hAnsi="宋体" w:cs="宋体" w:eastAsia="宋体" w:hint="default"/>
                            <w:sz w:val="18"/>
                            <w:szCs w:val="18"/>
                          </w:rPr>
                          <w:t>分布式架构，实现运行环境可</w:t>
                        </w:r>
                        <w:r>
                          <w:rPr>
                            <w:rFonts w:ascii="Times New Roman" w:hAnsi="Times New Roman" w:cs="Times New Roman" w:eastAsia="Times New Roman" w:hint="default"/>
                            <w:sz w:val="18"/>
                            <w:szCs w:val="18"/>
                          </w:rPr>
                          <w:t>“</w:t>
                        </w:r>
                        <w:r>
                          <w:rPr>
                            <w:rFonts w:ascii="宋体" w:hAnsi="宋体" w:cs="宋体" w:eastAsia="宋体" w:hint="default"/>
                            <w:sz w:val="18"/>
                            <w:szCs w:val="18"/>
                          </w:rPr>
                          <w:t>拔插</w:t>
                        </w:r>
                        <w:r>
                          <w:rPr>
                            <w:rFonts w:ascii="Times New Roman" w:hAnsi="Times New Roman" w:cs="Times New Roman" w:eastAsia="Times New Roman" w:hint="default"/>
                            <w:sz w:val="18"/>
                            <w:szCs w:val="18"/>
                          </w:rPr>
                          <w:t>”</w:t>
                        </w:r>
                        <w:r>
                          <w:rPr>
                            <w:rFonts w:ascii="宋体" w:hAnsi="宋体" w:cs="宋体" w:eastAsia="宋体" w:hint="default"/>
                            <w:sz w:val="18"/>
                            <w:szCs w:val="18"/>
                          </w:rPr>
                          <w:t>。具有高扩展性和稳定性；</w:t>
                        </w:r>
                      </w:p>
                      <w:p>
                        <w:pPr>
                          <w:pStyle w:val="TableParagraph"/>
                          <w:spacing w:line="240" w:lineRule="auto" w:before="63"/>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、采用</w:t>
                        </w:r>
                        <w:r>
                          <w:rPr>
                            <w:rFonts w:ascii="Times New Roman" w:hAnsi="Times New Roman" w:cs="Times New Roman" w:eastAsia="Times New Roman" w:hint="default"/>
                            <w:sz w:val="18"/>
                            <w:szCs w:val="18"/>
                          </w:rPr>
                          <w:t>AOP</w:t>
                        </w:r>
                        <w:r>
                          <w:rPr>
                            <w:rFonts w:ascii="宋体" w:hAnsi="宋体" w:cs="宋体" w:eastAsia="宋体" w:hint="default"/>
                            <w:sz w:val="18"/>
                            <w:szCs w:val="18"/>
                          </w:rPr>
                          <w:t>、</w:t>
                        </w:r>
                        <w:r>
                          <w:rPr>
                            <w:rFonts w:ascii="Times New Roman" w:hAnsi="Times New Roman" w:cs="Times New Roman" w:eastAsia="Times New Roman" w:hint="default"/>
                            <w:sz w:val="18"/>
                            <w:szCs w:val="18"/>
                          </w:rPr>
                          <w:t>EF</w:t>
                        </w:r>
                        <w:r>
                          <w:rPr>
                            <w:rFonts w:ascii="宋体" w:hAnsi="宋体" w:cs="宋体" w:eastAsia="宋体" w:hint="default"/>
                            <w:sz w:val="18"/>
                            <w:szCs w:val="18"/>
                          </w:rPr>
                          <w:t>、</w:t>
                        </w:r>
                        <w:r>
                          <w:rPr>
                            <w:rFonts w:ascii="Times New Roman" w:hAnsi="Times New Roman" w:cs="Times New Roman" w:eastAsia="Times New Roman" w:hint="default"/>
                            <w:sz w:val="18"/>
                            <w:szCs w:val="18"/>
                          </w:rPr>
                          <w:t>SOA</w:t>
                        </w:r>
                        <w:r>
                          <w:rPr>
                            <w:rFonts w:ascii="宋体" w:hAnsi="宋体" w:cs="宋体" w:eastAsia="宋体" w:hint="default"/>
                            <w:sz w:val="18"/>
                            <w:szCs w:val="18"/>
                          </w:rPr>
                          <w:t>、</w:t>
                        </w:r>
                        <w:r>
                          <w:rPr>
                            <w:rFonts w:ascii="Times New Roman" w:hAnsi="Times New Roman" w:cs="Times New Roman" w:eastAsia="Times New Roman" w:hint="default"/>
                            <w:sz w:val="18"/>
                            <w:szCs w:val="18"/>
                          </w:rPr>
                          <w:t>MVC</w:t>
                        </w:r>
                        <w:r>
                          <w:rPr>
                            <w:rFonts w:ascii="宋体" w:hAnsi="宋体" w:cs="宋体" w:eastAsia="宋体" w:hint="default"/>
                            <w:sz w:val="18"/>
                            <w:szCs w:val="18"/>
                          </w:rPr>
                          <w:t>开放技术架构，提升系统的易用性、扩展性、开放性；</w:t>
                        </w:r>
                      </w:p>
                      <w:p>
                        <w:pPr>
                          <w:pStyle w:val="TableParagraph"/>
                          <w:spacing w:line="240" w:lineRule="auto" w:before="63"/>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、实时双向通信：完全对等网络，可实现远程实时双向通信，保证费控操作及告警信息的实时性</w:t>
                        </w:r>
                      </w:p>
                      <w:p>
                        <w:pPr>
                          <w:pStyle w:val="TableParagraph"/>
                          <w:spacing w:line="240" w:lineRule="auto" w:before="63"/>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、在线升级：支持带电单点或全网在线升级，方便及时更新最新版本程序。</w:t>
                        </w:r>
                      </w:p>
                    </w:tc>
                  </w:tr>
                  <w:tr>
                    <w:trPr>
                      <w:trHeight w:val="330" w:hRule="exact"/>
                    </w:trPr>
                    <w:tc>
                      <w:tcPr>
                        <w:tcW w:w="710" w:type="dxa"/>
                        <w:tcBorders>
                          <w:top w:val="single" w:sz="6" w:space="0" w:color="000000"/>
                          <w:left w:val="single" w:sz="6" w:space="0" w:color="000000"/>
                          <w:bottom w:val="nil" w:sz="6" w:space="0" w:color="auto"/>
                          <w:right w:val="single" w:sz="6" w:space="0" w:color="000000"/>
                        </w:tcBorders>
                      </w:tcPr>
                      <w:p>
                        <w:pPr/>
                      </w:p>
                    </w:tc>
                    <w:tc>
                      <w:tcPr>
                        <w:tcW w:w="1699"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1702" w:type="dxa"/>
                        <w:tcBorders>
                          <w:top w:val="single" w:sz="6" w:space="0" w:color="000000"/>
                          <w:left w:val="single" w:sz="6" w:space="0" w:color="000000"/>
                          <w:bottom w:val="nil" w:sz="6" w:space="0" w:color="auto"/>
                          <w:right w:val="single" w:sz="6" w:space="0" w:color="000000"/>
                        </w:tcBorders>
                      </w:tcPr>
                      <w:p>
                        <w:pPr/>
                      </w:p>
                    </w:tc>
                    <w:tc>
                      <w:tcPr>
                        <w:tcW w:w="1700" w:type="dxa"/>
                        <w:tcBorders>
                          <w:top w:val="single" w:sz="6" w:space="0" w:color="000000"/>
                          <w:left w:val="single" w:sz="6" w:space="0" w:color="000000"/>
                          <w:bottom w:val="nil" w:sz="6" w:space="0" w:color="auto"/>
                          <w:right w:val="single" w:sz="6" w:space="0" w:color="000000"/>
                        </w:tcBorders>
                      </w:tcPr>
                      <w:p>
                        <w:pPr/>
                      </w:p>
                    </w:tc>
                    <w:tc>
                      <w:tcPr>
                        <w:tcW w:w="779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智慧校园是数字校园发展的新阶段，是综合应用物联网、云计算、移动互联等智能化、信息化、网</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络化技术手段，以师生个性化活动为中心，以提供及时双向信息交流的平台为媒介，构建融网络、</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技术、服务为一体的智能个性化综合信息服务体系，构建具有感知全面、响应及时、智能综合、随</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需应变、高校运行等特征的新一代学校环境，从而实现学校中的人、设备、环境、资源与社会的有</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机整合的一种独特校园形态。</w:t>
                        </w:r>
                      </w:p>
                    </w:tc>
                  </w:tr>
                  <w:tr>
                    <w:trPr>
                      <w:trHeight w:val="31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、整体采用多客户方案设计，可部署在云端，也适用于多个子学校统一集中管理的情况，填补了市</w:t>
                        </w:r>
                      </w:p>
                    </w:tc>
                  </w:tr>
                  <w:tr>
                    <w:trPr>
                      <w:trHeight w:val="25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场上数字化只适用于是单客户情况的空白；</w:t>
                        </w:r>
                      </w:p>
                    </w:tc>
                  </w:tr>
                  <w:tr>
                    <w:trPr>
                      <w:trHeight w:val="367" w:hRule="exact"/>
                    </w:trPr>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11</w:t>
                        </w:r>
                      </w:p>
                    </w:tc>
                    <w:tc>
                      <w:tcPr>
                        <w:tcW w:w="1699" w:type="dxa"/>
                        <w:tcBorders>
                          <w:top w:val="nil" w:sz="6" w:space="0" w:color="auto"/>
                          <w:left w:val="single" w:sz="6" w:space="0" w:color="000000"/>
                          <w:bottom w:val="nil" w:sz="6" w:space="0" w:color="auto"/>
                          <w:right w:val="single" w:sz="6" w:space="0" w:color="000000"/>
                        </w:tcBorders>
                      </w:tcPr>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中职智慧校园平台</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197"/>
                          <w:jc w:val="right"/>
                          <w:rPr>
                            <w:rFonts w:ascii="宋体" w:hAnsi="宋体" w:cs="宋体" w:eastAsia="宋体" w:hint="default"/>
                            <w:sz w:val="18"/>
                            <w:szCs w:val="18"/>
                          </w:rPr>
                        </w:pPr>
                        <w:r>
                          <w:rPr>
                            <w:rFonts w:ascii="宋体" w:hAnsi="宋体" w:cs="宋体" w:eastAsia="宋体" w:hint="default"/>
                            <w:sz w:val="18"/>
                            <w:szCs w:val="18"/>
                          </w:rPr>
                          <w:t>智慧校园</w:t>
                        </w:r>
                      </w:p>
                    </w:tc>
                    <w:tc>
                      <w:tcPr>
                        <w:tcW w:w="1702"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结项，已经开始销售</w:t>
                        </w:r>
                      </w:p>
                    </w:tc>
                    <w:tc>
                      <w:tcPr>
                        <w:tcW w:w="1700" w:type="dxa"/>
                        <w:tcBorders>
                          <w:top w:val="nil" w:sz="6" w:space="0" w:color="auto"/>
                          <w:left w:val="single" w:sz="6" w:space="0" w:color="000000"/>
                          <w:bottom w:val="nil" w:sz="6" w:space="0" w:color="auto"/>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2018/5/1-2019/6/5</w:t>
                        </w: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、组件化管理，业务系统由一个个微服务组成，可自由组合，灵活配置，方便后续功能拓展和个性</w:t>
                        </w:r>
                      </w:p>
                    </w:tc>
                  </w:tr>
                  <w:tr>
                    <w:trPr>
                      <w:trHeight w:val="30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化开发；</w:t>
                        </w:r>
                      </w:p>
                    </w:tc>
                  </w:tr>
                  <w:tr>
                    <w:trPr>
                      <w:trHeight w:val="31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、支持个性化页面和内容定制，可以自定义维护权限使用的应用和服务；</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、提供资源监控功能，同时针对服务器信息、应用服务访问情况进行实时监控；</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、实现了网上项目审核和审批，避免了召集会议的各项资金成本、人员成本、时间成本等，即节约</w:t>
                        </w:r>
                      </w:p>
                    </w:tc>
                  </w:tr>
                  <w:tr>
                    <w:trPr>
                      <w:trHeight w:val="30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了经费，又客观上实现了科研评审的公开、公正、公平；</w:t>
                        </w:r>
                      </w:p>
                    </w:tc>
                  </w:tr>
                  <w:tr>
                    <w:trPr>
                      <w:trHeight w:val="31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、提供强大的权限管理机制，为不同级别的管理者和各种使用者分配不同的软件访问权限，以加强</w:t>
                        </w:r>
                      </w:p>
                    </w:tc>
                  </w:tr>
                  <w:tr>
                    <w:trPr>
                      <w:trHeight w:val="324" w:hRule="exact"/>
                    </w:trPr>
                    <w:tc>
                      <w:tcPr>
                        <w:tcW w:w="710" w:type="dxa"/>
                        <w:tcBorders>
                          <w:top w:val="nil" w:sz="6" w:space="0" w:color="auto"/>
                          <w:left w:val="single" w:sz="6" w:space="0" w:color="000000"/>
                          <w:bottom w:val="single" w:sz="6" w:space="0" w:color="000000"/>
                          <w:right w:val="single" w:sz="6" w:space="0" w:color="000000"/>
                        </w:tcBorders>
                      </w:tcPr>
                      <w:p>
                        <w:pPr/>
                      </w:p>
                    </w:tc>
                    <w:tc>
                      <w:tcPr>
                        <w:tcW w:w="1699"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1702" w:type="dxa"/>
                        <w:tcBorders>
                          <w:top w:val="nil" w:sz="6" w:space="0" w:color="auto"/>
                          <w:left w:val="single" w:sz="6" w:space="0" w:color="000000"/>
                          <w:bottom w:val="single" w:sz="6" w:space="0" w:color="000000"/>
                          <w:right w:val="single" w:sz="6" w:space="0" w:color="000000"/>
                        </w:tcBorders>
                      </w:tcPr>
                      <w:p>
                        <w:pPr/>
                      </w:p>
                    </w:tc>
                    <w:tc>
                      <w:tcPr>
                        <w:tcW w:w="1700" w:type="dxa"/>
                        <w:tcBorders>
                          <w:top w:val="nil" w:sz="6" w:space="0" w:color="auto"/>
                          <w:left w:val="single" w:sz="6" w:space="0" w:color="000000"/>
                          <w:bottom w:val="single" w:sz="6" w:space="0" w:color="000000"/>
                          <w:right w:val="single" w:sz="6" w:space="0" w:color="000000"/>
                        </w:tcBorders>
                      </w:tcPr>
                      <w:p>
                        <w:pPr/>
                      </w:p>
                    </w:tc>
                    <w:tc>
                      <w:tcPr>
                        <w:tcW w:w="779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软件管理。</w:t>
                        </w:r>
                      </w:p>
                    </w:tc>
                  </w:tr>
                  <w:tr>
                    <w:trPr>
                      <w:trHeight w:val="335" w:hRule="exact"/>
                    </w:trPr>
                    <w:tc>
                      <w:tcPr>
                        <w:tcW w:w="710" w:type="dxa"/>
                        <w:tcBorders>
                          <w:top w:val="single" w:sz="6" w:space="0" w:color="000000"/>
                          <w:left w:val="single" w:sz="6" w:space="0" w:color="000000"/>
                          <w:bottom w:val="nil" w:sz="6" w:space="0" w:color="auto"/>
                          <w:right w:val="single" w:sz="6" w:space="0" w:color="000000"/>
                        </w:tcBorders>
                      </w:tcPr>
                      <w:p>
                        <w:pPr/>
                      </w:p>
                    </w:tc>
                    <w:tc>
                      <w:tcPr>
                        <w:tcW w:w="1699"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1702" w:type="dxa"/>
                        <w:tcBorders>
                          <w:top w:val="single" w:sz="6" w:space="0" w:color="000000"/>
                          <w:left w:val="single" w:sz="6" w:space="0" w:color="000000"/>
                          <w:bottom w:val="nil" w:sz="6" w:space="0" w:color="auto"/>
                          <w:right w:val="single" w:sz="6" w:space="0" w:color="000000"/>
                        </w:tcBorders>
                      </w:tcPr>
                      <w:p>
                        <w:pPr/>
                      </w:p>
                    </w:tc>
                    <w:tc>
                      <w:tcPr>
                        <w:tcW w:w="1700" w:type="dxa"/>
                        <w:tcBorders>
                          <w:top w:val="single" w:sz="6" w:space="0" w:color="000000"/>
                          <w:left w:val="single" w:sz="6" w:space="0" w:color="000000"/>
                          <w:bottom w:val="nil" w:sz="6" w:space="0" w:color="auto"/>
                          <w:right w:val="single" w:sz="6" w:space="0" w:color="000000"/>
                        </w:tcBorders>
                      </w:tcPr>
                      <w:p>
                        <w:pPr/>
                      </w:p>
                    </w:tc>
                    <w:tc>
                      <w:tcPr>
                        <w:tcW w:w="779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、一卡通行业内率先针对热水服务行业提供专业、智能的物联网终端和平台服务解决方案，提供互</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联网金融云支付与金融级</w:t>
                        </w:r>
                        <w:r>
                          <w:rPr>
                            <w:rFonts w:ascii="Times New Roman" w:hAnsi="Times New Roman" w:cs="Times New Roman" w:eastAsia="Times New Roman" w:hint="default"/>
                            <w:sz w:val="18"/>
                            <w:szCs w:val="18"/>
                          </w:rPr>
                          <w:t>IC</w:t>
                        </w:r>
                        <w:r>
                          <w:rPr>
                            <w:rFonts w:ascii="宋体" w:hAnsi="宋体" w:cs="宋体" w:eastAsia="宋体" w:hint="default"/>
                            <w:sz w:val="18"/>
                            <w:szCs w:val="18"/>
                          </w:rPr>
                          <w:t>卡线下支付的产品入口；</w:t>
                        </w:r>
                      </w:p>
                    </w:tc>
                  </w:tr>
                  <w:tr>
                    <w:trPr>
                      <w:trHeight w:val="262"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、采用物联网技术，将智能终端与云服务平台互通互联，为用户提供高效、稳定、可视化的产品服</w:t>
                        </w:r>
                      </w:p>
                    </w:tc>
                  </w:tr>
                  <w:tr>
                    <w:trPr>
                      <w:trHeight w:val="674" w:hRule="exact"/>
                    </w:trPr>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w:t>
                        </w:r>
                      </w:p>
                    </w:tc>
                    <w:tc>
                      <w:tcPr>
                        <w:tcW w:w="1699" w:type="dxa"/>
                        <w:tcBorders>
                          <w:top w:val="nil" w:sz="6" w:space="0" w:color="auto"/>
                          <w:left w:val="single" w:sz="6" w:space="0" w:color="000000"/>
                          <w:bottom w:val="nil" w:sz="6" w:space="0" w:color="auto"/>
                          <w:right w:val="single" w:sz="6" w:space="0" w:color="000000"/>
                        </w:tcBorders>
                      </w:tcPr>
                      <w:p>
                        <w:pPr>
                          <w:pStyle w:val="TableParagraph"/>
                          <w:spacing w:line="191" w:lineRule="exact"/>
                          <w:ind w:right="0"/>
                          <w:jc w:val="center"/>
                          <w:rPr>
                            <w:rFonts w:ascii="宋体" w:hAnsi="宋体" w:cs="宋体" w:eastAsia="宋体" w:hint="default"/>
                            <w:sz w:val="18"/>
                            <w:szCs w:val="18"/>
                          </w:rPr>
                        </w:pPr>
                        <w:r>
                          <w:rPr>
                            <w:rFonts w:ascii="宋体" w:hAnsi="宋体" w:cs="宋体" w:eastAsia="宋体" w:hint="default"/>
                            <w:sz w:val="18"/>
                            <w:szCs w:val="18"/>
                          </w:rPr>
                          <w:t>基于融合支付的物联</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网云水控系统</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智慧校园</w:t>
                        </w:r>
                      </w:p>
                    </w:tc>
                    <w:tc>
                      <w:tcPr>
                        <w:tcW w:w="170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测试阶段</w:t>
                        </w:r>
                      </w:p>
                    </w:tc>
                    <w:tc>
                      <w:tcPr>
                        <w:tcW w:w="170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2019/3/20-2020/1/20</w:t>
                        </w: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5"/>
                          <w:ind w:left="3" w:right="0"/>
                          <w:jc w:val="left"/>
                          <w:rPr>
                            <w:rFonts w:ascii="宋体" w:hAnsi="宋体" w:cs="宋体" w:eastAsia="宋体" w:hint="default"/>
                            <w:sz w:val="18"/>
                            <w:szCs w:val="18"/>
                          </w:rPr>
                        </w:pPr>
                        <w:r>
                          <w:rPr>
                            <w:rFonts w:ascii="宋体" w:hAnsi="宋体" w:cs="宋体" w:eastAsia="宋体" w:hint="default"/>
                            <w:sz w:val="18"/>
                            <w:szCs w:val="18"/>
                          </w:rPr>
                          <w:t>务，助力实现有价值的智能生活体验；</w:t>
                        </w:r>
                      </w:p>
                      <w:p>
                        <w:pPr>
                          <w:pStyle w:val="TableParagraph"/>
                          <w:spacing w:line="240" w:lineRule="auto" w:before="76"/>
                          <w:ind w:left="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、采用微服务技术框架，可实现服务能力弹性调整，高并发的可靠的数据处理能力，提供多种数据</w:t>
                        </w:r>
                      </w:p>
                    </w:tc>
                  </w:tr>
                  <w:tr>
                    <w:trPr>
                      <w:trHeight w:val="30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安全策略，充分保障用户支付环境及服务商经营数据安全；</w:t>
                        </w:r>
                      </w:p>
                    </w:tc>
                  </w:tr>
                  <w:tr>
                    <w:trPr>
                      <w:trHeight w:val="31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、全面使用物联智能节水控制器，基于蓝牙、</w:t>
                        </w:r>
                        <w:r>
                          <w:rPr>
                            <w:rFonts w:ascii="Times New Roman" w:hAnsi="Times New Roman" w:cs="Times New Roman" w:eastAsia="Times New Roman" w:hint="default"/>
                            <w:sz w:val="18"/>
                            <w:szCs w:val="18"/>
                          </w:rPr>
                          <w:t>LORA</w:t>
                        </w:r>
                        <w:r>
                          <w:rPr>
                            <w:rFonts w:ascii="宋体" w:hAnsi="宋体" w:cs="宋体" w:eastAsia="宋体" w:hint="default"/>
                            <w:sz w:val="18"/>
                            <w:szCs w:val="18"/>
                          </w:rPr>
                          <w:t>等多种物联网技术的满足用户多场景的应用，</w:t>
                        </w:r>
                      </w:p>
                    </w:tc>
                  </w:tr>
                  <w:tr>
                    <w:trPr>
                      <w:trHeight w:val="325" w:hRule="exact"/>
                    </w:trPr>
                    <w:tc>
                      <w:tcPr>
                        <w:tcW w:w="710" w:type="dxa"/>
                        <w:tcBorders>
                          <w:top w:val="nil" w:sz="6" w:space="0" w:color="auto"/>
                          <w:left w:val="single" w:sz="6" w:space="0" w:color="000000"/>
                          <w:bottom w:val="single" w:sz="6" w:space="0" w:color="000000"/>
                          <w:right w:val="single" w:sz="6" w:space="0" w:color="000000"/>
                        </w:tcBorders>
                      </w:tcPr>
                      <w:p>
                        <w:pPr/>
                      </w:p>
                    </w:tc>
                    <w:tc>
                      <w:tcPr>
                        <w:tcW w:w="1699"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1702" w:type="dxa"/>
                        <w:tcBorders>
                          <w:top w:val="nil" w:sz="6" w:space="0" w:color="auto"/>
                          <w:left w:val="single" w:sz="6" w:space="0" w:color="000000"/>
                          <w:bottom w:val="single" w:sz="6" w:space="0" w:color="000000"/>
                          <w:right w:val="single" w:sz="6" w:space="0" w:color="000000"/>
                        </w:tcBorders>
                      </w:tcPr>
                      <w:p>
                        <w:pPr/>
                      </w:p>
                    </w:tc>
                    <w:tc>
                      <w:tcPr>
                        <w:tcW w:w="1700" w:type="dxa"/>
                        <w:tcBorders>
                          <w:top w:val="nil" w:sz="6" w:space="0" w:color="auto"/>
                          <w:left w:val="single" w:sz="6" w:space="0" w:color="000000"/>
                          <w:bottom w:val="single" w:sz="6" w:space="0" w:color="000000"/>
                          <w:right w:val="single" w:sz="6" w:space="0" w:color="000000"/>
                        </w:tcBorders>
                      </w:tcPr>
                      <w:p>
                        <w:pPr/>
                      </w:p>
                    </w:tc>
                    <w:tc>
                      <w:tcPr>
                        <w:tcW w:w="779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从根本上解决了偷水窃水的问题；</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6840" w:h="11910" w:orient="landscape"/>
          <w:pgMar w:header="867" w:footer="978" w:top="1060" w:bottom="1240" w:left="1320" w:right="500"/>
        </w:sectPr>
      </w:pPr>
    </w:p>
    <w:p>
      <w:pPr>
        <w:spacing w:line="240" w:lineRule="auto" w:before="0"/>
        <w:rPr>
          <w:rFonts w:ascii="宋体" w:hAnsi="宋体" w:cs="宋体" w:eastAsia="宋体" w:hint="default"/>
          <w:sz w:val="20"/>
          <w:szCs w:val="20"/>
        </w:rPr>
      </w:pPr>
      <w:r>
        <w:rPr/>
        <w:pict>
          <v:shape style="position:absolute;margin-left:71.630997pt;margin-top:55.259998pt;width:738.25pt;height:477.2pt;mso-position-horizontal-relative:page;mso-position-vertical-relative:page;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10"/>
                    <w:gridCol w:w="1699"/>
                    <w:gridCol w:w="1134"/>
                    <w:gridCol w:w="1702"/>
                    <w:gridCol w:w="1700"/>
                    <w:gridCol w:w="7798"/>
                  </w:tblGrid>
                  <w:tr>
                    <w:trPr>
                      <w:trHeight w:val="985" w:hRule="exact"/>
                    </w:trPr>
                    <w:tc>
                      <w:tcPr>
                        <w:tcW w:w="710" w:type="dxa"/>
                        <w:tcBorders>
                          <w:top w:val="single" w:sz="17" w:space="0" w:color="000000"/>
                          <w:left w:val="single" w:sz="6" w:space="0" w:color="000000"/>
                          <w:bottom w:val="single" w:sz="6" w:space="0" w:color="000000"/>
                          <w:right w:val="single" w:sz="6" w:space="0" w:color="000000"/>
                        </w:tcBorders>
                      </w:tcPr>
                      <w:p>
                        <w:pPr/>
                      </w:p>
                    </w:tc>
                    <w:tc>
                      <w:tcPr>
                        <w:tcW w:w="1699" w:type="dxa"/>
                        <w:tcBorders>
                          <w:top w:val="single" w:sz="17" w:space="0" w:color="000000"/>
                          <w:left w:val="single" w:sz="6" w:space="0" w:color="000000"/>
                          <w:bottom w:val="single" w:sz="6" w:space="0" w:color="000000"/>
                          <w:right w:val="single" w:sz="6" w:space="0" w:color="000000"/>
                        </w:tcBorders>
                      </w:tcPr>
                      <w:p>
                        <w:pPr/>
                      </w:p>
                    </w:tc>
                    <w:tc>
                      <w:tcPr>
                        <w:tcW w:w="1134" w:type="dxa"/>
                        <w:tcBorders>
                          <w:top w:val="single" w:sz="17" w:space="0" w:color="000000"/>
                          <w:left w:val="single" w:sz="6" w:space="0" w:color="000000"/>
                          <w:bottom w:val="single" w:sz="6" w:space="0" w:color="000000"/>
                          <w:right w:val="single" w:sz="6" w:space="0" w:color="000000"/>
                        </w:tcBorders>
                      </w:tcPr>
                      <w:p>
                        <w:pPr/>
                      </w:p>
                    </w:tc>
                    <w:tc>
                      <w:tcPr>
                        <w:tcW w:w="1702" w:type="dxa"/>
                        <w:tcBorders>
                          <w:top w:val="single" w:sz="17" w:space="0" w:color="000000"/>
                          <w:left w:val="single" w:sz="6" w:space="0" w:color="000000"/>
                          <w:bottom w:val="single" w:sz="6" w:space="0" w:color="000000"/>
                          <w:right w:val="single" w:sz="6" w:space="0" w:color="000000"/>
                        </w:tcBorders>
                      </w:tcPr>
                      <w:p>
                        <w:pPr/>
                      </w:p>
                    </w:tc>
                    <w:tc>
                      <w:tcPr>
                        <w:tcW w:w="1700" w:type="dxa"/>
                        <w:tcBorders>
                          <w:top w:val="single" w:sz="17" w:space="0" w:color="000000"/>
                          <w:left w:val="single" w:sz="6" w:space="0" w:color="000000"/>
                          <w:bottom w:val="single" w:sz="6" w:space="0" w:color="000000"/>
                          <w:right w:val="single" w:sz="6" w:space="0" w:color="000000"/>
                        </w:tcBorders>
                      </w:tcPr>
                      <w:p>
                        <w:pPr/>
                      </w:p>
                    </w:tc>
                    <w:tc>
                      <w:tcPr>
                        <w:tcW w:w="7798" w:type="dxa"/>
                        <w:tcBorders>
                          <w:top w:val="single" w:sz="17" w:space="0" w:color="000000"/>
                          <w:left w:val="single" w:sz="6" w:space="0" w:color="000000"/>
                          <w:bottom w:val="single" w:sz="6" w:space="0" w:color="000000"/>
                          <w:right w:val="single" w:sz="6" w:space="0" w:color="000000"/>
                        </w:tcBorders>
                      </w:tcPr>
                      <w:p>
                        <w:pPr>
                          <w:pStyle w:val="TableParagraph"/>
                          <w:spacing w:line="309" w:lineRule="auto" w:before="21"/>
                          <w:ind w:left="3" w:right="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、热水服务行业内首家提供营造大数据分析平台，实现端实时查看消费和运营数据，为热水投资商</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提供同比、环比的运营数据分析和挖掘功能，为商业经营决策提供数据支撑； </w:t>
                        </w:r>
                        <w:r>
                          <w:rPr>
                            <w:rFonts w:ascii="Times New Roman" w:hAnsi="Times New Roman" w:cs="Times New Roman" w:eastAsia="Times New Roman" w:hint="default"/>
                            <w:sz w:val="18"/>
                            <w:szCs w:val="18"/>
                          </w:rPr>
                          <w:t>6</w:t>
                        </w:r>
                        <w:r>
                          <w:rPr>
                            <w:rFonts w:ascii="宋体" w:hAnsi="宋体" w:cs="宋体" w:eastAsia="宋体" w:hint="default"/>
                            <w:sz w:val="18"/>
                            <w:szCs w:val="18"/>
                          </w:rPr>
                          <w:t>、提供方便快捷的微信与支付宝应用小程序，降低产品研发、运维成本，方便用户推广。</w:t>
                        </w:r>
                      </w:p>
                    </w:tc>
                  </w:tr>
                  <w:tr>
                    <w:trPr>
                      <w:trHeight w:val="335" w:hRule="exact"/>
                    </w:trPr>
                    <w:tc>
                      <w:tcPr>
                        <w:tcW w:w="710" w:type="dxa"/>
                        <w:tcBorders>
                          <w:top w:val="single" w:sz="6" w:space="0" w:color="000000"/>
                          <w:left w:val="single" w:sz="6" w:space="0" w:color="000000"/>
                          <w:bottom w:val="nil" w:sz="6" w:space="0" w:color="auto"/>
                          <w:right w:val="single" w:sz="6" w:space="0" w:color="000000"/>
                        </w:tcBorders>
                      </w:tcPr>
                      <w:p>
                        <w:pPr/>
                      </w:p>
                    </w:tc>
                    <w:tc>
                      <w:tcPr>
                        <w:tcW w:w="1699"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1702" w:type="dxa"/>
                        <w:tcBorders>
                          <w:top w:val="single" w:sz="6" w:space="0" w:color="000000"/>
                          <w:left w:val="single" w:sz="6" w:space="0" w:color="000000"/>
                          <w:bottom w:val="nil" w:sz="6" w:space="0" w:color="auto"/>
                          <w:right w:val="single" w:sz="6" w:space="0" w:color="000000"/>
                        </w:tcBorders>
                      </w:tcPr>
                      <w:p>
                        <w:pPr/>
                      </w:p>
                    </w:tc>
                    <w:tc>
                      <w:tcPr>
                        <w:tcW w:w="1700" w:type="dxa"/>
                        <w:tcBorders>
                          <w:top w:val="single" w:sz="6" w:space="0" w:color="000000"/>
                          <w:left w:val="single" w:sz="6" w:space="0" w:color="000000"/>
                          <w:bottom w:val="nil" w:sz="6" w:space="0" w:color="auto"/>
                          <w:right w:val="single" w:sz="6" w:space="0" w:color="000000"/>
                        </w:tcBorders>
                      </w:tcPr>
                      <w:p>
                        <w:pPr/>
                      </w:p>
                    </w:tc>
                    <w:tc>
                      <w:tcPr>
                        <w:tcW w:w="779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、使用</w:t>
                        </w:r>
                        <w:r>
                          <w:rPr>
                            <w:rFonts w:ascii="Times New Roman" w:hAnsi="Times New Roman" w:cs="Times New Roman" w:eastAsia="Times New Roman" w:hint="default"/>
                            <w:sz w:val="18"/>
                            <w:szCs w:val="18"/>
                          </w:rPr>
                          <w:t>3D</w:t>
                        </w:r>
                        <w:r>
                          <w:rPr>
                            <w:rFonts w:ascii="宋体" w:hAnsi="宋体" w:cs="宋体" w:eastAsia="宋体" w:hint="default"/>
                            <w:sz w:val="18"/>
                            <w:szCs w:val="18"/>
                          </w:rPr>
                          <w:t>结构光摄像头，深度学习算法和</w:t>
                        </w:r>
                        <w:r>
                          <w:rPr>
                            <w:rFonts w:ascii="Times New Roman" w:hAnsi="Times New Roman" w:cs="Times New Roman" w:eastAsia="Times New Roman" w:hint="default"/>
                            <w:sz w:val="18"/>
                            <w:szCs w:val="18"/>
                          </w:rPr>
                          <w:t>3D</w:t>
                        </w:r>
                        <w:r>
                          <w:rPr>
                            <w:rFonts w:ascii="宋体" w:hAnsi="宋体" w:cs="宋体" w:eastAsia="宋体" w:hint="default"/>
                            <w:sz w:val="18"/>
                            <w:szCs w:val="18"/>
                          </w:rPr>
                          <w:t>面部特征重建与表情模拟技术，有效的进行活体识别</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、集成阿里人脸识别算法，终端可存储</w:t>
                        </w:r>
                        <w:r>
                          <w:rPr>
                            <w:rFonts w:ascii="Times New Roman" w:hAnsi="Times New Roman" w:cs="Times New Roman" w:eastAsia="Times New Roman" w:hint="default"/>
                            <w:sz w:val="18"/>
                            <w:szCs w:val="18"/>
                          </w:rPr>
                          <w:t>4</w:t>
                        </w:r>
                        <w:r>
                          <w:rPr>
                            <w:rFonts w:ascii="宋体" w:hAnsi="宋体" w:cs="宋体" w:eastAsia="宋体" w:hint="default"/>
                            <w:sz w:val="18"/>
                            <w:szCs w:val="18"/>
                          </w:rPr>
                          <w:t>万人脸特征值，离线单机能对</w:t>
                        </w:r>
                        <w:r>
                          <w:rPr>
                            <w:rFonts w:ascii="Times New Roman" w:hAnsi="Times New Roman" w:cs="Times New Roman" w:eastAsia="Times New Roman" w:hint="default"/>
                            <w:sz w:val="18"/>
                            <w:szCs w:val="18"/>
                          </w:rPr>
                          <w:t>4</w:t>
                        </w:r>
                        <w:r>
                          <w:rPr>
                            <w:rFonts w:ascii="宋体" w:hAnsi="宋体" w:cs="宋体" w:eastAsia="宋体" w:hint="default"/>
                            <w:sz w:val="18"/>
                            <w:szCs w:val="18"/>
                          </w:rPr>
                          <w:t>万人快速准确识别；</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、智能</w:t>
                        </w:r>
                        <w:r>
                          <w:rPr>
                            <w:rFonts w:ascii="Times New Roman" w:hAnsi="Times New Roman" w:cs="Times New Roman" w:eastAsia="Times New Roman" w:hint="default"/>
                            <w:sz w:val="18"/>
                            <w:szCs w:val="18"/>
                          </w:rPr>
                          <w:t>POS</w:t>
                        </w:r>
                        <w:r>
                          <w:rPr>
                            <w:rFonts w:ascii="宋体" w:hAnsi="宋体" w:cs="宋体" w:eastAsia="宋体" w:hint="default"/>
                            <w:sz w:val="18"/>
                            <w:szCs w:val="18"/>
                          </w:rPr>
                          <w:t>领域首家基于</w:t>
                        </w:r>
                        <w:r>
                          <w:rPr>
                            <w:rFonts w:ascii="Times New Roman" w:hAnsi="Times New Roman" w:cs="Times New Roman" w:eastAsia="Times New Roman" w:hint="default"/>
                            <w:sz w:val="18"/>
                            <w:szCs w:val="18"/>
                          </w:rPr>
                          <w:t>Android</w:t>
                        </w:r>
                        <w:r>
                          <w:rPr>
                            <w:rFonts w:ascii="宋体" w:hAnsi="宋体" w:cs="宋体" w:eastAsia="宋体" w:hint="default"/>
                            <w:sz w:val="18"/>
                            <w:szCs w:val="18"/>
                          </w:rPr>
                          <w:t>操作系统深度定制产品。针对</w:t>
                        </w:r>
                        <w:r>
                          <w:rPr>
                            <w:rFonts w:ascii="Times New Roman" w:hAnsi="Times New Roman" w:cs="Times New Roman" w:eastAsia="Times New Roman" w:hint="default"/>
                            <w:sz w:val="18"/>
                            <w:szCs w:val="18"/>
                          </w:rPr>
                          <w:t>NFC</w:t>
                        </w:r>
                        <w:r>
                          <w:rPr>
                            <w:rFonts w:ascii="宋体" w:hAnsi="宋体" w:cs="宋体" w:eastAsia="宋体" w:hint="default"/>
                            <w:sz w:val="18"/>
                            <w:szCs w:val="18"/>
                          </w:rPr>
                          <w:t>、接触式</w:t>
                        </w:r>
                        <w:r>
                          <w:rPr>
                            <w:rFonts w:ascii="Times New Roman" w:hAnsi="Times New Roman" w:cs="Times New Roman" w:eastAsia="Times New Roman" w:hint="default"/>
                            <w:sz w:val="18"/>
                            <w:szCs w:val="18"/>
                          </w:rPr>
                          <w:t>IC</w:t>
                        </w:r>
                        <w:r>
                          <w:rPr>
                            <w:rFonts w:ascii="宋体" w:hAnsi="宋体" w:cs="宋体" w:eastAsia="宋体" w:hint="default"/>
                            <w:sz w:val="18"/>
                            <w:szCs w:val="18"/>
                          </w:rPr>
                          <w:t>、摄像头等</w:t>
                        </w:r>
                        <w:r>
                          <w:rPr>
                            <w:rFonts w:ascii="Times New Roman" w:hAnsi="Times New Roman" w:cs="Times New Roman" w:eastAsia="Times New Roman" w:hint="default"/>
                            <w:sz w:val="18"/>
                            <w:szCs w:val="18"/>
                          </w:rPr>
                          <w:t>API</w:t>
                        </w:r>
                        <w:r>
                          <w:rPr>
                            <w:rFonts w:ascii="宋体" w:hAnsi="宋体" w:cs="宋体" w:eastAsia="宋体" w:hint="default"/>
                            <w:sz w:val="18"/>
                            <w:szCs w:val="18"/>
                          </w:rPr>
                          <w:t>进行</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开发，封装了基于国际标准</w:t>
                        </w:r>
                        <w:r>
                          <w:rPr>
                            <w:rFonts w:ascii="Times New Roman" w:hAnsi="Times New Roman" w:cs="Times New Roman" w:eastAsia="Times New Roman" w:hint="default"/>
                            <w:sz w:val="18"/>
                            <w:szCs w:val="18"/>
                          </w:rPr>
                          <w:t>ISO14443</w:t>
                        </w:r>
                        <w:r>
                          <w:rPr>
                            <w:rFonts w:ascii="宋体" w:hAnsi="宋体" w:cs="宋体" w:eastAsia="宋体" w:hint="default"/>
                            <w:sz w:val="18"/>
                            <w:szCs w:val="18"/>
                          </w:rPr>
                          <w:t>和</w:t>
                        </w:r>
                        <w:r>
                          <w:rPr>
                            <w:rFonts w:ascii="Times New Roman" w:hAnsi="Times New Roman" w:cs="Times New Roman" w:eastAsia="Times New Roman" w:hint="default"/>
                            <w:sz w:val="18"/>
                            <w:szCs w:val="18"/>
                          </w:rPr>
                          <w:t>ISO7816</w:t>
                        </w:r>
                        <w:r>
                          <w:rPr>
                            <w:rFonts w:ascii="宋体" w:hAnsi="宋体" w:cs="宋体" w:eastAsia="宋体" w:hint="default"/>
                            <w:sz w:val="18"/>
                            <w:szCs w:val="18"/>
                          </w:rPr>
                          <w:t>的库文件，实现非接触卡、二维码识别、人脸识别</w:t>
                        </w:r>
                      </w:p>
                    </w:tc>
                  </w:tr>
                  <w:tr>
                    <w:trPr>
                      <w:trHeight w:val="30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的功能；</w:t>
                        </w:r>
                      </w:p>
                    </w:tc>
                  </w:tr>
                  <w:tr>
                    <w:trPr>
                      <w:trHeight w:val="340"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基于生物识别技术的</w:t>
                        </w: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、采用行业领先的分布签名验证，防止非法侵入，确保支付安全；</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0"/>
                          <w:jc w:val="center"/>
                          <w:rPr>
                            <w:rFonts w:ascii="Times New Roman" w:hAnsi="Times New Roman" w:cs="Times New Roman" w:eastAsia="Times New Roman" w:hint="default"/>
                            <w:sz w:val="18"/>
                            <w:szCs w:val="18"/>
                          </w:rPr>
                        </w:pPr>
                        <w:r>
                          <w:rPr>
                            <w:rFonts w:ascii="Times New Roman"/>
                            <w:sz w:val="18"/>
                          </w:rPr>
                          <w:t>13</w:t>
                        </w:r>
                      </w:p>
                    </w:tc>
                    <w:tc>
                      <w:tcPr>
                        <w:tcW w:w="1699" w:type="dxa"/>
                        <w:tcBorders>
                          <w:top w:val="nil" w:sz="6" w:space="0" w:color="auto"/>
                          <w:left w:val="single" w:sz="6" w:space="0" w:color="000000"/>
                          <w:bottom w:val="nil" w:sz="6" w:space="0" w:color="auto"/>
                          <w:right w:val="single" w:sz="6" w:space="0" w:color="000000"/>
                        </w:tcBorders>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多功能聚合支付终端</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18" w:lineRule="exact"/>
                          <w:ind w:right="197"/>
                          <w:jc w:val="right"/>
                          <w:rPr>
                            <w:rFonts w:ascii="宋体" w:hAnsi="宋体" w:cs="宋体" w:eastAsia="宋体" w:hint="default"/>
                            <w:sz w:val="18"/>
                            <w:szCs w:val="18"/>
                          </w:rPr>
                        </w:pPr>
                        <w:r>
                          <w:rPr>
                            <w:rFonts w:ascii="宋体" w:hAnsi="宋体" w:cs="宋体" w:eastAsia="宋体" w:hint="default"/>
                            <w:sz w:val="18"/>
                            <w:szCs w:val="18"/>
                          </w:rPr>
                          <w:t>电子支付</w:t>
                        </w:r>
                      </w:p>
                    </w:tc>
                    <w:tc>
                      <w:tcPr>
                        <w:tcW w:w="1702" w:type="dxa"/>
                        <w:tcBorders>
                          <w:top w:val="nil" w:sz="6" w:space="0" w:color="auto"/>
                          <w:left w:val="single" w:sz="6" w:space="0" w:color="000000"/>
                          <w:bottom w:val="nil" w:sz="6" w:space="0" w:color="auto"/>
                          <w:right w:val="single" w:sz="6" w:space="0" w:color="000000"/>
                        </w:tcBorders>
                      </w:tcPr>
                      <w:p>
                        <w:pPr>
                          <w:pStyle w:val="TableParagraph"/>
                          <w:spacing w:line="218" w:lineRule="exact"/>
                          <w:ind w:left="483" w:right="0"/>
                          <w:jc w:val="left"/>
                          <w:rPr>
                            <w:rFonts w:ascii="宋体" w:hAnsi="宋体" w:cs="宋体" w:eastAsia="宋体" w:hint="default"/>
                            <w:sz w:val="18"/>
                            <w:szCs w:val="18"/>
                          </w:rPr>
                        </w:pPr>
                        <w:r>
                          <w:rPr>
                            <w:rFonts w:ascii="宋体" w:hAnsi="宋体" w:cs="宋体" w:eastAsia="宋体" w:hint="default"/>
                            <w:sz w:val="18"/>
                            <w:szCs w:val="18"/>
                          </w:rPr>
                          <w:t>开发阶段</w:t>
                        </w:r>
                      </w:p>
                    </w:tc>
                    <w:tc>
                      <w:tcPr>
                        <w:tcW w:w="1700"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27" w:right="0"/>
                          <w:jc w:val="left"/>
                          <w:rPr>
                            <w:rFonts w:ascii="Times New Roman" w:hAnsi="Times New Roman" w:cs="Times New Roman" w:eastAsia="Times New Roman" w:hint="default"/>
                            <w:sz w:val="18"/>
                            <w:szCs w:val="18"/>
                          </w:rPr>
                        </w:pPr>
                        <w:r>
                          <w:rPr>
                            <w:rFonts w:ascii="Times New Roman"/>
                            <w:sz w:val="18"/>
                          </w:rPr>
                          <w:t>2019/3/1-2020/5/20</w:t>
                        </w: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31" w:lineRule="exact"/>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、具有核心知识产权二维码</w:t>
                        </w:r>
                        <w:r>
                          <w:rPr>
                            <w:rFonts w:ascii="Times New Roman" w:hAnsi="Times New Roman" w:cs="Times New Roman" w:eastAsia="Times New Roman" w:hint="default"/>
                            <w:sz w:val="18"/>
                            <w:szCs w:val="18"/>
                          </w:rPr>
                          <w:t>/</w:t>
                        </w:r>
                        <w:r>
                          <w:rPr>
                            <w:rFonts w:ascii="宋体" w:hAnsi="宋体" w:cs="宋体" w:eastAsia="宋体" w:hint="default"/>
                            <w:sz w:val="18"/>
                            <w:szCs w:val="18"/>
                          </w:rPr>
                          <w:t>条码扫描和识别算法，保证对二维码快速准确识别；</w:t>
                        </w:r>
                      </w:p>
                    </w:tc>
                  </w:tr>
                  <w:tr>
                    <w:trPr>
                      <w:trHeight w:val="289"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31" w:lineRule="exact"/>
                          <w:ind w:left="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、通过终端管理系统和物联网平台，首次实现联网</w:t>
                        </w:r>
                        <w:r>
                          <w:rPr>
                            <w:rFonts w:ascii="Times New Roman" w:hAnsi="Times New Roman" w:cs="Times New Roman" w:eastAsia="Times New Roman" w:hint="default"/>
                            <w:spacing w:val="-1"/>
                            <w:sz w:val="18"/>
                            <w:szCs w:val="18"/>
                          </w:rPr>
                          <w:t>POS</w:t>
                        </w:r>
                        <w:r>
                          <w:rPr>
                            <w:rFonts w:ascii="宋体" w:hAnsi="宋体" w:cs="宋体" w:eastAsia="宋体" w:hint="default"/>
                            <w:spacing w:val="-1"/>
                            <w:sz w:val="18"/>
                            <w:szCs w:val="18"/>
                          </w:rPr>
                          <w:t>的固件升级、应用升级、换机移机等智能操</w:t>
                        </w:r>
                      </w:p>
                    </w:tc>
                  </w:tr>
                  <w:tr>
                    <w:trPr>
                      <w:trHeight w:val="30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作；</w:t>
                        </w:r>
                      </w:p>
                    </w:tc>
                  </w:tr>
                  <w:tr>
                    <w:trPr>
                      <w:trHeight w:val="31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、标准开放式开发平台，提供</w:t>
                        </w:r>
                        <w:r>
                          <w:rPr>
                            <w:rFonts w:ascii="Times New Roman" w:hAnsi="Times New Roman" w:cs="Times New Roman" w:eastAsia="Times New Roman" w:hint="default"/>
                            <w:sz w:val="18"/>
                            <w:szCs w:val="18"/>
                          </w:rPr>
                          <w:t>SDK</w:t>
                        </w:r>
                        <w:r>
                          <w:rPr>
                            <w:rFonts w:ascii="宋体" w:hAnsi="宋体" w:cs="宋体" w:eastAsia="宋体" w:hint="default"/>
                            <w:sz w:val="18"/>
                            <w:szCs w:val="18"/>
                          </w:rPr>
                          <w:t>包、</w:t>
                        </w:r>
                        <w:r>
                          <w:rPr>
                            <w:rFonts w:ascii="Times New Roman" w:hAnsi="Times New Roman" w:cs="Times New Roman" w:eastAsia="Times New Roman" w:hint="default"/>
                            <w:sz w:val="18"/>
                            <w:szCs w:val="18"/>
                          </w:rPr>
                          <w:t>API</w:t>
                        </w:r>
                        <w:r>
                          <w:rPr>
                            <w:rFonts w:ascii="宋体" w:hAnsi="宋体" w:cs="宋体" w:eastAsia="宋体" w:hint="default"/>
                            <w:sz w:val="18"/>
                            <w:szCs w:val="18"/>
                          </w:rPr>
                          <w:t>接口及开发工具供第三方集成开发使用，解决用户开发</w:t>
                        </w:r>
                      </w:p>
                    </w:tc>
                  </w:tr>
                  <w:tr>
                    <w:trPr>
                      <w:trHeight w:val="30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的技术难题；</w:t>
                        </w:r>
                      </w:p>
                    </w:tc>
                  </w:tr>
                  <w:tr>
                    <w:trPr>
                      <w:trHeight w:val="31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、国内首家实现银行卡非接</w:t>
                        </w:r>
                        <w:r>
                          <w:rPr>
                            <w:rFonts w:ascii="Times New Roman" w:hAnsi="Times New Roman" w:cs="Times New Roman" w:eastAsia="Times New Roman" w:hint="default"/>
                            <w:spacing w:val="-2"/>
                            <w:sz w:val="18"/>
                            <w:szCs w:val="18"/>
                          </w:rPr>
                          <w:t>/ODA/</w:t>
                        </w:r>
                        <w:r>
                          <w:rPr>
                            <w:rFonts w:ascii="宋体" w:hAnsi="宋体" w:cs="宋体" w:eastAsia="宋体" w:hint="default"/>
                            <w:spacing w:val="-2"/>
                            <w:sz w:val="18"/>
                            <w:szCs w:val="18"/>
                          </w:rPr>
                          <w:t>小额免密支付、微信</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支付宝支付、人脸识别支付为一体的聚合支</w:t>
                        </w:r>
                      </w:p>
                    </w:tc>
                  </w:tr>
                  <w:tr>
                    <w:trPr>
                      <w:trHeight w:val="324" w:hRule="exact"/>
                    </w:trPr>
                    <w:tc>
                      <w:tcPr>
                        <w:tcW w:w="710" w:type="dxa"/>
                        <w:tcBorders>
                          <w:top w:val="nil" w:sz="6" w:space="0" w:color="auto"/>
                          <w:left w:val="single" w:sz="6" w:space="0" w:color="000000"/>
                          <w:bottom w:val="single" w:sz="6" w:space="0" w:color="000000"/>
                          <w:right w:val="single" w:sz="6" w:space="0" w:color="000000"/>
                        </w:tcBorders>
                      </w:tcPr>
                      <w:p>
                        <w:pPr/>
                      </w:p>
                    </w:tc>
                    <w:tc>
                      <w:tcPr>
                        <w:tcW w:w="1699"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1702" w:type="dxa"/>
                        <w:tcBorders>
                          <w:top w:val="nil" w:sz="6" w:space="0" w:color="auto"/>
                          <w:left w:val="single" w:sz="6" w:space="0" w:color="000000"/>
                          <w:bottom w:val="single" w:sz="6" w:space="0" w:color="000000"/>
                          <w:right w:val="single" w:sz="6" w:space="0" w:color="000000"/>
                        </w:tcBorders>
                      </w:tcPr>
                      <w:p>
                        <w:pPr/>
                      </w:p>
                    </w:tc>
                    <w:tc>
                      <w:tcPr>
                        <w:tcW w:w="1700" w:type="dxa"/>
                        <w:tcBorders>
                          <w:top w:val="nil" w:sz="6" w:space="0" w:color="auto"/>
                          <w:left w:val="single" w:sz="6" w:space="0" w:color="000000"/>
                          <w:bottom w:val="single" w:sz="6" w:space="0" w:color="000000"/>
                          <w:right w:val="single" w:sz="6" w:space="0" w:color="000000"/>
                        </w:tcBorders>
                      </w:tcPr>
                      <w:p>
                        <w:pPr/>
                      </w:p>
                    </w:tc>
                    <w:tc>
                      <w:tcPr>
                        <w:tcW w:w="779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付</w:t>
                        </w:r>
                        <w:r>
                          <w:rPr>
                            <w:rFonts w:ascii="Times New Roman" w:hAnsi="Times New Roman" w:cs="Times New Roman" w:eastAsia="Times New Roman" w:hint="default"/>
                            <w:sz w:val="18"/>
                            <w:szCs w:val="18"/>
                          </w:rPr>
                          <w:t>POS</w:t>
                        </w:r>
                        <w:r>
                          <w:rPr>
                            <w:rFonts w:ascii="宋体" w:hAnsi="宋体" w:cs="宋体" w:eastAsia="宋体" w:hint="default"/>
                            <w:sz w:val="18"/>
                            <w:szCs w:val="18"/>
                          </w:rPr>
                          <w:t>。</w:t>
                        </w:r>
                      </w:p>
                    </w:tc>
                  </w:tr>
                  <w:tr>
                    <w:trPr>
                      <w:trHeight w:val="335" w:hRule="exact"/>
                    </w:trPr>
                    <w:tc>
                      <w:tcPr>
                        <w:tcW w:w="710" w:type="dxa"/>
                        <w:tcBorders>
                          <w:top w:val="single" w:sz="6" w:space="0" w:color="000000"/>
                          <w:left w:val="single" w:sz="6" w:space="0" w:color="000000"/>
                          <w:bottom w:val="nil" w:sz="6" w:space="0" w:color="auto"/>
                          <w:right w:val="single" w:sz="6" w:space="0" w:color="000000"/>
                        </w:tcBorders>
                      </w:tcPr>
                      <w:p>
                        <w:pPr/>
                      </w:p>
                    </w:tc>
                    <w:tc>
                      <w:tcPr>
                        <w:tcW w:w="1699"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1702" w:type="dxa"/>
                        <w:tcBorders>
                          <w:top w:val="single" w:sz="6" w:space="0" w:color="000000"/>
                          <w:left w:val="single" w:sz="6" w:space="0" w:color="000000"/>
                          <w:bottom w:val="nil" w:sz="6" w:space="0" w:color="auto"/>
                          <w:right w:val="single" w:sz="6" w:space="0" w:color="000000"/>
                        </w:tcBorders>
                      </w:tcPr>
                      <w:p>
                        <w:pPr/>
                      </w:p>
                    </w:tc>
                    <w:tc>
                      <w:tcPr>
                        <w:tcW w:w="1700" w:type="dxa"/>
                        <w:tcBorders>
                          <w:top w:val="single" w:sz="6" w:space="0" w:color="000000"/>
                          <w:left w:val="single" w:sz="6" w:space="0" w:color="000000"/>
                          <w:bottom w:val="nil" w:sz="6" w:space="0" w:color="auto"/>
                          <w:right w:val="single" w:sz="6" w:space="0" w:color="000000"/>
                        </w:tcBorders>
                      </w:tcPr>
                      <w:p>
                        <w:pPr/>
                      </w:p>
                    </w:tc>
                    <w:tc>
                      <w:tcPr>
                        <w:tcW w:w="779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、系统由大数据云平台、手机</w:t>
                        </w:r>
                        <w:r>
                          <w:rPr>
                            <w:rFonts w:ascii="Times New Roman" w:hAnsi="Times New Roman" w:cs="Times New Roman" w:eastAsia="Times New Roman" w:hint="default"/>
                            <w:sz w:val="18"/>
                            <w:szCs w:val="18"/>
                          </w:rPr>
                          <w:t>APP</w:t>
                        </w:r>
                        <w:r>
                          <w:rPr>
                            <w:rFonts w:ascii="宋体" w:hAnsi="宋体" w:cs="宋体" w:eastAsia="宋体" w:hint="default"/>
                            <w:sz w:val="18"/>
                            <w:szCs w:val="18"/>
                          </w:rPr>
                          <w:t>、智能终端组成，经移动网络连接组成物联网络。手机</w:t>
                        </w:r>
                        <w:r>
                          <w:rPr>
                            <w:rFonts w:ascii="Times New Roman" w:hAnsi="Times New Roman" w:cs="Times New Roman" w:eastAsia="Times New Roman" w:hint="default"/>
                            <w:sz w:val="18"/>
                            <w:szCs w:val="18"/>
                          </w:rPr>
                          <w:t>APP</w:t>
                        </w:r>
                        <w:r>
                          <w:rPr>
                            <w:rFonts w:ascii="宋体" w:hAnsi="宋体" w:cs="宋体" w:eastAsia="宋体" w:hint="default"/>
                            <w:sz w:val="18"/>
                            <w:szCs w:val="18"/>
                          </w:rPr>
                          <w:t>提供</w:t>
                        </w:r>
                      </w:p>
                    </w:tc>
                  </w:tr>
                  <w:tr>
                    <w:trPr>
                      <w:trHeight w:val="30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查询、购电、告警处理、配置等接口。智能终端需要在时域和频域实时对电压、电流采样进行计算</w:t>
                        </w:r>
                      </w:p>
                    </w:tc>
                  </w:tr>
                  <w:tr>
                    <w:trPr>
                      <w:trHeight w:val="262"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获得功率、功率因数、谐波等电参数，依此研究特定机器学习算法解析负载特征，根据特征库配置</w:t>
                        </w:r>
                      </w:p>
                    </w:tc>
                  </w:tr>
                  <w:tr>
                    <w:trPr>
                      <w:trHeight w:val="679" w:hRule="exact"/>
                    </w:trPr>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w:t>
                        </w:r>
                      </w:p>
                    </w:tc>
                    <w:tc>
                      <w:tcPr>
                        <w:tcW w:w="1699" w:type="dxa"/>
                        <w:tcBorders>
                          <w:top w:val="nil" w:sz="6" w:space="0" w:color="auto"/>
                          <w:left w:val="single" w:sz="6" w:space="0" w:color="000000"/>
                          <w:bottom w:val="nil" w:sz="6" w:space="0" w:color="auto"/>
                          <w:right w:val="single" w:sz="6" w:space="0" w:color="000000"/>
                        </w:tcBorders>
                      </w:tcPr>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智能建筑安全用电监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测系统</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能源管控</w:t>
                        </w:r>
                      </w:p>
                    </w:tc>
                    <w:tc>
                      <w:tcPr>
                        <w:tcW w:w="170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83" w:right="0"/>
                          <w:jc w:val="left"/>
                          <w:rPr>
                            <w:rFonts w:ascii="宋体" w:hAnsi="宋体" w:cs="宋体" w:eastAsia="宋体" w:hint="default"/>
                            <w:sz w:val="18"/>
                            <w:szCs w:val="18"/>
                          </w:rPr>
                        </w:pPr>
                        <w:r>
                          <w:rPr>
                            <w:rFonts w:ascii="宋体" w:hAnsi="宋体" w:cs="宋体" w:eastAsia="宋体" w:hint="default"/>
                            <w:sz w:val="18"/>
                            <w:szCs w:val="18"/>
                          </w:rPr>
                          <w:t>测试阶段</w:t>
                        </w:r>
                      </w:p>
                    </w:tc>
                    <w:tc>
                      <w:tcPr>
                        <w:tcW w:w="170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2019/3/1-2020/5/30</w:t>
                        </w: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阻止黑名单负载接入；</w:t>
                        </w:r>
                      </w:p>
                      <w:p>
                        <w:pPr>
                          <w:pStyle w:val="TableParagraph"/>
                          <w:spacing w:line="240" w:lineRule="auto" w:before="76"/>
                          <w:ind w:left="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、集成剩余电流检测与测温单元，通过设置电气运行极限保护参数，实时监测环境及设备自身温度</w:t>
                        </w:r>
                      </w:p>
                    </w:tc>
                  </w:tr>
                  <w:tr>
                    <w:trPr>
                      <w:trHeight w:val="30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将警告级别分为三级，并与消防系统、门禁系统联动，实现安全用电；</w:t>
                        </w:r>
                      </w:p>
                    </w:tc>
                  </w:tr>
                  <w:tr>
                    <w:trPr>
                      <w:trHeight w:val="31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、大数据云平台根据用户需求和采集智能终端数据生成用电策略，智能终端根据策略对负荷进行限</w:t>
                        </w:r>
                      </w:p>
                    </w:tc>
                  </w:tr>
                  <w:tr>
                    <w:trPr>
                      <w:trHeight w:val="324" w:hRule="exact"/>
                    </w:trPr>
                    <w:tc>
                      <w:tcPr>
                        <w:tcW w:w="710" w:type="dxa"/>
                        <w:tcBorders>
                          <w:top w:val="nil" w:sz="6" w:space="0" w:color="auto"/>
                          <w:left w:val="single" w:sz="6" w:space="0" w:color="000000"/>
                          <w:bottom w:val="single" w:sz="6" w:space="0" w:color="000000"/>
                          <w:right w:val="single" w:sz="6" w:space="0" w:color="000000"/>
                        </w:tcBorders>
                      </w:tcPr>
                      <w:p>
                        <w:pPr/>
                      </w:p>
                    </w:tc>
                    <w:tc>
                      <w:tcPr>
                        <w:tcW w:w="1699"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1702" w:type="dxa"/>
                        <w:tcBorders>
                          <w:top w:val="nil" w:sz="6" w:space="0" w:color="auto"/>
                          <w:left w:val="single" w:sz="6" w:space="0" w:color="000000"/>
                          <w:bottom w:val="single" w:sz="6" w:space="0" w:color="000000"/>
                          <w:right w:val="single" w:sz="6" w:space="0" w:color="000000"/>
                        </w:tcBorders>
                      </w:tcPr>
                      <w:p>
                        <w:pPr/>
                      </w:p>
                    </w:tc>
                    <w:tc>
                      <w:tcPr>
                        <w:tcW w:w="1700" w:type="dxa"/>
                        <w:tcBorders>
                          <w:top w:val="nil" w:sz="6" w:space="0" w:color="auto"/>
                          <w:left w:val="single" w:sz="6" w:space="0" w:color="000000"/>
                          <w:bottom w:val="single" w:sz="6" w:space="0" w:color="000000"/>
                          <w:right w:val="single" w:sz="6" w:space="0" w:color="000000"/>
                        </w:tcBorders>
                      </w:tcPr>
                      <w:p>
                        <w:pPr/>
                      </w:p>
                    </w:tc>
                    <w:tc>
                      <w:tcPr>
                        <w:tcW w:w="779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时段、限功率、限类型等控制，实现节约用电。</w:t>
                        </w:r>
                      </w:p>
                    </w:tc>
                  </w:tr>
                  <w:tr>
                    <w:trPr>
                      <w:trHeight w:val="335" w:hRule="exact"/>
                    </w:trPr>
                    <w:tc>
                      <w:tcPr>
                        <w:tcW w:w="710" w:type="dxa"/>
                        <w:tcBorders>
                          <w:top w:val="single" w:sz="6" w:space="0" w:color="000000"/>
                          <w:left w:val="single" w:sz="6" w:space="0" w:color="000000"/>
                          <w:bottom w:val="nil" w:sz="6" w:space="0" w:color="auto"/>
                          <w:right w:val="single" w:sz="6" w:space="0" w:color="000000"/>
                        </w:tcBorders>
                      </w:tcPr>
                      <w:p>
                        <w:pPr/>
                      </w:p>
                    </w:tc>
                    <w:tc>
                      <w:tcPr>
                        <w:tcW w:w="1699"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1702" w:type="dxa"/>
                        <w:tcBorders>
                          <w:top w:val="single" w:sz="6" w:space="0" w:color="000000"/>
                          <w:left w:val="single" w:sz="6" w:space="0" w:color="000000"/>
                          <w:bottom w:val="nil" w:sz="6" w:space="0" w:color="auto"/>
                          <w:right w:val="single" w:sz="6" w:space="0" w:color="000000"/>
                        </w:tcBorders>
                      </w:tcPr>
                      <w:p>
                        <w:pPr/>
                      </w:p>
                    </w:tc>
                    <w:tc>
                      <w:tcPr>
                        <w:tcW w:w="1700" w:type="dxa"/>
                        <w:tcBorders>
                          <w:top w:val="single" w:sz="6" w:space="0" w:color="000000"/>
                          <w:left w:val="single" w:sz="6" w:space="0" w:color="000000"/>
                          <w:bottom w:val="nil" w:sz="6" w:space="0" w:color="auto"/>
                          <w:right w:val="single" w:sz="6" w:space="0" w:color="000000"/>
                        </w:tcBorders>
                      </w:tcPr>
                      <w:p>
                        <w:pPr/>
                      </w:p>
                    </w:tc>
                    <w:tc>
                      <w:tcPr>
                        <w:tcW w:w="779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、人脸识别技术在一卡通行业内的创新应用；</w:t>
                        </w:r>
                      </w:p>
                    </w:tc>
                  </w:tr>
                  <w:tr>
                    <w:trPr>
                      <w:trHeight w:val="262"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、自研逆光算法解决人脸逆光识别难题；</w:t>
                        </w:r>
                      </w:p>
                    </w:tc>
                  </w:tr>
                  <w:tr>
                    <w:trPr>
                      <w:trHeight w:val="674" w:hRule="exact"/>
                    </w:trPr>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w:t>
                        </w:r>
                      </w:p>
                    </w:tc>
                    <w:tc>
                      <w:tcPr>
                        <w:tcW w:w="1699" w:type="dxa"/>
                        <w:tcBorders>
                          <w:top w:val="nil" w:sz="6" w:space="0" w:color="auto"/>
                          <w:left w:val="single" w:sz="6" w:space="0" w:color="000000"/>
                          <w:bottom w:val="nil" w:sz="6" w:space="0" w:color="auto"/>
                          <w:right w:val="single" w:sz="6" w:space="0" w:color="000000"/>
                        </w:tcBorders>
                      </w:tcPr>
                      <w:p>
                        <w:pPr>
                          <w:pStyle w:val="TableParagraph"/>
                          <w:spacing w:line="191" w:lineRule="exact"/>
                          <w:ind w:left="122" w:right="0" w:hanging="90"/>
                          <w:jc w:val="left"/>
                          <w:rPr>
                            <w:rFonts w:ascii="宋体" w:hAnsi="宋体" w:cs="宋体" w:eastAsia="宋体" w:hint="default"/>
                            <w:sz w:val="18"/>
                            <w:szCs w:val="18"/>
                          </w:rPr>
                        </w:pPr>
                        <w:r>
                          <w:rPr>
                            <w:rFonts w:ascii="宋体" w:hAnsi="宋体" w:cs="宋体" w:eastAsia="宋体" w:hint="default"/>
                            <w:sz w:val="18"/>
                            <w:szCs w:val="18"/>
                          </w:rPr>
                          <w:t>基于人脸识别的多模</w:t>
                        </w:r>
                      </w:p>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态物联网门禁系统</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身份识别</w:t>
                        </w:r>
                      </w:p>
                    </w:tc>
                    <w:tc>
                      <w:tcPr>
                        <w:tcW w:w="170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83" w:right="0"/>
                          <w:jc w:val="left"/>
                          <w:rPr>
                            <w:rFonts w:ascii="宋体" w:hAnsi="宋体" w:cs="宋体" w:eastAsia="宋体" w:hint="default"/>
                            <w:sz w:val="18"/>
                            <w:szCs w:val="18"/>
                          </w:rPr>
                        </w:pPr>
                        <w:r>
                          <w:rPr>
                            <w:rFonts w:ascii="宋体" w:hAnsi="宋体" w:cs="宋体" w:eastAsia="宋体" w:hint="default"/>
                            <w:sz w:val="18"/>
                            <w:szCs w:val="18"/>
                          </w:rPr>
                          <w:t>发布阶段</w:t>
                        </w:r>
                      </w:p>
                    </w:tc>
                    <w:tc>
                      <w:tcPr>
                        <w:tcW w:w="170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2019/3/1-2019/12/20</w:t>
                        </w: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5"/>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、解决产品在至薄（</w:t>
                        </w:r>
                        <w:r>
                          <w:rPr>
                            <w:rFonts w:ascii="Times New Roman" w:hAnsi="Times New Roman" w:cs="Times New Roman" w:eastAsia="Times New Roman" w:hint="default"/>
                            <w:sz w:val="18"/>
                            <w:szCs w:val="18"/>
                          </w:rPr>
                          <w:t>20mm</w:t>
                        </w:r>
                        <w:r>
                          <w:rPr>
                            <w:rFonts w:ascii="宋体" w:hAnsi="宋体" w:cs="宋体" w:eastAsia="宋体" w:hint="default"/>
                            <w:sz w:val="18"/>
                            <w:szCs w:val="18"/>
                          </w:rPr>
                          <w:t>）设计下的电磁兼容问题；</w:t>
                        </w:r>
                      </w:p>
                      <w:p>
                        <w:pPr>
                          <w:pStyle w:val="TableParagraph"/>
                          <w:spacing w:line="240" w:lineRule="auto" w:before="63"/>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、攻破产品在至薄设计时的结构堆叠难题，防水设计难题；</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、解决金属外壳时屏下刷卡遇到的信号屏蔽问题；</w:t>
                        </w:r>
                      </w:p>
                    </w:tc>
                  </w:tr>
                  <w:tr>
                    <w:trPr>
                      <w:trHeight w:val="325" w:hRule="exact"/>
                    </w:trPr>
                    <w:tc>
                      <w:tcPr>
                        <w:tcW w:w="710" w:type="dxa"/>
                        <w:tcBorders>
                          <w:top w:val="nil" w:sz="6" w:space="0" w:color="auto"/>
                          <w:left w:val="single" w:sz="6" w:space="0" w:color="000000"/>
                          <w:bottom w:val="single" w:sz="6" w:space="0" w:color="000000"/>
                          <w:right w:val="single" w:sz="6" w:space="0" w:color="000000"/>
                        </w:tcBorders>
                      </w:tcPr>
                      <w:p>
                        <w:pPr/>
                      </w:p>
                    </w:tc>
                    <w:tc>
                      <w:tcPr>
                        <w:tcW w:w="1699"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1702" w:type="dxa"/>
                        <w:tcBorders>
                          <w:top w:val="nil" w:sz="6" w:space="0" w:color="auto"/>
                          <w:left w:val="single" w:sz="6" w:space="0" w:color="000000"/>
                          <w:bottom w:val="single" w:sz="6" w:space="0" w:color="000000"/>
                          <w:right w:val="single" w:sz="6" w:space="0" w:color="000000"/>
                        </w:tcBorders>
                      </w:tcPr>
                      <w:p>
                        <w:pPr/>
                      </w:p>
                    </w:tc>
                    <w:tc>
                      <w:tcPr>
                        <w:tcW w:w="1700" w:type="dxa"/>
                        <w:tcBorders>
                          <w:top w:val="nil" w:sz="6" w:space="0" w:color="auto"/>
                          <w:left w:val="single" w:sz="6" w:space="0" w:color="000000"/>
                          <w:bottom w:val="single" w:sz="6" w:space="0" w:color="000000"/>
                          <w:right w:val="single" w:sz="6" w:space="0" w:color="000000"/>
                        </w:tcBorders>
                      </w:tcPr>
                      <w:p>
                        <w:pPr/>
                      </w:p>
                    </w:tc>
                    <w:tc>
                      <w:tcPr>
                        <w:tcW w:w="779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、光线</w:t>
                        </w:r>
                        <w:r>
                          <w:rPr>
                            <w:rFonts w:ascii="Times New Roman" w:hAnsi="Times New Roman" w:cs="Times New Roman" w:eastAsia="Times New Roman" w:hint="default"/>
                            <w:sz w:val="18"/>
                            <w:szCs w:val="18"/>
                          </w:rPr>
                          <w:t>/</w:t>
                        </w:r>
                        <w:r>
                          <w:rPr>
                            <w:rFonts w:ascii="宋体" w:hAnsi="宋体" w:cs="宋体" w:eastAsia="宋体" w:hint="default"/>
                            <w:sz w:val="18"/>
                            <w:szCs w:val="18"/>
                          </w:rPr>
                          <w:t>距离传感器在产品中的创新应用；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before="44"/>
        <w:ind w:left="0" w:right="115"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44"/>
        <w:ind w:left="0" w:right="115"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before="0"/>
        <w:ind w:left="0" w:right="115"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6840" w:h="11910" w:orient="landscape"/>
          <w:pgMar w:header="867" w:footer="978" w:top="1060" w:bottom="1240" w:left="1320" w:right="460"/>
        </w:sectPr>
      </w:pPr>
    </w:p>
    <w:p>
      <w:pPr>
        <w:spacing w:line="240" w:lineRule="auto" w:before="4"/>
        <w:rPr>
          <w:rFonts w:ascii="Times New Roman" w:hAnsi="Times New Roman" w:cs="Times New Roman" w:eastAsia="Times New Roman"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710"/>
        <w:gridCol w:w="1699"/>
        <w:gridCol w:w="1134"/>
        <w:gridCol w:w="1702"/>
        <w:gridCol w:w="1700"/>
        <w:gridCol w:w="7798"/>
      </w:tblGrid>
      <w:tr>
        <w:trPr>
          <w:trHeight w:val="1609" w:hRule="exact"/>
        </w:trPr>
        <w:tc>
          <w:tcPr>
            <w:tcW w:w="710" w:type="dxa"/>
            <w:tcBorders>
              <w:top w:val="single" w:sz="17" w:space="0" w:color="000000"/>
              <w:left w:val="single" w:sz="6" w:space="0" w:color="000000"/>
              <w:bottom w:val="single" w:sz="6" w:space="0" w:color="000000"/>
              <w:right w:val="single" w:sz="6" w:space="0" w:color="000000"/>
            </w:tcBorders>
          </w:tcPr>
          <w:p>
            <w:pPr/>
          </w:p>
        </w:tc>
        <w:tc>
          <w:tcPr>
            <w:tcW w:w="1699" w:type="dxa"/>
            <w:tcBorders>
              <w:top w:val="single" w:sz="17" w:space="0" w:color="000000"/>
              <w:left w:val="single" w:sz="6" w:space="0" w:color="000000"/>
              <w:bottom w:val="single" w:sz="6" w:space="0" w:color="000000"/>
              <w:right w:val="single" w:sz="6" w:space="0" w:color="000000"/>
            </w:tcBorders>
          </w:tcPr>
          <w:p>
            <w:pPr/>
          </w:p>
        </w:tc>
        <w:tc>
          <w:tcPr>
            <w:tcW w:w="1134" w:type="dxa"/>
            <w:tcBorders>
              <w:top w:val="single" w:sz="17" w:space="0" w:color="000000"/>
              <w:left w:val="single" w:sz="6" w:space="0" w:color="000000"/>
              <w:bottom w:val="single" w:sz="6" w:space="0" w:color="000000"/>
              <w:right w:val="single" w:sz="6" w:space="0" w:color="000000"/>
            </w:tcBorders>
          </w:tcPr>
          <w:p>
            <w:pPr/>
          </w:p>
        </w:tc>
        <w:tc>
          <w:tcPr>
            <w:tcW w:w="1702" w:type="dxa"/>
            <w:tcBorders>
              <w:top w:val="single" w:sz="17" w:space="0" w:color="000000"/>
              <w:left w:val="single" w:sz="6" w:space="0" w:color="000000"/>
              <w:bottom w:val="single" w:sz="6" w:space="0" w:color="000000"/>
              <w:right w:val="single" w:sz="6" w:space="0" w:color="000000"/>
            </w:tcBorders>
          </w:tcPr>
          <w:p>
            <w:pPr/>
          </w:p>
        </w:tc>
        <w:tc>
          <w:tcPr>
            <w:tcW w:w="1700" w:type="dxa"/>
            <w:tcBorders>
              <w:top w:val="single" w:sz="17" w:space="0" w:color="000000"/>
              <w:left w:val="single" w:sz="6" w:space="0" w:color="000000"/>
              <w:bottom w:val="single" w:sz="6" w:space="0" w:color="000000"/>
              <w:right w:val="single" w:sz="6" w:space="0" w:color="000000"/>
            </w:tcBorders>
          </w:tcPr>
          <w:p>
            <w:pPr/>
          </w:p>
        </w:tc>
        <w:tc>
          <w:tcPr>
            <w:tcW w:w="7798"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、支持多种验证方式</w:t>
            </w:r>
            <w:r>
              <w:rPr>
                <w:rFonts w:ascii="Times New Roman" w:hAnsi="Times New Roman" w:cs="Times New Roman" w:eastAsia="Times New Roman" w:hint="default"/>
                <w:sz w:val="18"/>
                <w:szCs w:val="18"/>
              </w:rPr>
              <w:t>——IC</w:t>
            </w:r>
            <w:r>
              <w:rPr>
                <w:rFonts w:ascii="宋体" w:hAnsi="宋体" w:cs="宋体" w:eastAsia="宋体" w:hint="default"/>
                <w:sz w:val="18"/>
                <w:szCs w:val="18"/>
              </w:rPr>
              <w:t>卡、</w:t>
            </w:r>
            <w:r>
              <w:rPr>
                <w:rFonts w:ascii="Times New Roman" w:hAnsi="Times New Roman" w:cs="Times New Roman" w:eastAsia="Times New Roman" w:hint="default"/>
                <w:sz w:val="18"/>
                <w:szCs w:val="18"/>
              </w:rPr>
              <w:t>NFC</w:t>
            </w:r>
            <w:r>
              <w:rPr>
                <w:rFonts w:ascii="宋体" w:hAnsi="宋体" w:cs="宋体" w:eastAsia="宋体" w:hint="default"/>
                <w:sz w:val="18"/>
                <w:szCs w:val="18"/>
              </w:rPr>
              <w:t>、身份证、扫码、人脸识别等；</w:t>
            </w:r>
          </w:p>
          <w:p>
            <w:pPr>
              <w:pStyle w:val="TableParagraph"/>
              <w:spacing w:line="240" w:lineRule="auto" w:before="63"/>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、安卓底层驱动调试和修改；</w:t>
            </w:r>
          </w:p>
          <w:p>
            <w:pPr>
              <w:pStyle w:val="TableParagraph"/>
              <w:spacing w:line="240" w:lineRule="auto" w:before="63"/>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、闸机、门禁、考勤、签到等多场景下的</w:t>
            </w:r>
            <w:r>
              <w:rPr>
                <w:rFonts w:ascii="Times New Roman" w:hAnsi="Times New Roman" w:cs="Times New Roman" w:eastAsia="Times New Roman" w:hint="default"/>
                <w:sz w:val="18"/>
                <w:szCs w:val="18"/>
              </w:rPr>
              <w:t>APP</w:t>
            </w:r>
            <w:r>
              <w:rPr>
                <w:rFonts w:ascii="宋体" w:hAnsi="宋体" w:cs="宋体" w:eastAsia="宋体" w:hint="default"/>
                <w:sz w:val="18"/>
                <w:szCs w:val="18"/>
              </w:rPr>
              <w:t>开发；</w:t>
            </w:r>
          </w:p>
          <w:p>
            <w:pPr>
              <w:pStyle w:val="TableParagraph"/>
              <w:spacing w:line="240" w:lineRule="auto" w:before="63"/>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、接入公司人脸认证服务平台，以便扩展人脸识别全场景应用；</w:t>
            </w:r>
          </w:p>
          <w:p>
            <w:pPr>
              <w:pStyle w:val="TableParagraph"/>
              <w:spacing w:line="240" w:lineRule="auto" w:before="63"/>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、接入公司物联网平台，实现集中监控运维；</w:t>
            </w:r>
          </w:p>
        </w:tc>
      </w:tr>
      <w:tr>
        <w:trPr>
          <w:trHeight w:val="335" w:hRule="exact"/>
        </w:trPr>
        <w:tc>
          <w:tcPr>
            <w:tcW w:w="710" w:type="dxa"/>
            <w:tcBorders>
              <w:top w:val="single" w:sz="6" w:space="0" w:color="000000"/>
              <w:left w:val="single" w:sz="6" w:space="0" w:color="000000"/>
              <w:bottom w:val="nil" w:sz="6" w:space="0" w:color="auto"/>
              <w:right w:val="single" w:sz="6" w:space="0" w:color="000000"/>
            </w:tcBorders>
          </w:tcPr>
          <w:p>
            <w:pPr/>
          </w:p>
        </w:tc>
        <w:tc>
          <w:tcPr>
            <w:tcW w:w="1699"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1702" w:type="dxa"/>
            <w:tcBorders>
              <w:top w:val="single" w:sz="6" w:space="0" w:color="000000"/>
              <w:left w:val="single" w:sz="6" w:space="0" w:color="000000"/>
              <w:bottom w:val="nil" w:sz="6" w:space="0" w:color="auto"/>
              <w:right w:val="single" w:sz="6" w:space="0" w:color="000000"/>
            </w:tcBorders>
          </w:tcPr>
          <w:p>
            <w:pPr/>
          </w:p>
        </w:tc>
        <w:tc>
          <w:tcPr>
            <w:tcW w:w="1700" w:type="dxa"/>
            <w:tcBorders>
              <w:top w:val="single" w:sz="6" w:space="0" w:color="000000"/>
              <w:left w:val="single" w:sz="6" w:space="0" w:color="000000"/>
              <w:bottom w:val="nil" w:sz="6" w:space="0" w:color="auto"/>
              <w:right w:val="single" w:sz="6" w:space="0" w:color="000000"/>
            </w:tcBorders>
          </w:tcPr>
          <w:p>
            <w:pPr/>
          </w:p>
        </w:tc>
        <w:tc>
          <w:tcPr>
            <w:tcW w:w="779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、行业领先的基于低功耗自组网</w:t>
            </w:r>
            <w:r>
              <w:rPr>
                <w:rFonts w:ascii="Times New Roman" w:hAnsi="Times New Roman" w:cs="Times New Roman" w:eastAsia="Times New Roman" w:hint="default"/>
                <w:sz w:val="18"/>
                <w:szCs w:val="18"/>
              </w:rPr>
              <w:t>LoRa</w:t>
            </w:r>
            <w:r>
              <w:rPr>
                <w:rFonts w:ascii="宋体" w:hAnsi="宋体" w:cs="宋体" w:eastAsia="宋体" w:hint="default"/>
                <w:sz w:val="18"/>
                <w:szCs w:val="18"/>
              </w:rPr>
              <w:t>无线扩频技术的，集燃气表线上线下统一管理的一体化解决</w:t>
            </w:r>
          </w:p>
        </w:tc>
      </w:tr>
      <w:tr>
        <w:trPr>
          <w:trHeight w:val="30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方案。</w:t>
            </w:r>
          </w:p>
        </w:tc>
      </w:tr>
      <w:tr>
        <w:trPr>
          <w:trHeight w:val="31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、开放式标准平台，提供标准</w:t>
            </w:r>
            <w:r>
              <w:rPr>
                <w:rFonts w:ascii="Times New Roman" w:hAnsi="Times New Roman" w:cs="Times New Roman" w:eastAsia="Times New Roman" w:hint="default"/>
                <w:sz w:val="18"/>
                <w:szCs w:val="18"/>
              </w:rPr>
              <w:t>API</w:t>
            </w:r>
            <w:r>
              <w:rPr>
                <w:rFonts w:ascii="宋体" w:hAnsi="宋体" w:cs="宋体" w:eastAsia="宋体" w:hint="default"/>
                <w:sz w:val="18"/>
                <w:szCs w:val="18"/>
              </w:rPr>
              <w:t>接口供三方系统集成对接。解决用户多种表具统一运营的难题。</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、燃气业务大数据分析平台，提供用气、安全、缴费、运营等业务大数据挖掘分析功能以及便捷的</w:t>
            </w:r>
          </w:p>
        </w:tc>
      </w:tr>
      <w:tr>
        <w:trPr>
          <w:trHeight w:val="25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图形化数据操作功能，提供企业运营数据依据。</w:t>
            </w:r>
          </w:p>
        </w:tc>
      </w:tr>
      <w:tr>
        <w:trPr>
          <w:trHeight w:val="674" w:hRule="exact"/>
        </w:trPr>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w:t>
            </w:r>
          </w:p>
        </w:tc>
        <w:tc>
          <w:tcPr>
            <w:tcW w:w="1699"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22" w:right="0" w:hanging="65"/>
              <w:jc w:val="left"/>
              <w:rPr>
                <w:rFonts w:ascii="宋体" w:hAnsi="宋体" w:cs="宋体" w:eastAsia="宋体" w:hint="default"/>
                <w:sz w:val="18"/>
                <w:szCs w:val="18"/>
              </w:rPr>
            </w:pPr>
            <w:r>
              <w:rPr>
                <w:rFonts w:ascii="宋体" w:hAnsi="宋体" w:cs="宋体" w:eastAsia="宋体" w:hint="default"/>
                <w:sz w:val="18"/>
                <w:szCs w:val="18"/>
              </w:rPr>
              <w:t>基于</w:t>
            </w:r>
            <w:r>
              <w:rPr>
                <w:rFonts w:ascii="Times New Roman" w:hAnsi="Times New Roman" w:cs="Times New Roman" w:eastAsia="Times New Roman" w:hint="default"/>
                <w:sz w:val="18"/>
                <w:szCs w:val="18"/>
              </w:rPr>
              <w:t>LORA</w:t>
            </w:r>
            <w:r>
              <w:rPr>
                <w:rFonts w:ascii="宋体" w:hAnsi="宋体" w:cs="宋体" w:eastAsia="宋体" w:hint="default"/>
                <w:sz w:val="18"/>
                <w:szCs w:val="18"/>
              </w:rPr>
              <w:t>自组网的</w:t>
            </w:r>
          </w:p>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物联网燃气表系统</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燃气集成</w:t>
            </w:r>
          </w:p>
        </w:tc>
        <w:tc>
          <w:tcPr>
            <w:tcW w:w="170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结项，已经开始销售</w:t>
            </w:r>
          </w:p>
        </w:tc>
        <w:tc>
          <w:tcPr>
            <w:tcW w:w="1700"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2019/4/10-2019/12/31</w:t>
            </w: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300" w:lineRule="auto" w:before="60"/>
              <w:ind w:left="3" w:right="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、全自主服务，提供用户管理、抄表管理、缴费、数据分析、工单、客服等多元化的业务，为燃气</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企业各岗位提供全方位的服务。</w:t>
            </w:r>
          </w:p>
        </w:tc>
      </w:tr>
      <w:tr>
        <w:trPr>
          <w:trHeight w:val="31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、自主设计、并基于无线</w:t>
            </w:r>
            <w:r>
              <w:rPr>
                <w:rFonts w:ascii="Times New Roman" w:hAnsi="Times New Roman" w:cs="Times New Roman" w:eastAsia="Times New Roman" w:hint="default"/>
                <w:sz w:val="18"/>
                <w:szCs w:val="18"/>
              </w:rPr>
              <w:t>MAC</w:t>
            </w:r>
            <w:r>
              <w:rPr>
                <w:rFonts w:ascii="宋体" w:hAnsi="宋体" w:cs="宋体" w:eastAsia="宋体" w:hint="default"/>
                <w:sz w:val="18"/>
                <w:szCs w:val="18"/>
              </w:rPr>
              <w:t>仿真技术进行验证的低功耗</w:t>
            </w:r>
            <w:r>
              <w:rPr>
                <w:rFonts w:ascii="Times New Roman" w:hAnsi="Times New Roman" w:cs="Times New Roman" w:eastAsia="Times New Roman" w:hint="default"/>
                <w:sz w:val="18"/>
                <w:szCs w:val="18"/>
              </w:rPr>
              <w:t>LoRa</w:t>
            </w:r>
            <w:r>
              <w:rPr>
                <w:rFonts w:ascii="宋体" w:hAnsi="宋体" w:cs="宋体" w:eastAsia="宋体" w:hint="default"/>
                <w:sz w:val="18"/>
                <w:szCs w:val="18"/>
              </w:rPr>
              <w:t>组网方案，拓扑灵活、可靠性高，</w:t>
            </w:r>
          </w:p>
        </w:tc>
      </w:tr>
      <w:tr>
        <w:trPr>
          <w:trHeight w:val="30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单个网络覆盖范围广、网络容量大、达到行业领先水平。</w:t>
            </w:r>
          </w:p>
        </w:tc>
      </w:tr>
      <w:tr>
        <w:trPr>
          <w:trHeight w:val="31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、在满足低功耗条件下，实现实时上报异常、故障预警，远程异常诊断。</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、稳定、成熟的全网远程升级方案，应对复杂多变的用户需求，实现足不出户即可更新燃气表业务</w:t>
            </w:r>
          </w:p>
        </w:tc>
      </w:tr>
      <w:tr>
        <w:trPr>
          <w:trHeight w:val="324" w:hRule="exact"/>
        </w:trPr>
        <w:tc>
          <w:tcPr>
            <w:tcW w:w="710" w:type="dxa"/>
            <w:tcBorders>
              <w:top w:val="nil" w:sz="6" w:space="0" w:color="auto"/>
              <w:left w:val="single" w:sz="6" w:space="0" w:color="000000"/>
              <w:bottom w:val="single" w:sz="6" w:space="0" w:color="000000"/>
              <w:right w:val="single" w:sz="6" w:space="0" w:color="000000"/>
            </w:tcBorders>
          </w:tcPr>
          <w:p>
            <w:pPr/>
          </w:p>
        </w:tc>
        <w:tc>
          <w:tcPr>
            <w:tcW w:w="1699"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1702" w:type="dxa"/>
            <w:tcBorders>
              <w:top w:val="nil" w:sz="6" w:space="0" w:color="auto"/>
              <w:left w:val="single" w:sz="6" w:space="0" w:color="000000"/>
              <w:bottom w:val="single" w:sz="6" w:space="0" w:color="000000"/>
              <w:right w:val="single" w:sz="6" w:space="0" w:color="000000"/>
            </w:tcBorders>
          </w:tcPr>
          <w:p>
            <w:pPr/>
          </w:p>
        </w:tc>
        <w:tc>
          <w:tcPr>
            <w:tcW w:w="1700" w:type="dxa"/>
            <w:tcBorders>
              <w:top w:val="nil" w:sz="6" w:space="0" w:color="auto"/>
              <w:left w:val="single" w:sz="6" w:space="0" w:color="000000"/>
              <w:bottom w:val="single" w:sz="6" w:space="0" w:color="000000"/>
              <w:right w:val="single" w:sz="6" w:space="0" w:color="000000"/>
            </w:tcBorders>
          </w:tcPr>
          <w:p>
            <w:pPr/>
          </w:p>
        </w:tc>
        <w:tc>
          <w:tcPr>
            <w:tcW w:w="779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逻辑，实用性和稳定性达到行业领先水平。</w:t>
            </w:r>
          </w:p>
        </w:tc>
      </w:tr>
      <w:tr>
        <w:trPr>
          <w:trHeight w:val="335" w:hRule="exact"/>
        </w:trPr>
        <w:tc>
          <w:tcPr>
            <w:tcW w:w="710" w:type="dxa"/>
            <w:tcBorders>
              <w:top w:val="single" w:sz="6" w:space="0" w:color="000000"/>
              <w:left w:val="single" w:sz="6" w:space="0" w:color="000000"/>
              <w:bottom w:val="nil" w:sz="6" w:space="0" w:color="auto"/>
              <w:right w:val="single" w:sz="6" w:space="0" w:color="000000"/>
            </w:tcBorders>
          </w:tcPr>
          <w:p>
            <w:pPr/>
          </w:p>
        </w:tc>
        <w:tc>
          <w:tcPr>
            <w:tcW w:w="1699"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1702" w:type="dxa"/>
            <w:tcBorders>
              <w:top w:val="single" w:sz="6" w:space="0" w:color="000000"/>
              <w:left w:val="single" w:sz="6" w:space="0" w:color="000000"/>
              <w:bottom w:val="nil" w:sz="6" w:space="0" w:color="auto"/>
              <w:right w:val="single" w:sz="6" w:space="0" w:color="000000"/>
            </w:tcBorders>
          </w:tcPr>
          <w:p>
            <w:pPr/>
          </w:p>
        </w:tc>
        <w:tc>
          <w:tcPr>
            <w:tcW w:w="1700" w:type="dxa"/>
            <w:tcBorders>
              <w:top w:val="single" w:sz="6" w:space="0" w:color="000000"/>
              <w:left w:val="single" w:sz="6" w:space="0" w:color="000000"/>
              <w:bottom w:val="nil" w:sz="6" w:space="0" w:color="auto"/>
              <w:right w:val="single" w:sz="6" w:space="0" w:color="000000"/>
            </w:tcBorders>
          </w:tcPr>
          <w:p>
            <w:pPr/>
          </w:p>
        </w:tc>
        <w:tc>
          <w:tcPr>
            <w:tcW w:w="779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、采用互联网产品理念，新增定义了系统业务类型、用户收费类型等概念；关注管理员用户全流程</w:t>
            </w:r>
          </w:p>
        </w:tc>
      </w:tr>
      <w:tr>
        <w:trPr>
          <w:trHeight w:val="30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体验，满足校园财务管理下的各业务部门多元化的收费场景需求</w:t>
            </w:r>
          </w:p>
        </w:tc>
      </w:tr>
      <w:tr>
        <w:trPr>
          <w:trHeight w:val="31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、基于前后端分离技术实现了客户个性化和宿主多元化的需求，构建了可扩展性的异构缴费系统对</w:t>
            </w:r>
          </w:p>
        </w:tc>
      </w:tr>
      <w:tr>
        <w:trPr>
          <w:trHeight w:val="25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接模式和无业务系统的灵活扩展</w:t>
            </w:r>
          </w:p>
        </w:tc>
      </w:tr>
      <w:tr>
        <w:trPr>
          <w:trHeight w:val="674" w:hRule="exact"/>
        </w:trPr>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w:t>
            </w:r>
          </w:p>
        </w:tc>
        <w:tc>
          <w:tcPr>
            <w:tcW w:w="1699" w:type="dxa"/>
            <w:tcBorders>
              <w:top w:val="nil" w:sz="6" w:space="0" w:color="auto"/>
              <w:left w:val="single" w:sz="6" w:space="0" w:color="000000"/>
              <w:bottom w:val="nil" w:sz="6" w:space="0" w:color="auto"/>
              <w:right w:val="single" w:sz="6" w:space="0" w:color="000000"/>
            </w:tcBorders>
          </w:tcPr>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校园融合支付场景服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务平台</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智慧校园</w:t>
            </w:r>
          </w:p>
        </w:tc>
        <w:tc>
          <w:tcPr>
            <w:tcW w:w="170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结项，已经开始销售</w:t>
            </w:r>
          </w:p>
        </w:tc>
        <w:tc>
          <w:tcPr>
            <w:tcW w:w="1700"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2019/4/10-2019/12/30</w:t>
            </w: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300" w:lineRule="auto" w:before="60"/>
              <w:ind w:left="3"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、与银行聚合支付无缝对接，构建线下行业系统</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互联网支付融合技术路径，提供线上加线下、有 卡加无卡，覆盖校园全支付场景的解决方案</w:t>
            </w:r>
          </w:p>
        </w:tc>
      </w:tr>
      <w:tr>
        <w:trPr>
          <w:trHeight w:val="31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、完善大数据能力。与校园周边商户管理系统对接，实现了财务管理统一报表视图，引入大数据分</w:t>
            </w:r>
          </w:p>
        </w:tc>
      </w:tr>
      <w:tr>
        <w:trPr>
          <w:trHeight w:val="30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析技术，提供统计分析和数据挖掘功能及便捷的图形化操作、业务建模等功能；</w:t>
            </w:r>
          </w:p>
        </w:tc>
      </w:tr>
      <w:tr>
        <w:trPr>
          <w:trHeight w:val="31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、卡支付接入扩展性。平台提供的支付能力可以扩展到线下</w:t>
            </w:r>
            <w:r>
              <w:rPr>
                <w:rFonts w:ascii="Times New Roman" w:hAnsi="Times New Roman" w:cs="Times New Roman" w:eastAsia="Times New Roman" w:hint="default"/>
                <w:sz w:val="18"/>
                <w:szCs w:val="18"/>
              </w:rPr>
              <w:t>pos</w:t>
            </w:r>
            <w:r>
              <w:rPr>
                <w:rFonts w:ascii="宋体" w:hAnsi="宋体" w:cs="宋体" w:eastAsia="宋体" w:hint="default"/>
                <w:sz w:val="18"/>
                <w:szCs w:val="18"/>
              </w:rPr>
              <w:t>系统接入，一方面为线下受理终端</w:t>
            </w:r>
          </w:p>
        </w:tc>
      </w:tr>
      <w:tr>
        <w:trPr>
          <w:trHeight w:val="324" w:hRule="exact"/>
        </w:trPr>
        <w:tc>
          <w:tcPr>
            <w:tcW w:w="710" w:type="dxa"/>
            <w:tcBorders>
              <w:top w:val="nil" w:sz="6" w:space="0" w:color="auto"/>
              <w:left w:val="single" w:sz="6" w:space="0" w:color="000000"/>
              <w:bottom w:val="single" w:sz="6" w:space="0" w:color="000000"/>
              <w:right w:val="single" w:sz="6" w:space="0" w:color="000000"/>
            </w:tcBorders>
          </w:tcPr>
          <w:p>
            <w:pPr/>
          </w:p>
        </w:tc>
        <w:tc>
          <w:tcPr>
            <w:tcW w:w="1699"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1702" w:type="dxa"/>
            <w:tcBorders>
              <w:top w:val="nil" w:sz="6" w:space="0" w:color="auto"/>
              <w:left w:val="single" w:sz="6" w:space="0" w:color="000000"/>
              <w:bottom w:val="single" w:sz="6" w:space="0" w:color="000000"/>
              <w:right w:val="single" w:sz="6" w:space="0" w:color="000000"/>
            </w:tcBorders>
          </w:tcPr>
          <w:p>
            <w:pPr/>
          </w:p>
        </w:tc>
        <w:tc>
          <w:tcPr>
            <w:tcW w:w="1700" w:type="dxa"/>
            <w:tcBorders>
              <w:top w:val="nil" w:sz="6" w:space="0" w:color="auto"/>
              <w:left w:val="single" w:sz="6" w:space="0" w:color="000000"/>
              <w:bottom w:val="single" w:sz="6" w:space="0" w:color="000000"/>
              <w:right w:val="single" w:sz="6" w:space="0" w:color="000000"/>
            </w:tcBorders>
          </w:tcPr>
          <w:p>
            <w:pPr/>
          </w:p>
        </w:tc>
        <w:tc>
          <w:tcPr>
            <w:tcW w:w="779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提供聚合码支付的能力，另一方面能够融合线下卡钱包，提供线上支付能力，应用在线上支付场景</w:t>
            </w:r>
          </w:p>
        </w:tc>
      </w:tr>
      <w:tr>
        <w:trPr>
          <w:trHeight w:val="358" w:hRule="exact"/>
        </w:trPr>
        <w:tc>
          <w:tcPr>
            <w:tcW w:w="710" w:type="dxa"/>
            <w:tcBorders>
              <w:top w:val="single" w:sz="6" w:space="0" w:color="000000"/>
              <w:left w:val="single" w:sz="6" w:space="0" w:color="000000"/>
              <w:bottom w:val="nil" w:sz="6" w:space="0" w:color="auto"/>
              <w:right w:val="single" w:sz="6" w:space="0" w:color="000000"/>
            </w:tcBorders>
          </w:tcPr>
          <w:p>
            <w:pPr/>
          </w:p>
        </w:tc>
        <w:tc>
          <w:tcPr>
            <w:tcW w:w="169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校园融合身份场景服</w:t>
            </w:r>
          </w:p>
        </w:tc>
        <w:tc>
          <w:tcPr>
            <w:tcW w:w="1134" w:type="dxa"/>
            <w:tcBorders>
              <w:top w:val="single" w:sz="6" w:space="0" w:color="000000"/>
              <w:left w:val="single" w:sz="6" w:space="0" w:color="000000"/>
              <w:bottom w:val="nil" w:sz="6" w:space="0" w:color="auto"/>
              <w:right w:val="single" w:sz="6" w:space="0" w:color="000000"/>
            </w:tcBorders>
          </w:tcPr>
          <w:p>
            <w:pPr/>
          </w:p>
        </w:tc>
        <w:tc>
          <w:tcPr>
            <w:tcW w:w="1702" w:type="dxa"/>
            <w:tcBorders>
              <w:top w:val="single" w:sz="6" w:space="0" w:color="000000"/>
              <w:left w:val="single" w:sz="6" w:space="0" w:color="000000"/>
              <w:bottom w:val="nil" w:sz="6" w:space="0" w:color="auto"/>
              <w:right w:val="single" w:sz="6" w:space="0" w:color="000000"/>
            </w:tcBorders>
          </w:tcPr>
          <w:p>
            <w:pPr/>
          </w:p>
        </w:tc>
        <w:tc>
          <w:tcPr>
            <w:tcW w:w="1700" w:type="dxa"/>
            <w:tcBorders>
              <w:top w:val="single" w:sz="6" w:space="0" w:color="000000"/>
              <w:left w:val="single" w:sz="6" w:space="0" w:color="000000"/>
              <w:bottom w:val="nil" w:sz="6" w:space="0" w:color="auto"/>
              <w:right w:val="single" w:sz="6" w:space="0" w:color="000000"/>
            </w:tcBorders>
          </w:tcPr>
          <w:p>
            <w:pPr/>
          </w:p>
        </w:tc>
        <w:tc>
          <w:tcPr>
            <w:tcW w:w="779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、统一运营管理系统：</w:t>
            </w:r>
            <w:r>
              <w:rPr>
                <w:rFonts w:ascii="宋体" w:hAnsi="宋体" w:cs="宋体" w:eastAsia="宋体" w:hint="default"/>
                <w:spacing w:val="34"/>
                <w:sz w:val="18"/>
                <w:szCs w:val="18"/>
              </w:rPr>
              <w:t> </w:t>
            </w:r>
            <w:r>
              <w:rPr>
                <w:rFonts w:ascii="宋体" w:hAnsi="宋体" w:cs="宋体" w:eastAsia="宋体" w:hint="default"/>
                <w:sz w:val="18"/>
                <w:szCs w:val="18"/>
              </w:rPr>
              <w:t>针对各个应用进行统一管理、针对不同角色进行授权管理、针对校方需求</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0"/>
              <w:jc w:val="center"/>
              <w:rPr>
                <w:rFonts w:ascii="Times New Roman" w:hAnsi="Times New Roman" w:cs="Times New Roman" w:eastAsia="Times New Roman" w:hint="default"/>
                <w:sz w:val="18"/>
                <w:szCs w:val="18"/>
              </w:rPr>
            </w:pPr>
            <w:r>
              <w:rPr>
                <w:rFonts w:ascii="Times New Roman"/>
                <w:sz w:val="18"/>
              </w:rPr>
              <w:t>18</w:t>
            </w:r>
          </w:p>
        </w:tc>
        <w:tc>
          <w:tcPr>
            <w:tcW w:w="1699" w:type="dxa"/>
            <w:tcBorders>
              <w:top w:val="nil" w:sz="6" w:space="0" w:color="auto"/>
              <w:left w:val="single" w:sz="6" w:space="0" w:color="000000"/>
              <w:bottom w:val="nil" w:sz="6" w:space="0" w:color="auto"/>
              <w:right w:val="single" w:sz="6" w:space="0" w:color="000000"/>
            </w:tcBorders>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务平台</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18" w:lineRule="exact"/>
              <w:ind w:right="197"/>
              <w:jc w:val="right"/>
              <w:rPr>
                <w:rFonts w:ascii="宋体" w:hAnsi="宋体" w:cs="宋体" w:eastAsia="宋体" w:hint="default"/>
                <w:sz w:val="18"/>
                <w:szCs w:val="18"/>
              </w:rPr>
            </w:pPr>
            <w:r>
              <w:rPr>
                <w:rFonts w:ascii="宋体" w:hAnsi="宋体" w:cs="宋体" w:eastAsia="宋体" w:hint="default"/>
                <w:sz w:val="18"/>
                <w:szCs w:val="18"/>
              </w:rPr>
              <w:t>智慧校园</w:t>
            </w:r>
          </w:p>
        </w:tc>
        <w:tc>
          <w:tcPr>
            <w:tcW w:w="1702" w:type="dxa"/>
            <w:tcBorders>
              <w:top w:val="nil" w:sz="6" w:space="0" w:color="auto"/>
              <w:left w:val="single" w:sz="6" w:space="0" w:color="000000"/>
              <w:bottom w:val="nil" w:sz="6" w:space="0" w:color="auto"/>
              <w:right w:val="single" w:sz="6" w:space="0" w:color="000000"/>
            </w:tcBorders>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t>测试阶段</w:t>
            </w:r>
          </w:p>
        </w:tc>
        <w:tc>
          <w:tcPr>
            <w:tcW w:w="1700"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82" w:right="0"/>
              <w:jc w:val="left"/>
              <w:rPr>
                <w:rFonts w:ascii="Times New Roman" w:hAnsi="Times New Roman" w:cs="Times New Roman" w:eastAsia="Times New Roman" w:hint="default"/>
                <w:sz w:val="18"/>
                <w:szCs w:val="18"/>
              </w:rPr>
            </w:pPr>
            <w:r>
              <w:rPr>
                <w:rFonts w:ascii="Times New Roman"/>
                <w:sz w:val="18"/>
              </w:rPr>
              <w:t>2019/3/15-2020/2/25</w:t>
            </w: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31" w:lineRule="exact"/>
              <w:ind w:left="3" w:right="0"/>
              <w:jc w:val="left"/>
              <w:rPr>
                <w:rFonts w:ascii="宋体" w:hAnsi="宋体" w:cs="宋体" w:eastAsia="宋体" w:hint="default"/>
                <w:sz w:val="18"/>
                <w:szCs w:val="18"/>
              </w:rPr>
            </w:pPr>
            <w:r>
              <w:rPr>
                <w:rFonts w:ascii="宋体" w:hAnsi="宋体" w:cs="宋体" w:eastAsia="宋体" w:hint="default"/>
                <w:sz w:val="18"/>
                <w:szCs w:val="18"/>
              </w:rPr>
              <w:t>数据进行统计分析、对整个系统进行运营管理。包括人脸通道</w:t>
            </w:r>
            <w:r>
              <w:rPr>
                <w:rFonts w:ascii="Times New Roman" w:hAnsi="Times New Roman" w:cs="Times New Roman" w:eastAsia="Times New Roman" w:hint="default"/>
                <w:sz w:val="18"/>
                <w:szCs w:val="18"/>
              </w:rPr>
              <w:t>+</w:t>
            </w:r>
            <w:r>
              <w:rPr>
                <w:rFonts w:ascii="宋体" w:hAnsi="宋体" w:cs="宋体" w:eastAsia="宋体" w:hint="default"/>
                <w:sz w:val="18"/>
                <w:szCs w:val="18"/>
              </w:rPr>
              <w:t>宿管</w:t>
            </w:r>
            <w:r>
              <w:rPr>
                <w:rFonts w:ascii="Times New Roman" w:hAnsi="Times New Roman" w:cs="Times New Roman" w:eastAsia="Times New Roman" w:hint="default"/>
                <w:sz w:val="18"/>
                <w:szCs w:val="18"/>
              </w:rPr>
              <w:t>+</w:t>
            </w:r>
            <w:r>
              <w:rPr>
                <w:rFonts w:ascii="宋体" w:hAnsi="宋体" w:cs="宋体" w:eastAsia="宋体" w:hint="default"/>
                <w:sz w:val="18"/>
                <w:szCs w:val="18"/>
              </w:rPr>
              <w:t>电控联动、访客管理对接、数</w:t>
            </w:r>
          </w:p>
        </w:tc>
      </w:tr>
      <w:tr>
        <w:trPr>
          <w:trHeight w:val="302" w:hRule="exact"/>
        </w:trPr>
        <w:tc>
          <w:tcPr>
            <w:tcW w:w="710" w:type="dxa"/>
            <w:tcBorders>
              <w:top w:val="nil" w:sz="6" w:space="0" w:color="auto"/>
              <w:left w:val="single" w:sz="6" w:space="0" w:color="000000"/>
              <w:bottom w:val="single" w:sz="6" w:space="0" w:color="000000"/>
              <w:right w:val="single" w:sz="6" w:space="0" w:color="000000"/>
            </w:tcBorders>
          </w:tcPr>
          <w:p>
            <w:pPr/>
          </w:p>
        </w:tc>
        <w:tc>
          <w:tcPr>
            <w:tcW w:w="1699"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1702" w:type="dxa"/>
            <w:tcBorders>
              <w:top w:val="nil" w:sz="6" w:space="0" w:color="auto"/>
              <w:left w:val="single" w:sz="6" w:space="0" w:color="000000"/>
              <w:bottom w:val="single" w:sz="6" w:space="0" w:color="000000"/>
              <w:right w:val="single" w:sz="6" w:space="0" w:color="000000"/>
            </w:tcBorders>
          </w:tcPr>
          <w:p>
            <w:pPr/>
          </w:p>
        </w:tc>
        <w:tc>
          <w:tcPr>
            <w:tcW w:w="1700" w:type="dxa"/>
            <w:tcBorders>
              <w:top w:val="nil" w:sz="6" w:space="0" w:color="auto"/>
              <w:left w:val="single" w:sz="6" w:space="0" w:color="000000"/>
              <w:bottom w:val="single" w:sz="6" w:space="0" w:color="000000"/>
              <w:right w:val="single" w:sz="6" w:space="0" w:color="000000"/>
            </w:tcBorders>
          </w:tcPr>
          <w:p>
            <w:pPr/>
          </w:p>
        </w:tc>
        <w:tc>
          <w:tcPr>
            <w:tcW w:w="7798" w:type="dxa"/>
            <w:tcBorders>
              <w:top w:val="nil" w:sz="6" w:space="0" w:color="auto"/>
              <w:left w:val="single" w:sz="6" w:space="0" w:color="000000"/>
              <w:bottom w:val="single" w:sz="6" w:space="0" w:color="000000"/>
              <w:right w:val="single" w:sz="6" w:space="0" w:color="000000"/>
            </w:tcBorders>
          </w:tcPr>
          <w:p>
            <w:pPr>
              <w:pStyle w:val="TableParagraph"/>
              <w:spacing w:line="218" w:lineRule="exact"/>
              <w:ind w:left="3" w:right="0"/>
              <w:jc w:val="left"/>
              <w:rPr>
                <w:rFonts w:ascii="宋体" w:hAnsi="宋体" w:cs="宋体" w:eastAsia="宋体" w:hint="default"/>
                <w:sz w:val="18"/>
                <w:szCs w:val="18"/>
              </w:rPr>
            </w:pPr>
            <w:r>
              <w:rPr>
                <w:rFonts w:ascii="宋体" w:hAnsi="宋体" w:cs="宋体" w:eastAsia="宋体" w:hint="default"/>
                <w:sz w:val="18"/>
                <w:szCs w:val="18"/>
              </w:rPr>
              <w:t>据统计和推送等。</w:t>
            </w:r>
          </w:p>
        </w:tc>
      </w:tr>
    </w:tbl>
    <w:p>
      <w:pPr>
        <w:spacing w:after="0" w:line="218" w:lineRule="exact"/>
        <w:jc w:val="left"/>
        <w:rPr>
          <w:rFonts w:ascii="宋体" w:hAnsi="宋体" w:cs="宋体" w:eastAsia="宋体" w:hint="default"/>
          <w:sz w:val="18"/>
          <w:szCs w:val="18"/>
        </w:rPr>
        <w:sectPr>
          <w:pgSz w:w="16840" w:h="11910" w:orient="landscape"/>
          <w:pgMar w:header="867" w:footer="978" w:top="1060" w:bottom="1240" w:left="1320" w:right="540"/>
        </w:sectPr>
      </w:pPr>
    </w:p>
    <w:p>
      <w:pPr>
        <w:spacing w:line="240" w:lineRule="auto" w:before="0"/>
        <w:rPr>
          <w:rFonts w:ascii="Times New Roman" w:hAnsi="Times New Roman" w:cs="Times New Roman" w:eastAsia="Times New Roman" w:hint="default"/>
          <w:sz w:val="20"/>
          <w:szCs w:val="20"/>
        </w:rPr>
      </w:pPr>
      <w:r>
        <w:rPr/>
        <w:pict>
          <v:shape style="position:absolute;margin-left:71.630997pt;margin-top:55.259998pt;width:738.25pt;height:475.45pt;mso-position-horizontal-relative:page;mso-position-vertical-relative:page;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10"/>
                    <w:gridCol w:w="1699"/>
                    <w:gridCol w:w="1134"/>
                    <w:gridCol w:w="1702"/>
                    <w:gridCol w:w="1700"/>
                    <w:gridCol w:w="7798"/>
                  </w:tblGrid>
                  <w:tr>
                    <w:trPr>
                      <w:trHeight w:val="349" w:hRule="exact"/>
                    </w:trPr>
                    <w:tc>
                      <w:tcPr>
                        <w:tcW w:w="710" w:type="dxa"/>
                        <w:vMerge w:val="restart"/>
                        <w:tcBorders>
                          <w:top w:val="single" w:sz="17" w:space="0" w:color="000000"/>
                          <w:left w:val="single" w:sz="6" w:space="0" w:color="000000"/>
                          <w:right w:val="single" w:sz="6" w:space="0" w:color="000000"/>
                        </w:tcBorders>
                      </w:tcPr>
                      <w:p>
                        <w:pPr/>
                      </w:p>
                    </w:tc>
                    <w:tc>
                      <w:tcPr>
                        <w:tcW w:w="1699" w:type="dxa"/>
                        <w:vMerge w:val="restart"/>
                        <w:tcBorders>
                          <w:top w:val="single" w:sz="17" w:space="0" w:color="000000"/>
                          <w:left w:val="single" w:sz="6" w:space="0" w:color="000000"/>
                          <w:right w:val="single" w:sz="6" w:space="0" w:color="000000"/>
                        </w:tcBorders>
                      </w:tcPr>
                      <w:p>
                        <w:pPr/>
                      </w:p>
                    </w:tc>
                    <w:tc>
                      <w:tcPr>
                        <w:tcW w:w="1134" w:type="dxa"/>
                        <w:vMerge w:val="restart"/>
                        <w:tcBorders>
                          <w:top w:val="single" w:sz="17" w:space="0" w:color="000000"/>
                          <w:left w:val="single" w:sz="6" w:space="0" w:color="000000"/>
                          <w:right w:val="single" w:sz="6" w:space="0" w:color="000000"/>
                        </w:tcBorders>
                      </w:tcPr>
                      <w:p>
                        <w:pPr/>
                      </w:p>
                    </w:tc>
                    <w:tc>
                      <w:tcPr>
                        <w:tcW w:w="1702" w:type="dxa"/>
                        <w:vMerge w:val="restart"/>
                        <w:tcBorders>
                          <w:top w:val="single" w:sz="17" w:space="0" w:color="000000"/>
                          <w:left w:val="single" w:sz="6" w:space="0" w:color="000000"/>
                          <w:right w:val="single" w:sz="6" w:space="0" w:color="000000"/>
                        </w:tcBorders>
                      </w:tcPr>
                      <w:p>
                        <w:pPr/>
                      </w:p>
                    </w:tc>
                    <w:tc>
                      <w:tcPr>
                        <w:tcW w:w="1700" w:type="dxa"/>
                        <w:vMerge w:val="restart"/>
                        <w:tcBorders>
                          <w:top w:val="single" w:sz="17" w:space="0" w:color="000000"/>
                          <w:left w:val="single" w:sz="6" w:space="0" w:color="000000"/>
                          <w:right w:val="single" w:sz="6" w:space="0" w:color="000000"/>
                        </w:tcBorders>
                      </w:tcPr>
                      <w:p>
                        <w:pPr/>
                      </w:p>
                    </w:tc>
                    <w:tc>
                      <w:tcPr>
                        <w:tcW w:w="7798" w:type="dxa"/>
                        <w:tcBorders>
                          <w:top w:val="single" w:sz="17"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、人脸认证服务平台：通过系统管理、信息管理、报表查询、定时调度等模块实现基础的人员信息</w:t>
                        </w:r>
                      </w:p>
                    </w:tc>
                  </w:tr>
                  <w:tr>
                    <w:trPr>
                      <w:trHeight w:val="312" w:hRule="exact"/>
                    </w:trPr>
                    <w:tc>
                      <w:tcPr>
                        <w:tcW w:w="710" w:type="dxa"/>
                        <w:vMerge/>
                        <w:tcBorders>
                          <w:left w:val="single" w:sz="6" w:space="0" w:color="000000"/>
                          <w:right w:val="single" w:sz="6" w:space="0" w:color="000000"/>
                        </w:tcBorders>
                      </w:tcPr>
                      <w:p>
                        <w:pPr/>
                      </w:p>
                    </w:tc>
                    <w:tc>
                      <w:tcPr>
                        <w:tcW w:w="1699" w:type="dxa"/>
                        <w:vMerge/>
                        <w:tcBorders>
                          <w:left w:val="single" w:sz="6" w:space="0" w:color="000000"/>
                          <w:right w:val="single" w:sz="6" w:space="0" w:color="000000"/>
                        </w:tcBorders>
                      </w:tcPr>
                      <w:p>
                        <w:pPr/>
                      </w:p>
                    </w:tc>
                    <w:tc>
                      <w:tcPr>
                        <w:tcW w:w="1134" w:type="dxa"/>
                        <w:vMerge/>
                        <w:tcBorders>
                          <w:left w:val="single" w:sz="6" w:space="0" w:color="000000"/>
                          <w:right w:val="single" w:sz="6" w:space="0" w:color="000000"/>
                        </w:tcBorders>
                      </w:tcPr>
                      <w:p>
                        <w:pPr/>
                      </w:p>
                    </w:tc>
                    <w:tc>
                      <w:tcPr>
                        <w:tcW w:w="1702" w:type="dxa"/>
                        <w:vMerge/>
                        <w:tcBorders>
                          <w:left w:val="single" w:sz="6" w:space="0" w:color="000000"/>
                          <w:right w:val="single" w:sz="6" w:space="0" w:color="000000"/>
                        </w:tcBorders>
                      </w:tcPr>
                      <w:p>
                        <w:pPr/>
                      </w:p>
                    </w:tc>
                    <w:tc>
                      <w:tcPr>
                        <w:tcW w:w="1700" w:type="dxa"/>
                        <w:vMerge/>
                        <w:tcBorders>
                          <w:left w:val="single" w:sz="6" w:space="0" w:color="000000"/>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pacing w:val="-2"/>
                            <w:sz w:val="18"/>
                            <w:szCs w:val="18"/>
                          </w:rPr>
                          <w:t>管理、设备管理和分组管理；通过识别服务提供标准的对接</w:t>
                        </w:r>
                        <w:r>
                          <w:rPr>
                            <w:rFonts w:ascii="Times New Roman" w:hAnsi="Times New Roman" w:cs="Times New Roman" w:eastAsia="Times New Roman" w:hint="default"/>
                            <w:spacing w:val="-2"/>
                            <w:sz w:val="18"/>
                            <w:szCs w:val="18"/>
                          </w:rPr>
                          <w:t>API</w:t>
                        </w:r>
                        <w:r>
                          <w:rPr>
                            <w:rFonts w:ascii="宋体" w:hAnsi="宋体" w:cs="宋体" w:eastAsia="宋体" w:hint="default"/>
                            <w:spacing w:val="-2"/>
                            <w:sz w:val="18"/>
                            <w:szCs w:val="18"/>
                          </w:rPr>
                          <w:t>和接入规范，支持各场景下业务系统</w:t>
                        </w:r>
                      </w:p>
                    </w:tc>
                  </w:tr>
                  <w:tr>
                    <w:trPr>
                      <w:trHeight w:val="307" w:hRule="exact"/>
                    </w:trPr>
                    <w:tc>
                      <w:tcPr>
                        <w:tcW w:w="710" w:type="dxa"/>
                        <w:vMerge/>
                        <w:tcBorders>
                          <w:left w:val="single" w:sz="6" w:space="0" w:color="000000"/>
                          <w:right w:val="single" w:sz="6" w:space="0" w:color="000000"/>
                        </w:tcBorders>
                      </w:tcPr>
                      <w:p>
                        <w:pPr/>
                      </w:p>
                    </w:tc>
                    <w:tc>
                      <w:tcPr>
                        <w:tcW w:w="1699" w:type="dxa"/>
                        <w:vMerge/>
                        <w:tcBorders>
                          <w:left w:val="single" w:sz="6" w:space="0" w:color="000000"/>
                          <w:right w:val="single" w:sz="6" w:space="0" w:color="000000"/>
                        </w:tcBorders>
                      </w:tcPr>
                      <w:p>
                        <w:pPr/>
                      </w:p>
                    </w:tc>
                    <w:tc>
                      <w:tcPr>
                        <w:tcW w:w="1134" w:type="dxa"/>
                        <w:vMerge/>
                        <w:tcBorders>
                          <w:left w:val="single" w:sz="6" w:space="0" w:color="000000"/>
                          <w:right w:val="single" w:sz="6" w:space="0" w:color="000000"/>
                        </w:tcBorders>
                      </w:tcPr>
                      <w:p>
                        <w:pPr/>
                      </w:p>
                    </w:tc>
                    <w:tc>
                      <w:tcPr>
                        <w:tcW w:w="1702" w:type="dxa"/>
                        <w:vMerge/>
                        <w:tcBorders>
                          <w:left w:val="single" w:sz="6" w:space="0" w:color="000000"/>
                          <w:right w:val="single" w:sz="6" w:space="0" w:color="000000"/>
                        </w:tcBorders>
                      </w:tcPr>
                      <w:p>
                        <w:pPr/>
                      </w:p>
                    </w:tc>
                    <w:tc>
                      <w:tcPr>
                        <w:tcW w:w="1700" w:type="dxa"/>
                        <w:vMerge/>
                        <w:tcBorders>
                          <w:left w:val="single" w:sz="6" w:space="0" w:color="000000"/>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的接入；系统具备识别参数灵活配置、支持多终端多场景接入、批量数据导入导出、可视化报表查</w:t>
                        </w:r>
                      </w:p>
                    </w:tc>
                  </w:tr>
                  <w:tr>
                    <w:trPr>
                      <w:trHeight w:val="312" w:hRule="exact"/>
                    </w:trPr>
                    <w:tc>
                      <w:tcPr>
                        <w:tcW w:w="710" w:type="dxa"/>
                        <w:vMerge/>
                        <w:tcBorders>
                          <w:left w:val="single" w:sz="6" w:space="0" w:color="000000"/>
                          <w:right w:val="single" w:sz="6" w:space="0" w:color="000000"/>
                        </w:tcBorders>
                      </w:tcPr>
                      <w:p>
                        <w:pPr/>
                      </w:p>
                    </w:tc>
                    <w:tc>
                      <w:tcPr>
                        <w:tcW w:w="1699" w:type="dxa"/>
                        <w:vMerge/>
                        <w:tcBorders>
                          <w:left w:val="single" w:sz="6" w:space="0" w:color="000000"/>
                          <w:right w:val="single" w:sz="6" w:space="0" w:color="000000"/>
                        </w:tcBorders>
                      </w:tcPr>
                      <w:p>
                        <w:pPr/>
                      </w:p>
                    </w:tc>
                    <w:tc>
                      <w:tcPr>
                        <w:tcW w:w="1134" w:type="dxa"/>
                        <w:vMerge/>
                        <w:tcBorders>
                          <w:left w:val="single" w:sz="6" w:space="0" w:color="000000"/>
                          <w:right w:val="single" w:sz="6" w:space="0" w:color="000000"/>
                        </w:tcBorders>
                      </w:tcPr>
                      <w:p>
                        <w:pPr/>
                      </w:p>
                    </w:tc>
                    <w:tc>
                      <w:tcPr>
                        <w:tcW w:w="1702" w:type="dxa"/>
                        <w:vMerge/>
                        <w:tcBorders>
                          <w:left w:val="single" w:sz="6" w:space="0" w:color="000000"/>
                          <w:right w:val="single" w:sz="6" w:space="0" w:color="000000"/>
                        </w:tcBorders>
                      </w:tcPr>
                      <w:p>
                        <w:pPr/>
                      </w:p>
                    </w:tc>
                    <w:tc>
                      <w:tcPr>
                        <w:tcW w:w="1700" w:type="dxa"/>
                        <w:vMerge/>
                        <w:tcBorders>
                          <w:left w:val="single" w:sz="6" w:space="0" w:color="000000"/>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看等特点。</w:t>
                        </w:r>
                      </w:p>
                    </w:tc>
                  </w:tr>
                  <w:tr>
                    <w:trPr>
                      <w:trHeight w:val="317" w:hRule="exact"/>
                    </w:trPr>
                    <w:tc>
                      <w:tcPr>
                        <w:tcW w:w="710" w:type="dxa"/>
                        <w:vMerge/>
                        <w:tcBorders>
                          <w:left w:val="single" w:sz="6" w:space="0" w:color="000000"/>
                          <w:right w:val="single" w:sz="6" w:space="0" w:color="000000"/>
                        </w:tcBorders>
                      </w:tcPr>
                      <w:p>
                        <w:pPr/>
                      </w:p>
                    </w:tc>
                    <w:tc>
                      <w:tcPr>
                        <w:tcW w:w="1699" w:type="dxa"/>
                        <w:vMerge/>
                        <w:tcBorders>
                          <w:left w:val="single" w:sz="6" w:space="0" w:color="000000"/>
                          <w:right w:val="single" w:sz="6" w:space="0" w:color="000000"/>
                        </w:tcBorders>
                      </w:tcPr>
                      <w:p>
                        <w:pPr/>
                      </w:p>
                    </w:tc>
                    <w:tc>
                      <w:tcPr>
                        <w:tcW w:w="1134" w:type="dxa"/>
                        <w:vMerge/>
                        <w:tcBorders>
                          <w:left w:val="single" w:sz="6" w:space="0" w:color="000000"/>
                          <w:right w:val="single" w:sz="6" w:space="0" w:color="000000"/>
                        </w:tcBorders>
                      </w:tcPr>
                      <w:p>
                        <w:pPr/>
                      </w:p>
                    </w:tc>
                    <w:tc>
                      <w:tcPr>
                        <w:tcW w:w="1702" w:type="dxa"/>
                        <w:vMerge/>
                        <w:tcBorders>
                          <w:left w:val="single" w:sz="6" w:space="0" w:color="000000"/>
                          <w:right w:val="single" w:sz="6" w:space="0" w:color="000000"/>
                        </w:tcBorders>
                      </w:tcPr>
                      <w:p>
                        <w:pPr/>
                      </w:p>
                    </w:tc>
                    <w:tc>
                      <w:tcPr>
                        <w:tcW w:w="1700" w:type="dxa"/>
                        <w:vMerge/>
                        <w:tcBorders>
                          <w:left w:val="single" w:sz="6" w:space="0" w:color="000000"/>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、人脸识别通道服务：通过对特定区域人员进行出入管控，防止未经授权的非法人员随意出入特定</w:t>
                        </w:r>
                      </w:p>
                    </w:tc>
                  </w:tr>
                  <w:tr>
                    <w:trPr>
                      <w:trHeight w:val="307" w:hRule="exact"/>
                    </w:trPr>
                    <w:tc>
                      <w:tcPr>
                        <w:tcW w:w="710" w:type="dxa"/>
                        <w:vMerge/>
                        <w:tcBorders>
                          <w:left w:val="single" w:sz="6" w:space="0" w:color="000000"/>
                          <w:right w:val="single" w:sz="6" w:space="0" w:color="000000"/>
                        </w:tcBorders>
                      </w:tcPr>
                      <w:p>
                        <w:pPr/>
                      </w:p>
                    </w:tc>
                    <w:tc>
                      <w:tcPr>
                        <w:tcW w:w="1699" w:type="dxa"/>
                        <w:vMerge/>
                        <w:tcBorders>
                          <w:left w:val="single" w:sz="6" w:space="0" w:color="000000"/>
                          <w:right w:val="single" w:sz="6" w:space="0" w:color="000000"/>
                        </w:tcBorders>
                      </w:tcPr>
                      <w:p>
                        <w:pPr/>
                      </w:p>
                    </w:tc>
                    <w:tc>
                      <w:tcPr>
                        <w:tcW w:w="1134" w:type="dxa"/>
                        <w:vMerge/>
                        <w:tcBorders>
                          <w:left w:val="single" w:sz="6" w:space="0" w:color="000000"/>
                          <w:right w:val="single" w:sz="6" w:space="0" w:color="000000"/>
                        </w:tcBorders>
                      </w:tcPr>
                      <w:p>
                        <w:pPr/>
                      </w:p>
                    </w:tc>
                    <w:tc>
                      <w:tcPr>
                        <w:tcW w:w="1702" w:type="dxa"/>
                        <w:vMerge/>
                        <w:tcBorders>
                          <w:left w:val="single" w:sz="6" w:space="0" w:color="000000"/>
                          <w:right w:val="single" w:sz="6" w:space="0" w:color="000000"/>
                        </w:tcBorders>
                      </w:tcPr>
                      <w:p>
                        <w:pPr/>
                      </w:p>
                    </w:tc>
                    <w:tc>
                      <w:tcPr>
                        <w:tcW w:w="1700" w:type="dxa"/>
                        <w:vMerge/>
                        <w:tcBorders>
                          <w:left w:val="single" w:sz="6" w:space="0" w:color="000000"/>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场所，统一泛门禁管理，可联动授权，与宿管系统、安防系统、电控系统、访客系统等进行数据交</w:t>
                        </w:r>
                      </w:p>
                    </w:tc>
                  </w:tr>
                  <w:tr>
                    <w:trPr>
                      <w:trHeight w:val="312" w:hRule="exact"/>
                    </w:trPr>
                    <w:tc>
                      <w:tcPr>
                        <w:tcW w:w="710" w:type="dxa"/>
                        <w:vMerge/>
                        <w:tcBorders>
                          <w:left w:val="single" w:sz="6" w:space="0" w:color="000000"/>
                          <w:right w:val="single" w:sz="6" w:space="0" w:color="000000"/>
                        </w:tcBorders>
                      </w:tcPr>
                      <w:p>
                        <w:pPr/>
                      </w:p>
                    </w:tc>
                    <w:tc>
                      <w:tcPr>
                        <w:tcW w:w="1699" w:type="dxa"/>
                        <w:vMerge/>
                        <w:tcBorders>
                          <w:left w:val="single" w:sz="6" w:space="0" w:color="000000"/>
                          <w:right w:val="single" w:sz="6" w:space="0" w:color="000000"/>
                        </w:tcBorders>
                      </w:tcPr>
                      <w:p>
                        <w:pPr/>
                      </w:p>
                    </w:tc>
                    <w:tc>
                      <w:tcPr>
                        <w:tcW w:w="1134" w:type="dxa"/>
                        <w:vMerge/>
                        <w:tcBorders>
                          <w:left w:val="single" w:sz="6" w:space="0" w:color="000000"/>
                          <w:right w:val="single" w:sz="6" w:space="0" w:color="000000"/>
                        </w:tcBorders>
                      </w:tcPr>
                      <w:p>
                        <w:pPr/>
                      </w:p>
                    </w:tc>
                    <w:tc>
                      <w:tcPr>
                        <w:tcW w:w="1702" w:type="dxa"/>
                        <w:vMerge/>
                        <w:tcBorders>
                          <w:left w:val="single" w:sz="6" w:space="0" w:color="000000"/>
                          <w:right w:val="single" w:sz="6" w:space="0" w:color="000000"/>
                        </w:tcBorders>
                      </w:tcPr>
                      <w:p>
                        <w:pPr/>
                      </w:p>
                    </w:tc>
                    <w:tc>
                      <w:tcPr>
                        <w:tcW w:w="1700" w:type="dxa"/>
                        <w:vMerge/>
                        <w:tcBorders>
                          <w:left w:val="single" w:sz="6" w:space="0" w:color="000000"/>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换，统一的关联授权，支持设备开放时间、用户开放时间及授权有效期。</w:t>
                        </w:r>
                      </w:p>
                    </w:tc>
                  </w:tr>
                  <w:tr>
                    <w:trPr>
                      <w:trHeight w:val="317" w:hRule="exact"/>
                    </w:trPr>
                    <w:tc>
                      <w:tcPr>
                        <w:tcW w:w="710" w:type="dxa"/>
                        <w:vMerge/>
                        <w:tcBorders>
                          <w:left w:val="single" w:sz="6" w:space="0" w:color="000000"/>
                          <w:right w:val="single" w:sz="6" w:space="0" w:color="000000"/>
                        </w:tcBorders>
                      </w:tcPr>
                      <w:p>
                        <w:pPr/>
                      </w:p>
                    </w:tc>
                    <w:tc>
                      <w:tcPr>
                        <w:tcW w:w="1699" w:type="dxa"/>
                        <w:vMerge/>
                        <w:tcBorders>
                          <w:left w:val="single" w:sz="6" w:space="0" w:color="000000"/>
                          <w:right w:val="single" w:sz="6" w:space="0" w:color="000000"/>
                        </w:tcBorders>
                      </w:tcPr>
                      <w:p>
                        <w:pPr/>
                      </w:p>
                    </w:tc>
                    <w:tc>
                      <w:tcPr>
                        <w:tcW w:w="1134" w:type="dxa"/>
                        <w:vMerge/>
                        <w:tcBorders>
                          <w:left w:val="single" w:sz="6" w:space="0" w:color="000000"/>
                          <w:right w:val="single" w:sz="6" w:space="0" w:color="000000"/>
                        </w:tcBorders>
                      </w:tcPr>
                      <w:p>
                        <w:pPr/>
                      </w:p>
                    </w:tc>
                    <w:tc>
                      <w:tcPr>
                        <w:tcW w:w="1702" w:type="dxa"/>
                        <w:vMerge/>
                        <w:tcBorders>
                          <w:left w:val="single" w:sz="6" w:space="0" w:color="000000"/>
                          <w:right w:val="single" w:sz="6" w:space="0" w:color="000000"/>
                        </w:tcBorders>
                      </w:tcPr>
                      <w:p>
                        <w:pPr/>
                      </w:p>
                    </w:tc>
                    <w:tc>
                      <w:tcPr>
                        <w:tcW w:w="1700" w:type="dxa"/>
                        <w:vMerge/>
                        <w:tcBorders>
                          <w:left w:val="single" w:sz="6" w:space="0" w:color="000000"/>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、识别介质：支持多种认证方式，支持后续根据不同应用场景扩展身份验证。识别介质统一管理</w:t>
                        </w:r>
                      </w:p>
                    </w:tc>
                  </w:tr>
                  <w:tr>
                    <w:trPr>
                      <w:trHeight w:val="307" w:hRule="exact"/>
                    </w:trPr>
                    <w:tc>
                      <w:tcPr>
                        <w:tcW w:w="710" w:type="dxa"/>
                        <w:vMerge/>
                        <w:tcBorders>
                          <w:left w:val="single" w:sz="6" w:space="0" w:color="000000"/>
                          <w:right w:val="single" w:sz="6" w:space="0" w:color="000000"/>
                        </w:tcBorders>
                      </w:tcPr>
                      <w:p>
                        <w:pPr/>
                      </w:p>
                    </w:tc>
                    <w:tc>
                      <w:tcPr>
                        <w:tcW w:w="1699" w:type="dxa"/>
                        <w:vMerge/>
                        <w:tcBorders>
                          <w:left w:val="single" w:sz="6" w:space="0" w:color="000000"/>
                          <w:right w:val="single" w:sz="6" w:space="0" w:color="000000"/>
                        </w:tcBorders>
                      </w:tcPr>
                      <w:p>
                        <w:pPr/>
                      </w:p>
                    </w:tc>
                    <w:tc>
                      <w:tcPr>
                        <w:tcW w:w="1134" w:type="dxa"/>
                        <w:vMerge/>
                        <w:tcBorders>
                          <w:left w:val="single" w:sz="6" w:space="0" w:color="000000"/>
                          <w:right w:val="single" w:sz="6" w:space="0" w:color="000000"/>
                        </w:tcBorders>
                      </w:tcPr>
                      <w:p>
                        <w:pPr/>
                      </w:p>
                    </w:tc>
                    <w:tc>
                      <w:tcPr>
                        <w:tcW w:w="1702" w:type="dxa"/>
                        <w:vMerge/>
                        <w:tcBorders>
                          <w:left w:val="single" w:sz="6" w:space="0" w:color="000000"/>
                          <w:right w:val="single" w:sz="6" w:space="0" w:color="000000"/>
                        </w:tcBorders>
                      </w:tcPr>
                      <w:p>
                        <w:pPr/>
                      </w:p>
                    </w:tc>
                    <w:tc>
                      <w:tcPr>
                        <w:tcW w:w="1700" w:type="dxa"/>
                        <w:vMerge/>
                        <w:tcBorders>
                          <w:left w:val="single" w:sz="6" w:space="0" w:color="000000"/>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新开普自主开发的人脸认证服务平台统一管理识别介质，为多个应用系统赋能人脸识别功能。不仅</w:t>
                        </w:r>
                      </w:p>
                    </w:tc>
                  </w:tr>
                  <w:tr>
                    <w:trPr>
                      <w:trHeight w:val="312" w:hRule="exact"/>
                    </w:trPr>
                    <w:tc>
                      <w:tcPr>
                        <w:tcW w:w="710" w:type="dxa"/>
                        <w:vMerge/>
                        <w:tcBorders>
                          <w:left w:val="single" w:sz="6" w:space="0" w:color="000000"/>
                          <w:right w:val="single" w:sz="6" w:space="0" w:color="000000"/>
                        </w:tcBorders>
                      </w:tcPr>
                      <w:p>
                        <w:pPr/>
                      </w:p>
                    </w:tc>
                    <w:tc>
                      <w:tcPr>
                        <w:tcW w:w="1699" w:type="dxa"/>
                        <w:vMerge/>
                        <w:tcBorders>
                          <w:left w:val="single" w:sz="6" w:space="0" w:color="000000"/>
                          <w:right w:val="single" w:sz="6" w:space="0" w:color="000000"/>
                        </w:tcBorders>
                      </w:tcPr>
                      <w:p>
                        <w:pPr/>
                      </w:p>
                    </w:tc>
                    <w:tc>
                      <w:tcPr>
                        <w:tcW w:w="1134" w:type="dxa"/>
                        <w:vMerge/>
                        <w:tcBorders>
                          <w:left w:val="single" w:sz="6" w:space="0" w:color="000000"/>
                          <w:right w:val="single" w:sz="6" w:space="0" w:color="000000"/>
                        </w:tcBorders>
                      </w:tcPr>
                      <w:p>
                        <w:pPr/>
                      </w:p>
                    </w:tc>
                    <w:tc>
                      <w:tcPr>
                        <w:tcW w:w="1702" w:type="dxa"/>
                        <w:vMerge/>
                        <w:tcBorders>
                          <w:left w:val="single" w:sz="6" w:space="0" w:color="000000"/>
                          <w:right w:val="single" w:sz="6" w:space="0" w:color="000000"/>
                        </w:tcBorders>
                      </w:tcPr>
                      <w:p>
                        <w:pPr/>
                      </w:p>
                    </w:tc>
                    <w:tc>
                      <w:tcPr>
                        <w:tcW w:w="1700" w:type="dxa"/>
                        <w:vMerge/>
                        <w:tcBorders>
                          <w:left w:val="single" w:sz="6" w:space="0" w:color="000000"/>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支持多种业务场景接入如门禁、迎新等，也支持市场上多家成熟的人脸识别算法接入，同时支持多</w:t>
                        </w:r>
                      </w:p>
                    </w:tc>
                  </w:tr>
                  <w:tr>
                    <w:trPr>
                      <w:trHeight w:val="329" w:hRule="exact"/>
                    </w:trPr>
                    <w:tc>
                      <w:tcPr>
                        <w:tcW w:w="710" w:type="dxa"/>
                        <w:vMerge/>
                        <w:tcBorders>
                          <w:left w:val="single" w:sz="6" w:space="0" w:color="000000"/>
                          <w:bottom w:val="single" w:sz="6" w:space="0" w:color="000000"/>
                          <w:right w:val="single" w:sz="6" w:space="0" w:color="000000"/>
                        </w:tcBorders>
                      </w:tcPr>
                      <w:p>
                        <w:pPr/>
                      </w:p>
                    </w:tc>
                    <w:tc>
                      <w:tcPr>
                        <w:tcW w:w="1699" w:type="dxa"/>
                        <w:vMerge/>
                        <w:tcBorders>
                          <w:left w:val="single" w:sz="6" w:space="0" w:color="000000"/>
                          <w:bottom w:val="single" w:sz="6" w:space="0" w:color="000000"/>
                          <w:right w:val="single" w:sz="6" w:space="0" w:color="000000"/>
                        </w:tcBorders>
                      </w:tcPr>
                      <w:p>
                        <w:pPr/>
                      </w:p>
                    </w:tc>
                    <w:tc>
                      <w:tcPr>
                        <w:tcW w:w="1134"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1700" w:type="dxa"/>
                        <w:vMerge/>
                        <w:tcBorders>
                          <w:left w:val="single" w:sz="6" w:space="0" w:color="000000"/>
                          <w:bottom w:val="single" w:sz="6" w:space="0" w:color="000000"/>
                          <w:right w:val="single" w:sz="6" w:space="0" w:color="000000"/>
                        </w:tcBorders>
                      </w:tcPr>
                      <w:p>
                        <w:pPr/>
                      </w:p>
                    </w:tc>
                    <w:tc>
                      <w:tcPr>
                        <w:tcW w:w="779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平台（含第三方系统）多终端接入。</w:t>
                        </w:r>
                      </w:p>
                    </w:tc>
                  </w:tr>
                  <w:tr>
                    <w:trPr>
                      <w:trHeight w:val="335" w:hRule="exact"/>
                    </w:trPr>
                    <w:tc>
                      <w:tcPr>
                        <w:tcW w:w="710" w:type="dxa"/>
                        <w:tcBorders>
                          <w:top w:val="single" w:sz="6" w:space="0" w:color="000000"/>
                          <w:left w:val="single" w:sz="6" w:space="0" w:color="000000"/>
                          <w:bottom w:val="nil" w:sz="6" w:space="0" w:color="auto"/>
                          <w:right w:val="single" w:sz="6" w:space="0" w:color="000000"/>
                        </w:tcBorders>
                      </w:tcPr>
                      <w:p>
                        <w:pPr/>
                      </w:p>
                    </w:tc>
                    <w:tc>
                      <w:tcPr>
                        <w:tcW w:w="1699"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1702" w:type="dxa"/>
                        <w:tcBorders>
                          <w:top w:val="single" w:sz="6" w:space="0" w:color="000000"/>
                          <w:left w:val="single" w:sz="6" w:space="0" w:color="000000"/>
                          <w:bottom w:val="nil" w:sz="6" w:space="0" w:color="auto"/>
                          <w:right w:val="single" w:sz="6" w:space="0" w:color="000000"/>
                        </w:tcBorders>
                      </w:tcPr>
                      <w:p>
                        <w:pPr/>
                      </w:p>
                    </w:tc>
                    <w:tc>
                      <w:tcPr>
                        <w:tcW w:w="1700" w:type="dxa"/>
                        <w:tcBorders>
                          <w:top w:val="single" w:sz="6" w:space="0" w:color="000000"/>
                          <w:left w:val="single" w:sz="6" w:space="0" w:color="000000"/>
                          <w:bottom w:val="nil" w:sz="6" w:space="0" w:color="auto"/>
                          <w:right w:val="single" w:sz="6" w:space="0" w:color="000000"/>
                        </w:tcBorders>
                      </w:tcPr>
                      <w:p>
                        <w:pPr/>
                      </w:p>
                    </w:tc>
                    <w:tc>
                      <w:tcPr>
                        <w:tcW w:w="779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、基于微服务理念，给学校提供的校园生活服务平台，从产品和项目交付模式转变为服务租赁模式</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能够灵活、可扩展的满足学校智慧校园的需求变化和教育信息化</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r>
                          <w:rPr>
                            <w:rFonts w:ascii="宋体" w:hAnsi="宋体" w:cs="宋体" w:eastAsia="宋体" w:hint="default"/>
                            <w:sz w:val="18"/>
                            <w:szCs w:val="18"/>
                          </w:rPr>
                          <w:t>的要求</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、高可用性。平台具有核心知识产权的</w:t>
                        </w:r>
                        <w:r>
                          <w:rPr>
                            <w:rFonts w:ascii="Times New Roman" w:hAnsi="Times New Roman" w:cs="Times New Roman" w:eastAsia="Times New Roman" w:hint="default"/>
                            <w:spacing w:val="-2"/>
                            <w:sz w:val="18"/>
                            <w:szCs w:val="18"/>
                          </w:rPr>
                          <w:t>SaaS</w:t>
                        </w:r>
                        <w:r>
                          <w:rPr>
                            <w:rFonts w:ascii="宋体" w:hAnsi="宋体" w:cs="宋体" w:eastAsia="宋体" w:hint="default"/>
                            <w:spacing w:val="-2"/>
                            <w:sz w:val="18"/>
                            <w:szCs w:val="18"/>
                          </w:rPr>
                          <w:t>服务架构，能够满足日活过百万，日交易过亿的性能要</w:t>
                        </w:r>
                      </w:p>
                    </w:tc>
                  </w:tr>
                  <w:tr>
                    <w:trPr>
                      <w:trHeight w:val="30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求</w:t>
                        </w:r>
                      </w:p>
                    </w:tc>
                  </w:tr>
                  <w:tr>
                    <w:trPr>
                      <w:trHeight w:val="26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、应用接入扩展性强。系统具备标准的</w:t>
                        </w:r>
                        <w:r>
                          <w:rPr>
                            <w:rFonts w:ascii="Times New Roman" w:hAnsi="Times New Roman" w:cs="Times New Roman" w:eastAsia="Times New Roman" w:hint="default"/>
                            <w:sz w:val="18"/>
                            <w:szCs w:val="18"/>
                          </w:rPr>
                          <w:t>saas</w:t>
                        </w:r>
                        <w:r>
                          <w:rPr>
                            <w:rFonts w:ascii="宋体" w:hAnsi="宋体" w:cs="宋体" w:eastAsia="宋体" w:hint="default"/>
                            <w:sz w:val="18"/>
                            <w:szCs w:val="18"/>
                          </w:rPr>
                          <w:t>服务接入规范，可灵活支持各类应用接入如一卡通通用</w:t>
                        </w:r>
                      </w:p>
                    </w:tc>
                  </w:tr>
                  <w:tr>
                    <w:trPr>
                      <w:trHeight w:val="674" w:hRule="exact"/>
                    </w:trPr>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w:t>
                        </w:r>
                      </w:p>
                    </w:tc>
                    <w:tc>
                      <w:tcPr>
                        <w:tcW w:w="1699" w:type="dxa"/>
                        <w:tcBorders>
                          <w:top w:val="nil" w:sz="6" w:space="0" w:color="auto"/>
                          <w:left w:val="single" w:sz="6" w:space="0" w:color="000000"/>
                          <w:bottom w:val="nil" w:sz="6" w:space="0" w:color="auto"/>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基于</w:t>
                        </w:r>
                        <w:r>
                          <w:rPr>
                            <w:rFonts w:ascii="Times New Roman" w:hAnsi="Times New Roman" w:cs="Times New Roman" w:eastAsia="Times New Roman" w:hint="default"/>
                            <w:sz w:val="18"/>
                            <w:szCs w:val="18"/>
                          </w:rPr>
                          <w:t>SAAS</w:t>
                        </w:r>
                        <w:r>
                          <w:rPr>
                            <w:rFonts w:ascii="宋体" w:hAnsi="宋体" w:cs="宋体" w:eastAsia="宋体" w:hint="default"/>
                            <w:sz w:val="18"/>
                            <w:szCs w:val="18"/>
                          </w:rPr>
                          <w:t>服务的校</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园生活服务平台</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智慧校园</w:t>
                        </w:r>
                      </w:p>
                    </w:tc>
                    <w:tc>
                      <w:tcPr>
                        <w:tcW w:w="170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测试阶段</w:t>
                        </w:r>
                      </w:p>
                    </w:tc>
                    <w:tc>
                      <w:tcPr>
                        <w:tcW w:w="170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2019/7/13-2020/2/20</w:t>
                        </w: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300" w:lineRule="auto" w:before="55"/>
                          <w:ind w:left="3" w:right="0"/>
                          <w:jc w:val="left"/>
                          <w:rPr>
                            <w:rFonts w:ascii="宋体" w:hAnsi="宋体" w:cs="宋体" w:eastAsia="宋体" w:hint="default"/>
                            <w:sz w:val="18"/>
                            <w:szCs w:val="18"/>
                          </w:rPr>
                        </w:pPr>
                        <w:r>
                          <w:rPr>
                            <w:rFonts w:ascii="宋体" w:hAnsi="宋体" w:cs="宋体" w:eastAsia="宋体" w:hint="default"/>
                            <w:spacing w:val="-2"/>
                            <w:sz w:val="18"/>
                            <w:szCs w:val="18"/>
                          </w:rPr>
                          <w:t>接口接入协议、教务类应用、超级查询应用等，可以支持中间库、</w:t>
                        </w:r>
                        <w:r>
                          <w:rPr>
                            <w:rFonts w:ascii="Times New Roman" w:hAnsi="Times New Roman" w:cs="Times New Roman" w:eastAsia="Times New Roman" w:hint="default"/>
                            <w:spacing w:val="-2"/>
                            <w:sz w:val="18"/>
                            <w:szCs w:val="18"/>
                          </w:rPr>
                          <w:t>webservice</w:t>
                        </w:r>
                        <w:r>
                          <w:rPr>
                            <w:rFonts w:ascii="宋体" w:hAnsi="宋体" w:cs="宋体" w:eastAsia="宋体" w:hint="default"/>
                            <w:spacing w:val="-2"/>
                            <w:sz w:val="18"/>
                            <w:szCs w:val="18"/>
                          </w:rPr>
                          <w:t>接口等三方应用接入方</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式，也可以和各类平台做</w:t>
                        </w:r>
                        <w:r>
                          <w:rPr>
                            <w:rFonts w:ascii="Times New Roman" w:hAnsi="Times New Roman" w:cs="Times New Roman" w:eastAsia="Times New Roman" w:hint="default"/>
                            <w:sz w:val="18"/>
                            <w:szCs w:val="18"/>
                          </w:rPr>
                          <w:t>OAuth2</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r>
                          <w:rPr>
                            <w:rFonts w:ascii="宋体" w:hAnsi="宋体" w:cs="宋体" w:eastAsia="宋体" w:hint="default"/>
                            <w:sz w:val="18"/>
                            <w:szCs w:val="18"/>
                          </w:rPr>
                          <w:t>统一接入。</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、宿主多样化需求满足。可以独立</w:t>
                        </w:r>
                        <w:r>
                          <w:rPr>
                            <w:rFonts w:ascii="Times New Roman" w:hAnsi="Times New Roman" w:cs="Times New Roman" w:eastAsia="Times New Roman" w:hint="default"/>
                            <w:sz w:val="18"/>
                            <w:szCs w:val="18"/>
                          </w:rPr>
                          <w:t>App</w:t>
                        </w:r>
                        <w:r>
                          <w:rPr>
                            <w:rFonts w:ascii="宋体" w:hAnsi="宋体" w:cs="宋体" w:eastAsia="宋体" w:hint="default"/>
                            <w:sz w:val="18"/>
                            <w:szCs w:val="18"/>
                          </w:rPr>
                          <w:t>宿主存在，也可以融合到超级</w:t>
                        </w:r>
                        <w:r>
                          <w:rPr>
                            <w:rFonts w:ascii="Times New Roman" w:hAnsi="Times New Roman" w:cs="Times New Roman" w:eastAsia="Times New Roman" w:hint="default"/>
                            <w:sz w:val="18"/>
                            <w:szCs w:val="18"/>
                          </w:rPr>
                          <w:t>App</w:t>
                        </w:r>
                        <w:r>
                          <w:rPr>
                            <w:rFonts w:ascii="宋体" w:hAnsi="宋体" w:cs="宋体" w:eastAsia="宋体" w:hint="default"/>
                            <w:sz w:val="18"/>
                            <w:szCs w:val="18"/>
                          </w:rPr>
                          <w:t>宿主中，能够独立的依赖</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各类宿主的支付方式、用户体系和兼容</w:t>
                        </w:r>
                        <w:r>
                          <w:rPr>
                            <w:rFonts w:ascii="Times New Roman" w:hAnsi="Times New Roman" w:cs="Times New Roman" w:eastAsia="Times New Roman" w:hint="default"/>
                            <w:sz w:val="18"/>
                            <w:szCs w:val="18"/>
                          </w:rPr>
                          <w:t>js</w:t>
                        </w:r>
                        <w:r>
                          <w:rPr>
                            <w:rFonts w:ascii="宋体" w:hAnsi="宋体" w:cs="宋体" w:eastAsia="宋体" w:hint="default"/>
                            <w:sz w:val="18"/>
                            <w:szCs w:val="18"/>
                          </w:rPr>
                          <w:t>方式接入。</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、领先的平台架构设计。系统采用低耦合、分部署负载部署的结构，具备多级、灵活的权限控制操</w:t>
                        </w:r>
                      </w:p>
                    </w:tc>
                  </w:tr>
                  <w:tr>
                    <w:trPr>
                      <w:trHeight w:val="30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作界面，具备完善的数据权限划分和控制功能，系统模块化设计，可灵活支持各技术模块的替换、</w:t>
                        </w:r>
                      </w:p>
                    </w:tc>
                  </w:tr>
                  <w:tr>
                    <w:trPr>
                      <w:trHeight w:val="329" w:hRule="exact"/>
                    </w:trPr>
                    <w:tc>
                      <w:tcPr>
                        <w:tcW w:w="710" w:type="dxa"/>
                        <w:tcBorders>
                          <w:top w:val="nil" w:sz="6" w:space="0" w:color="auto"/>
                          <w:left w:val="single" w:sz="6" w:space="0" w:color="000000"/>
                          <w:bottom w:val="single" w:sz="6" w:space="0" w:color="000000"/>
                          <w:right w:val="single" w:sz="6" w:space="0" w:color="000000"/>
                        </w:tcBorders>
                      </w:tcPr>
                      <w:p>
                        <w:pPr/>
                      </w:p>
                    </w:tc>
                    <w:tc>
                      <w:tcPr>
                        <w:tcW w:w="1699"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1702" w:type="dxa"/>
                        <w:tcBorders>
                          <w:top w:val="nil" w:sz="6" w:space="0" w:color="auto"/>
                          <w:left w:val="single" w:sz="6" w:space="0" w:color="000000"/>
                          <w:bottom w:val="single" w:sz="6" w:space="0" w:color="000000"/>
                          <w:right w:val="single" w:sz="6" w:space="0" w:color="000000"/>
                        </w:tcBorders>
                      </w:tcPr>
                      <w:p>
                        <w:pPr/>
                      </w:p>
                    </w:tc>
                    <w:tc>
                      <w:tcPr>
                        <w:tcW w:w="1700" w:type="dxa"/>
                        <w:tcBorders>
                          <w:top w:val="nil" w:sz="6" w:space="0" w:color="auto"/>
                          <w:left w:val="single" w:sz="6" w:space="0" w:color="000000"/>
                          <w:bottom w:val="single" w:sz="6" w:space="0" w:color="000000"/>
                          <w:right w:val="single" w:sz="6" w:space="0" w:color="000000"/>
                        </w:tcBorders>
                      </w:tcPr>
                      <w:p>
                        <w:pPr/>
                      </w:p>
                    </w:tc>
                    <w:tc>
                      <w:tcPr>
                        <w:tcW w:w="779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移除等</w:t>
                        </w:r>
                      </w:p>
                    </w:tc>
                  </w:tr>
                  <w:tr>
                    <w:trPr>
                      <w:trHeight w:val="335" w:hRule="exact"/>
                    </w:trPr>
                    <w:tc>
                      <w:tcPr>
                        <w:tcW w:w="710" w:type="dxa"/>
                        <w:tcBorders>
                          <w:top w:val="single" w:sz="6" w:space="0" w:color="000000"/>
                          <w:left w:val="single" w:sz="6" w:space="0" w:color="000000"/>
                          <w:bottom w:val="nil" w:sz="6" w:space="0" w:color="auto"/>
                          <w:right w:val="single" w:sz="6" w:space="0" w:color="000000"/>
                        </w:tcBorders>
                      </w:tcPr>
                      <w:p>
                        <w:pPr/>
                      </w:p>
                    </w:tc>
                    <w:tc>
                      <w:tcPr>
                        <w:tcW w:w="1699"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1702" w:type="dxa"/>
                        <w:tcBorders>
                          <w:top w:val="single" w:sz="6" w:space="0" w:color="000000"/>
                          <w:left w:val="single" w:sz="6" w:space="0" w:color="000000"/>
                          <w:bottom w:val="nil" w:sz="6" w:space="0" w:color="auto"/>
                          <w:right w:val="single" w:sz="6" w:space="0" w:color="000000"/>
                        </w:tcBorders>
                      </w:tcPr>
                      <w:p>
                        <w:pPr/>
                      </w:p>
                    </w:tc>
                    <w:tc>
                      <w:tcPr>
                        <w:tcW w:w="1700" w:type="dxa"/>
                        <w:tcBorders>
                          <w:top w:val="single" w:sz="6" w:space="0" w:color="000000"/>
                          <w:left w:val="single" w:sz="6" w:space="0" w:color="000000"/>
                          <w:bottom w:val="nil" w:sz="6" w:space="0" w:color="auto"/>
                          <w:right w:val="single" w:sz="6" w:space="0" w:color="000000"/>
                        </w:tcBorders>
                      </w:tcPr>
                      <w:p>
                        <w:pPr/>
                      </w:p>
                    </w:tc>
                    <w:tc>
                      <w:tcPr>
                        <w:tcW w:w="779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、行业首家同时支持多数据库兼容和跨平台使用；</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、行业首家同时支持统一结算和独立结算双结算模式平台；</w:t>
                        </w:r>
                      </w:p>
                    </w:tc>
                  </w:tr>
                  <w:tr>
                    <w:trPr>
                      <w:trHeight w:val="340"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基于</w:t>
                        </w:r>
                        <w:r>
                          <w:rPr>
                            <w:rFonts w:ascii="Times New Roman" w:hAnsi="Times New Roman" w:cs="Times New Roman" w:eastAsia="Times New Roman" w:hint="default"/>
                            <w:sz w:val="18"/>
                            <w:szCs w:val="18"/>
                          </w:rPr>
                          <w:t>SAAS</w:t>
                        </w:r>
                        <w:r>
                          <w:rPr>
                            <w:rFonts w:ascii="宋体" w:hAnsi="宋体" w:cs="宋体" w:eastAsia="宋体" w:hint="default"/>
                            <w:sz w:val="18"/>
                            <w:szCs w:val="18"/>
                          </w:rPr>
                          <w:t>服务的政</w:t>
                        </w: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、行业首家省级管理平台，为多客户服务系统并提供管理平台；</w:t>
                        </w:r>
                      </w:p>
                    </w:tc>
                  </w:tr>
                  <w:tr>
                    <w:trPr>
                      <w:trHeight w:val="307" w:hRule="exact"/>
                    </w:trPr>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Times New Roman"/>
                            <w:sz w:val="18"/>
                          </w:rPr>
                          <w:t>20</w:t>
                        </w:r>
                      </w:p>
                    </w:tc>
                    <w:tc>
                      <w:tcPr>
                        <w:tcW w:w="1699" w:type="dxa"/>
                        <w:tcBorders>
                          <w:top w:val="nil" w:sz="6" w:space="0" w:color="auto"/>
                          <w:left w:val="single" w:sz="6" w:space="0" w:color="000000"/>
                          <w:bottom w:val="nil" w:sz="6" w:space="0" w:color="auto"/>
                          <w:right w:val="single" w:sz="6"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企信息化服务平台</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13" w:lineRule="exact"/>
                          <w:ind w:right="197"/>
                          <w:jc w:val="right"/>
                          <w:rPr>
                            <w:rFonts w:ascii="宋体" w:hAnsi="宋体" w:cs="宋体" w:eastAsia="宋体" w:hint="default"/>
                            <w:sz w:val="18"/>
                            <w:szCs w:val="18"/>
                          </w:rPr>
                        </w:pPr>
                        <w:r>
                          <w:rPr>
                            <w:rFonts w:ascii="宋体" w:hAnsi="宋体" w:cs="宋体" w:eastAsia="宋体" w:hint="default"/>
                            <w:sz w:val="18"/>
                            <w:szCs w:val="18"/>
                          </w:rPr>
                          <w:t>智慧企业</w:t>
                        </w:r>
                      </w:p>
                    </w:tc>
                    <w:tc>
                      <w:tcPr>
                        <w:tcW w:w="1702" w:type="dxa"/>
                        <w:tcBorders>
                          <w:top w:val="nil" w:sz="6" w:space="0" w:color="auto"/>
                          <w:left w:val="single" w:sz="6" w:space="0" w:color="000000"/>
                          <w:bottom w:val="nil" w:sz="6" w:space="0" w:color="auto"/>
                          <w:right w:val="single" w:sz="6"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结项，已经开始销售</w:t>
                        </w:r>
                      </w:p>
                    </w:tc>
                    <w:tc>
                      <w:tcPr>
                        <w:tcW w:w="1700" w:type="dxa"/>
                        <w:tcBorders>
                          <w:top w:val="nil" w:sz="6" w:space="0" w:color="auto"/>
                          <w:left w:val="single" w:sz="6" w:space="0" w:color="000000"/>
                          <w:bottom w:val="nil" w:sz="6" w:space="0" w:color="auto"/>
                          <w:right w:val="single" w:sz="6" w:space="0" w:color="000000"/>
                        </w:tcBorders>
                      </w:tcPr>
                      <w:p>
                        <w:pPr>
                          <w:pStyle w:val="TableParagraph"/>
                          <w:spacing w:line="240" w:lineRule="auto" w:before="17"/>
                          <w:ind w:left="37" w:right="0"/>
                          <w:jc w:val="left"/>
                          <w:rPr>
                            <w:rFonts w:ascii="Times New Roman" w:hAnsi="Times New Roman" w:cs="Times New Roman" w:eastAsia="Times New Roman" w:hint="default"/>
                            <w:sz w:val="18"/>
                            <w:szCs w:val="18"/>
                          </w:rPr>
                        </w:pPr>
                        <w:r>
                          <w:rPr>
                            <w:rFonts w:ascii="Times New Roman"/>
                            <w:sz w:val="18"/>
                          </w:rPr>
                          <w:t>2019/3/11-2019/11/30</w:t>
                        </w: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26" w:lineRule="exact"/>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、统一身份识别管理，制定统一规范与标准，支持多场景的所有身份识别终端如食堂消费、门禁</w:t>
                        </w:r>
                      </w:p>
                    </w:tc>
                  </w:tr>
                  <w:tr>
                    <w:trPr>
                      <w:trHeight w:val="284"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18" w:lineRule="exact"/>
                          <w:ind w:left="3" w:right="0"/>
                          <w:jc w:val="left"/>
                          <w:rPr>
                            <w:rFonts w:ascii="宋体" w:hAnsi="宋体" w:cs="宋体" w:eastAsia="宋体" w:hint="default"/>
                            <w:sz w:val="18"/>
                            <w:szCs w:val="18"/>
                          </w:rPr>
                        </w:pPr>
                        <w:r>
                          <w:rPr>
                            <w:rFonts w:ascii="宋体" w:hAnsi="宋体" w:cs="宋体" w:eastAsia="宋体" w:hint="default"/>
                            <w:sz w:val="18"/>
                            <w:szCs w:val="18"/>
                          </w:rPr>
                          <w:t>通道、门锁、梯控接入、会议签到，完成统一管理、区域管理</w:t>
                        </w:r>
                      </w:p>
                    </w:tc>
                  </w:tr>
                  <w:tr>
                    <w:trPr>
                      <w:trHeight w:val="31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、统一权鉴认证，为政企客户的信息化应用提供权鉴认证服务；</w:t>
                        </w:r>
                      </w:p>
                    </w:tc>
                  </w:tr>
                  <w:tr>
                    <w:trPr>
                      <w:trHeight w:val="325" w:hRule="exact"/>
                    </w:trPr>
                    <w:tc>
                      <w:tcPr>
                        <w:tcW w:w="710" w:type="dxa"/>
                        <w:tcBorders>
                          <w:top w:val="nil" w:sz="6" w:space="0" w:color="auto"/>
                          <w:left w:val="single" w:sz="6" w:space="0" w:color="000000"/>
                          <w:bottom w:val="single" w:sz="6" w:space="0" w:color="000000"/>
                          <w:right w:val="single" w:sz="6" w:space="0" w:color="000000"/>
                        </w:tcBorders>
                      </w:tcPr>
                      <w:p>
                        <w:pPr/>
                      </w:p>
                    </w:tc>
                    <w:tc>
                      <w:tcPr>
                        <w:tcW w:w="1699"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1702" w:type="dxa"/>
                        <w:tcBorders>
                          <w:top w:val="nil" w:sz="6" w:space="0" w:color="auto"/>
                          <w:left w:val="single" w:sz="6" w:space="0" w:color="000000"/>
                          <w:bottom w:val="single" w:sz="6" w:space="0" w:color="000000"/>
                          <w:right w:val="single" w:sz="6" w:space="0" w:color="000000"/>
                        </w:tcBorders>
                      </w:tcPr>
                      <w:p>
                        <w:pPr/>
                      </w:p>
                    </w:tc>
                    <w:tc>
                      <w:tcPr>
                        <w:tcW w:w="1700" w:type="dxa"/>
                        <w:tcBorders>
                          <w:top w:val="nil" w:sz="6" w:space="0" w:color="auto"/>
                          <w:left w:val="single" w:sz="6" w:space="0" w:color="000000"/>
                          <w:bottom w:val="single" w:sz="6" w:space="0" w:color="000000"/>
                          <w:right w:val="single" w:sz="6" w:space="0" w:color="000000"/>
                        </w:tcBorders>
                      </w:tcPr>
                      <w:p>
                        <w:pPr/>
                      </w:p>
                    </w:tc>
                    <w:tc>
                      <w:tcPr>
                        <w:tcW w:w="779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、平台上应用系统支持微服务等模块化管理模式，灵活满足客户多样化需求变化；</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8"/>
          <w:szCs w:val="18"/>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44"/>
        <w:ind w:left="0" w:right="115"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6840" w:h="11910" w:orient="landscape"/>
          <w:pgMar w:header="867" w:footer="978" w:top="1060" w:bottom="1160" w:left="1320" w:right="460"/>
        </w:sectPr>
      </w:pPr>
    </w:p>
    <w:p>
      <w:pPr>
        <w:spacing w:line="240" w:lineRule="auto" w:before="4"/>
        <w:rPr>
          <w:rFonts w:ascii="Times New Roman" w:hAnsi="Times New Roman" w:cs="Times New Roman" w:eastAsia="Times New Roman"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710"/>
        <w:gridCol w:w="1699"/>
        <w:gridCol w:w="1134"/>
        <w:gridCol w:w="1702"/>
        <w:gridCol w:w="1700"/>
        <w:gridCol w:w="7798"/>
      </w:tblGrid>
      <w:tr>
        <w:trPr>
          <w:trHeight w:val="349" w:hRule="exact"/>
        </w:trPr>
        <w:tc>
          <w:tcPr>
            <w:tcW w:w="710" w:type="dxa"/>
            <w:tcBorders>
              <w:top w:val="single" w:sz="17" w:space="0" w:color="000000"/>
              <w:left w:val="single" w:sz="6" w:space="0" w:color="000000"/>
              <w:bottom w:val="nil" w:sz="6" w:space="0" w:color="auto"/>
              <w:right w:val="single" w:sz="6" w:space="0" w:color="000000"/>
            </w:tcBorders>
          </w:tcPr>
          <w:p>
            <w:pPr/>
          </w:p>
        </w:tc>
        <w:tc>
          <w:tcPr>
            <w:tcW w:w="1699" w:type="dxa"/>
            <w:tcBorders>
              <w:top w:val="single" w:sz="17" w:space="0" w:color="000000"/>
              <w:left w:val="single" w:sz="6" w:space="0" w:color="000000"/>
              <w:bottom w:val="nil" w:sz="6" w:space="0" w:color="auto"/>
              <w:right w:val="single" w:sz="6" w:space="0" w:color="000000"/>
            </w:tcBorders>
          </w:tcPr>
          <w:p>
            <w:pPr/>
          </w:p>
        </w:tc>
        <w:tc>
          <w:tcPr>
            <w:tcW w:w="1134" w:type="dxa"/>
            <w:tcBorders>
              <w:top w:val="single" w:sz="17" w:space="0" w:color="000000"/>
              <w:left w:val="single" w:sz="6" w:space="0" w:color="000000"/>
              <w:bottom w:val="nil" w:sz="6" w:space="0" w:color="auto"/>
              <w:right w:val="single" w:sz="6" w:space="0" w:color="000000"/>
            </w:tcBorders>
          </w:tcPr>
          <w:p>
            <w:pPr/>
          </w:p>
        </w:tc>
        <w:tc>
          <w:tcPr>
            <w:tcW w:w="1702" w:type="dxa"/>
            <w:tcBorders>
              <w:top w:val="single" w:sz="17" w:space="0" w:color="000000"/>
              <w:left w:val="single" w:sz="6" w:space="0" w:color="000000"/>
              <w:bottom w:val="nil" w:sz="6" w:space="0" w:color="auto"/>
              <w:right w:val="single" w:sz="6" w:space="0" w:color="000000"/>
            </w:tcBorders>
          </w:tcPr>
          <w:p>
            <w:pPr/>
          </w:p>
        </w:tc>
        <w:tc>
          <w:tcPr>
            <w:tcW w:w="1700" w:type="dxa"/>
            <w:tcBorders>
              <w:top w:val="single" w:sz="17" w:space="0" w:color="000000"/>
              <w:left w:val="single" w:sz="6" w:space="0" w:color="000000"/>
              <w:bottom w:val="nil" w:sz="6" w:space="0" w:color="auto"/>
              <w:right w:val="single" w:sz="6" w:space="0" w:color="000000"/>
            </w:tcBorders>
          </w:tcPr>
          <w:p>
            <w:pPr/>
          </w:p>
        </w:tc>
        <w:tc>
          <w:tcPr>
            <w:tcW w:w="7798" w:type="dxa"/>
            <w:tcBorders>
              <w:top w:val="single" w:sz="17"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、采用互联网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职业教育理念，构建云端</w:t>
            </w:r>
            <w:r>
              <w:rPr>
                <w:rFonts w:ascii="Times New Roman" w:hAnsi="Times New Roman" w:cs="Times New Roman" w:eastAsia="Times New Roman" w:hint="default"/>
                <w:sz w:val="18"/>
                <w:szCs w:val="18"/>
              </w:rPr>
              <w:t>SaaS</w:t>
            </w:r>
            <w:r>
              <w:rPr>
                <w:rFonts w:ascii="宋体" w:hAnsi="宋体" w:cs="宋体" w:eastAsia="宋体" w:hint="default"/>
                <w:sz w:val="18"/>
                <w:szCs w:val="18"/>
              </w:rPr>
              <w:t>管理信息化、教学信息化，结合学校内涵特色完成智</w:t>
            </w:r>
          </w:p>
        </w:tc>
      </w:tr>
      <w:tr>
        <w:trPr>
          <w:trHeight w:val="30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慧校园平台研发。</w:t>
            </w:r>
          </w:p>
        </w:tc>
      </w:tr>
      <w:tr>
        <w:trPr>
          <w:trHeight w:val="31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、采用行业领先的云</w:t>
            </w:r>
            <w:r>
              <w:rPr>
                <w:rFonts w:ascii="Times New Roman" w:hAnsi="Times New Roman" w:cs="Times New Roman" w:eastAsia="Times New Roman" w:hint="default"/>
                <w:sz w:val="18"/>
                <w:szCs w:val="18"/>
              </w:rPr>
              <w:t>+</w:t>
            </w:r>
            <w:r>
              <w:rPr>
                <w:rFonts w:ascii="宋体" w:hAnsi="宋体" w:cs="宋体" w:eastAsia="宋体" w:hint="default"/>
                <w:sz w:val="18"/>
                <w:szCs w:val="18"/>
              </w:rPr>
              <w:t>端模式，搭建</w:t>
            </w:r>
            <w:r>
              <w:rPr>
                <w:rFonts w:ascii="Times New Roman" w:hAnsi="Times New Roman" w:cs="Times New Roman" w:eastAsia="Times New Roman" w:hint="default"/>
                <w:sz w:val="18"/>
                <w:szCs w:val="18"/>
              </w:rPr>
              <w:t>SaaS</w:t>
            </w:r>
            <w:r>
              <w:rPr>
                <w:rFonts w:ascii="宋体" w:hAnsi="宋体" w:cs="宋体" w:eastAsia="宋体" w:hint="default"/>
                <w:sz w:val="18"/>
                <w:szCs w:val="18"/>
              </w:rPr>
              <w:t>服务</w:t>
            </w:r>
            <w:r>
              <w:rPr>
                <w:rFonts w:ascii="Times New Roman" w:hAnsi="Times New Roman" w:cs="Times New Roman" w:eastAsia="Times New Roman" w:hint="default"/>
                <w:sz w:val="18"/>
                <w:szCs w:val="18"/>
              </w:rPr>
              <w:t>+</w:t>
            </w:r>
            <w:r>
              <w:rPr>
                <w:rFonts w:ascii="宋体" w:hAnsi="宋体" w:cs="宋体" w:eastAsia="宋体" w:hint="default"/>
                <w:sz w:val="18"/>
                <w:szCs w:val="18"/>
              </w:rPr>
              <w:t>校园终端</w:t>
            </w:r>
            <w:r>
              <w:rPr>
                <w:rFonts w:ascii="Times New Roman" w:hAnsi="Times New Roman" w:cs="Times New Roman" w:eastAsia="Times New Roman" w:hint="default"/>
                <w:sz w:val="18"/>
                <w:szCs w:val="18"/>
              </w:rPr>
              <w:t>+</w:t>
            </w:r>
            <w:r>
              <w:rPr>
                <w:rFonts w:ascii="宋体" w:hAnsi="宋体" w:cs="宋体" w:eastAsia="宋体" w:hint="default"/>
                <w:sz w:val="18"/>
                <w:szCs w:val="18"/>
              </w:rPr>
              <w:t>移动终端的智慧校园方案，使信息化建设</w:t>
            </w:r>
          </w:p>
        </w:tc>
      </w:tr>
      <w:tr>
        <w:trPr>
          <w:trHeight w:val="30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达到智慧校园新高度。</w:t>
            </w:r>
          </w:p>
        </w:tc>
      </w:tr>
      <w:tr>
        <w:trPr>
          <w:trHeight w:val="26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、采用自主研发的分布式云平台，达到学校招生、学生迎新、学生管理、学校教学、就生就业、学</w:t>
            </w:r>
          </w:p>
        </w:tc>
      </w:tr>
      <w:tr>
        <w:trPr>
          <w:trHeight w:val="669" w:hRule="exact"/>
        </w:trPr>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w:t>
            </w:r>
          </w:p>
        </w:tc>
        <w:tc>
          <w:tcPr>
            <w:tcW w:w="1699" w:type="dxa"/>
            <w:tcBorders>
              <w:top w:val="nil" w:sz="6" w:space="0" w:color="auto"/>
              <w:left w:val="single" w:sz="6" w:space="0" w:color="000000"/>
              <w:bottom w:val="nil" w:sz="6" w:space="0" w:color="auto"/>
              <w:right w:val="single" w:sz="6"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基于云</w:t>
            </w:r>
            <w:r>
              <w:rPr>
                <w:rFonts w:ascii="Times New Roman" w:hAnsi="Times New Roman" w:cs="Times New Roman" w:eastAsia="Times New Roman" w:hint="default"/>
                <w:sz w:val="18"/>
                <w:szCs w:val="18"/>
              </w:rPr>
              <w:t>+</w:t>
            </w:r>
            <w:r>
              <w:rPr>
                <w:rFonts w:ascii="宋体" w:hAnsi="宋体" w:cs="宋体" w:eastAsia="宋体" w:hint="default"/>
                <w:sz w:val="18"/>
                <w:szCs w:val="18"/>
              </w:rPr>
              <w:t>端的职业教</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育智慧校园平台</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智慧校园</w:t>
            </w:r>
          </w:p>
        </w:tc>
        <w:tc>
          <w:tcPr>
            <w:tcW w:w="170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结项，已经开始销售</w:t>
            </w:r>
          </w:p>
        </w:tc>
        <w:tc>
          <w:tcPr>
            <w:tcW w:w="170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2019/4/1-2019/12/25</w:t>
            </w: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316" w:lineRule="auto" w:before="56"/>
              <w:ind w:left="3" w:right="37"/>
              <w:jc w:val="left"/>
              <w:rPr>
                <w:rFonts w:ascii="宋体" w:hAnsi="宋体" w:cs="宋体" w:eastAsia="宋体" w:hint="default"/>
                <w:sz w:val="18"/>
                <w:szCs w:val="18"/>
              </w:rPr>
            </w:pPr>
            <w:r>
              <w:rPr>
                <w:rFonts w:ascii="宋体" w:hAnsi="宋体" w:cs="宋体" w:eastAsia="宋体" w:hint="default"/>
                <w:sz w:val="18"/>
                <w:szCs w:val="18"/>
              </w:rPr>
              <w:t>校后勤管理、学校资产管理、学校科研管理等多方面管理工作，以及学校网络教学、学校教学评价 等方面的教学管理工作。</w:t>
            </w:r>
          </w:p>
        </w:tc>
      </w:tr>
      <w:tr>
        <w:trPr>
          <w:trHeight w:val="31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、基于数据挖掘技术，分析学校管理、教学过程中数据，达到自我诊断、自我诊改、分析决策、管</w:t>
            </w:r>
          </w:p>
        </w:tc>
      </w:tr>
      <w:tr>
        <w:trPr>
          <w:trHeight w:val="30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控约束等方面的管理。</w:t>
            </w:r>
          </w:p>
        </w:tc>
      </w:tr>
      <w:tr>
        <w:trPr>
          <w:trHeight w:val="31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、基于物联网技术，达到让智能终端自动上线、下线平台，并采用</w:t>
            </w:r>
            <w:r>
              <w:rPr>
                <w:rFonts w:ascii="Times New Roman" w:hAnsi="Times New Roman" w:cs="Times New Roman" w:eastAsia="Times New Roman" w:hint="default"/>
                <w:spacing w:val="-2"/>
                <w:sz w:val="18"/>
                <w:szCs w:val="18"/>
              </w:rPr>
              <w:t>HTTPS</w:t>
            </w:r>
            <w:r>
              <w:rPr>
                <w:rFonts w:ascii="宋体" w:hAnsi="宋体" w:cs="宋体" w:eastAsia="宋体" w:hint="default"/>
                <w:spacing w:val="-2"/>
                <w:sz w:val="18"/>
                <w:szCs w:val="18"/>
              </w:rPr>
              <w:t>网络安全连接达到数据传</w:t>
            </w:r>
          </w:p>
        </w:tc>
      </w:tr>
      <w:tr>
        <w:trPr>
          <w:trHeight w:val="30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输的安全性。</w:t>
            </w:r>
          </w:p>
        </w:tc>
      </w:tr>
      <w:tr>
        <w:trPr>
          <w:trHeight w:val="329" w:hRule="exact"/>
        </w:trPr>
        <w:tc>
          <w:tcPr>
            <w:tcW w:w="710" w:type="dxa"/>
            <w:tcBorders>
              <w:top w:val="nil" w:sz="6" w:space="0" w:color="auto"/>
              <w:left w:val="single" w:sz="6" w:space="0" w:color="000000"/>
              <w:bottom w:val="single" w:sz="6" w:space="0" w:color="000000"/>
              <w:right w:val="single" w:sz="6" w:space="0" w:color="000000"/>
            </w:tcBorders>
          </w:tcPr>
          <w:p>
            <w:pPr/>
          </w:p>
        </w:tc>
        <w:tc>
          <w:tcPr>
            <w:tcW w:w="1699"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1702" w:type="dxa"/>
            <w:tcBorders>
              <w:top w:val="nil" w:sz="6" w:space="0" w:color="auto"/>
              <w:left w:val="single" w:sz="6" w:space="0" w:color="000000"/>
              <w:bottom w:val="single" w:sz="6" w:space="0" w:color="000000"/>
              <w:right w:val="single" w:sz="6" w:space="0" w:color="000000"/>
            </w:tcBorders>
          </w:tcPr>
          <w:p>
            <w:pPr/>
          </w:p>
        </w:tc>
        <w:tc>
          <w:tcPr>
            <w:tcW w:w="1700" w:type="dxa"/>
            <w:tcBorders>
              <w:top w:val="nil" w:sz="6" w:space="0" w:color="auto"/>
              <w:left w:val="single" w:sz="6" w:space="0" w:color="000000"/>
              <w:bottom w:val="single" w:sz="6" w:space="0" w:color="000000"/>
              <w:right w:val="single" w:sz="6" w:space="0" w:color="000000"/>
            </w:tcBorders>
          </w:tcPr>
          <w:p>
            <w:pPr/>
          </w:p>
        </w:tc>
        <w:tc>
          <w:tcPr>
            <w:tcW w:w="779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、采用业界领先的云</w:t>
            </w:r>
            <w:r>
              <w:rPr>
                <w:rFonts w:ascii="Times New Roman" w:hAnsi="Times New Roman" w:cs="Times New Roman" w:eastAsia="Times New Roman" w:hint="default"/>
                <w:sz w:val="18"/>
                <w:szCs w:val="18"/>
              </w:rPr>
              <w:t>+</w:t>
            </w:r>
            <w:r>
              <w:rPr>
                <w:rFonts w:ascii="宋体" w:hAnsi="宋体" w:cs="宋体" w:eastAsia="宋体" w:hint="default"/>
                <w:sz w:val="18"/>
                <w:szCs w:val="18"/>
              </w:rPr>
              <w:t>端</w:t>
            </w:r>
            <w:r>
              <w:rPr>
                <w:rFonts w:ascii="Times New Roman" w:hAnsi="Times New Roman" w:cs="Times New Roman" w:eastAsia="Times New Roman" w:hint="default"/>
                <w:sz w:val="18"/>
                <w:szCs w:val="18"/>
              </w:rPr>
              <w:t>+</w:t>
            </w:r>
            <w:r>
              <w:rPr>
                <w:rFonts w:ascii="宋体" w:hAnsi="宋体" w:cs="宋体" w:eastAsia="宋体" w:hint="default"/>
                <w:sz w:val="18"/>
                <w:szCs w:val="18"/>
              </w:rPr>
              <w:t>算法分析模式，为校园安全提供多重保障。</w:t>
            </w:r>
          </w:p>
        </w:tc>
      </w:tr>
      <w:tr>
        <w:trPr>
          <w:trHeight w:val="335" w:hRule="exact"/>
        </w:trPr>
        <w:tc>
          <w:tcPr>
            <w:tcW w:w="710" w:type="dxa"/>
            <w:tcBorders>
              <w:top w:val="single" w:sz="6" w:space="0" w:color="000000"/>
              <w:left w:val="single" w:sz="6" w:space="0" w:color="000000"/>
              <w:bottom w:val="nil" w:sz="6" w:space="0" w:color="auto"/>
              <w:right w:val="single" w:sz="6" w:space="0" w:color="000000"/>
            </w:tcBorders>
          </w:tcPr>
          <w:p>
            <w:pPr/>
          </w:p>
        </w:tc>
        <w:tc>
          <w:tcPr>
            <w:tcW w:w="1699"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1702" w:type="dxa"/>
            <w:tcBorders>
              <w:top w:val="single" w:sz="6" w:space="0" w:color="000000"/>
              <w:left w:val="single" w:sz="6" w:space="0" w:color="000000"/>
              <w:bottom w:val="nil" w:sz="6" w:space="0" w:color="auto"/>
              <w:right w:val="single" w:sz="6" w:space="0" w:color="000000"/>
            </w:tcBorders>
          </w:tcPr>
          <w:p>
            <w:pPr/>
          </w:p>
        </w:tc>
        <w:tc>
          <w:tcPr>
            <w:tcW w:w="1700" w:type="dxa"/>
            <w:tcBorders>
              <w:top w:val="single" w:sz="6" w:space="0" w:color="000000"/>
              <w:left w:val="single" w:sz="6" w:space="0" w:color="000000"/>
              <w:bottom w:val="nil" w:sz="6" w:space="0" w:color="auto"/>
              <w:right w:val="single" w:sz="6" w:space="0" w:color="000000"/>
            </w:tcBorders>
          </w:tcPr>
          <w:p>
            <w:pPr/>
          </w:p>
        </w:tc>
        <w:tc>
          <w:tcPr>
            <w:tcW w:w="779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、使用</w:t>
            </w:r>
            <w:r>
              <w:rPr>
                <w:rFonts w:ascii="Times New Roman" w:hAnsi="Times New Roman" w:cs="Times New Roman" w:eastAsia="Times New Roman" w:hint="default"/>
                <w:spacing w:val="-1"/>
                <w:sz w:val="18"/>
                <w:szCs w:val="18"/>
              </w:rPr>
              <w:t>Raft</w:t>
            </w:r>
            <w:r>
              <w:rPr>
                <w:rFonts w:ascii="宋体" w:hAnsi="宋体" w:cs="宋体" w:eastAsia="宋体" w:hint="default"/>
                <w:spacing w:val="-1"/>
                <w:sz w:val="18"/>
                <w:szCs w:val="18"/>
              </w:rPr>
              <w:t>分布式共识算法，结合</w:t>
            </w:r>
            <w:r>
              <w:rPr>
                <w:rFonts w:ascii="Times New Roman" w:hAnsi="Times New Roman" w:cs="Times New Roman" w:eastAsia="Times New Roman" w:hint="default"/>
                <w:spacing w:val="-1"/>
                <w:sz w:val="18"/>
                <w:szCs w:val="18"/>
              </w:rPr>
              <w:t>rpc</w:t>
            </w:r>
            <w:r>
              <w:rPr>
                <w:rFonts w:ascii="宋体" w:hAnsi="宋体" w:cs="宋体" w:eastAsia="宋体" w:hint="default"/>
                <w:spacing w:val="-1"/>
                <w:sz w:val="18"/>
                <w:szCs w:val="18"/>
              </w:rPr>
              <w:t>和一致性</w:t>
            </w:r>
            <w:r>
              <w:rPr>
                <w:rFonts w:ascii="Times New Roman" w:hAnsi="Times New Roman" w:cs="Times New Roman" w:eastAsia="Times New Roman" w:hint="default"/>
                <w:spacing w:val="-1"/>
                <w:sz w:val="18"/>
                <w:szCs w:val="18"/>
              </w:rPr>
              <w:t>hash</w:t>
            </w:r>
            <w:r>
              <w:rPr>
                <w:rFonts w:ascii="宋体" w:hAnsi="宋体" w:cs="宋体" w:eastAsia="宋体" w:hint="default"/>
                <w:spacing w:val="-1"/>
                <w:sz w:val="18"/>
                <w:szCs w:val="18"/>
              </w:rPr>
              <w:t>实现的集群通信框架，完成集群节点之间的有状</w:t>
            </w:r>
          </w:p>
        </w:tc>
      </w:tr>
      <w:tr>
        <w:trPr>
          <w:trHeight w:val="30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态通信。</w:t>
            </w:r>
          </w:p>
        </w:tc>
      </w:tr>
      <w:tr>
        <w:trPr>
          <w:trHeight w:val="340"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基于物模型的物联网</w:t>
            </w: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、基于</w:t>
            </w:r>
            <w:r>
              <w:rPr>
                <w:rFonts w:ascii="Times New Roman" w:hAnsi="Times New Roman" w:cs="Times New Roman" w:eastAsia="Times New Roman" w:hint="default"/>
                <w:sz w:val="18"/>
                <w:szCs w:val="18"/>
              </w:rPr>
              <w:t>Trie</w:t>
            </w:r>
            <w:r>
              <w:rPr>
                <w:rFonts w:ascii="宋体" w:hAnsi="宋体" w:cs="宋体" w:eastAsia="宋体" w:hint="default"/>
                <w:sz w:val="18"/>
                <w:szCs w:val="18"/>
              </w:rPr>
              <w:t>树实现的分布层和本地层高速路由，支撑数据的高速分发和支持广播。</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0"/>
              <w:jc w:val="center"/>
              <w:rPr>
                <w:rFonts w:ascii="Times New Roman" w:hAnsi="Times New Roman" w:cs="Times New Roman" w:eastAsia="Times New Roman" w:hint="default"/>
                <w:sz w:val="18"/>
                <w:szCs w:val="18"/>
              </w:rPr>
            </w:pPr>
            <w:r>
              <w:rPr>
                <w:rFonts w:ascii="Times New Roman"/>
                <w:sz w:val="18"/>
              </w:rPr>
              <w:t>22</w:t>
            </w:r>
          </w:p>
        </w:tc>
        <w:tc>
          <w:tcPr>
            <w:tcW w:w="1699" w:type="dxa"/>
            <w:tcBorders>
              <w:top w:val="nil" w:sz="6" w:space="0" w:color="auto"/>
              <w:left w:val="single" w:sz="6" w:space="0" w:color="000000"/>
              <w:bottom w:val="nil" w:sz="6" w:space="0" w:color="auto"/>
              <w:right w:val="single" w:sz="6" w:space="0" w:color="000000"/>
            </w:tcBorders>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平台</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18" w:lineRule="exact"/>
              <w:ind w:left="1" w:right="0"/>
              <w:jc w:val="center"/>
              <w:rPr>
                <w:rFonts w:ascii="宋体" w:hAnsi="宋体" w:cs="宋体" w:eastAsia="宋体" w:hint="default"/>
                <w:sz w:val="18"/>
                <w:szCs w:val="18"/>
              </w:rPr>
            </w:pPr>
            <w:r>
              <w:rPr>
                <w:rFonts w:ascii="宋体" w:hAnsi="宋体" w:cs="宋体" w:eastAsia="宋体" w:hint="default"/>
                <w:sz w:val="18"/>
                <w:szCs w:val="18"/>
              </w:rPr>
              <w:t>物联网</w:t>
            </w:r>
          </w:p>
        </w:tc>
        <w:tc>
          <w:tcPr>
            <w:tcW w:w="1702" w:type="dxa"/>
            <w:tcBorders>
              <w:top w:val="nil" w:sz="6" w:space="0" w:color="auto"/>
              <w:left w:val="single" w:sz="6" w:space="0" w:color="000000"/>
              <w:bottom w:val="nil" w:sz="6" w:space="0" w:color="auto"/>
              <w:right w:val="single" w:sz="6" w:space="0" w:color="000000"/>
            </w:tcBorders>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t>开发阶段</w:t>
            </w:r>
          </w:p>
        </w:tc>
        <w:tc>
          <w:tcPr>
            <w:tcW w:w="1700"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27" w:right="0"/>
              <w:jc w:val="left"/>
              <w:rPr>
                <w:rFonts w:ascii="Times New Roman" w:hAnsi="Times New Roman" w:cs="Times New Roman" w:eastAsia="Times New Roman" w:hint="default"/>
                <w:sz w:val="18"/>
                <w:szCs w:val="18"/>
              </w:rPr>
            </w:pPr>
            <w:r>
              <w:rPr>
                <w:rFonts w:ascii="Times New Roman"/>
                <w:sz w:val="18"/>
              </w:rPr>
              <w:t>2019/4/5-2020/3/31</w:t>
            </w: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31" w:lineRule="exact"/>
              <w:ind w:left="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、基于推理引擎正向链从事实到结论的推理。实现主题和内容的过滤，支持正则表达式。并增加主</w:t>
            </w:r>
          </w:p>
        </w:tc>
      </w:tr>
      <w:tr>
        <w:trPr>
          <w:trHeight w:val="284"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18" w:lineRule="exact"/>
              <w:ind w:left="3" w:right="0"/>
              <w:jc w:val="left"/>
              <w:rPr>
                <w:rFonts w:ascii="宋体" w:hAnsi="宋体" w:cs="宋体" w:eastAsia="宋体" w:hint="default"/>
                <w:sz w:val="18"/>
                <w:szCs w:val="18"/>
              </w:rPr>
            </w:pPr>
            <w:r>
              <w:rPr>
                <w:rFonts w:ascii="宋体" w:hAnsi="宋体" w:cs="宋体" w:eastAsia="宋体" w:hint="default"/>
                <w:sz w:val="18"/>
                <w:szCs w:val="18"/>
              </w:rPr>
              <w:t>题和内容的加工和修改。然后转向不同插件或者进入路由流转。</w:t>
            </w:r>
          </w:p>
        </w:tc>
      </w:tr>
      <w:tr>
        <w:trPr>
          <w:trHeight w:val="31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、支持可选通道加密。</w:t>
            </w:r>
          </w:p>
        </w:tc>
      </w:tr>
      <w:tr>
        <w:trPr>
          <w:trHeight w:val="324" w:hRule="exact"/>
        </w:trPr>
        <w:tc>
          <w:tcPr>
            <w:tcW w:w="710" w:type="dxa"/>
            <w:tcBorders>
              <w:top w:val="nil" w:sz="6" w:space="0" w:color="auto"/>
              <w:left w:val="single" w:sz="6" w:space="0" w:color="000000"/>
              <w:bottom w:val="single" w:sz="6" w:space="0" w:color="000000"/>
              <w:right w:val="single" w:sz="6" w:space="0" w:color="000000"/>
            </w:tcBorders>
          </w:tcPr>
          <w:p>
            <w:pPr/>
          </w:p>
        </w:tc>
        <w:tc>
          <w:tcPr>
            <w:tcW w:w="1699"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1702" w:type="dxa"/>
            <w:tcBorders>
              <w:top w:val="nil" w:sz="6" w:space="0" w:color="auto"/>
              <w:left w:val="single" w:sz="6" w:space="0" w:color="000000"/>
              <w:bottom w:val="single" w:sz="6" w:space="0" w:color="000000"/>
              <w:right w:val="single" w:sz="6" w:space="0" w:color="000000"/>
            </w:tcBorders>
          </w:tcPr>
          <w:p>
            <w:pPr/>
          </w:p>
        </w:tc>
        <w:tc>
          <w:tcPr>
            <w:tcW w:w="1700" w:type="dxa"/>
            <w:tcBorders>
              <w:top w:val="nil" w:sz="6" w:space="0" w:color="auto"/>
              <w:left w:val="single" w:sz="6" w:space="0" w:color="000000"/>
              <w:bottom w:val="single" w:sz="6" w:space="0" w:color="000000"/>
              <w:right w:val="single" w:sz="6" w:space="0" w:color="000000"/>
            </w:tcBorders>
          </w:tcPr>
          <w:p>
            <w:pPr/>
          </w:p>
        </w:tc>
        <w:tc>
          <w:tcPr>
            <w:tcW w:w="779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、物模型管理和分发机制。</w:t>
            </w:r>
          </w:p>
        </w:tc>
      </w:tr>
      <w:tr>
        <w:trPr>
          <w:trHeight w:val="335" w:hRule="exact"/>
        </w:trPr>
        <w:tc>
          <w:tcPr>
            <w:tcW w:w="710" w:type="dxa"/>
            <w:tcBorders>
              <w:top w:val="single" w:sz="6" w:space="0" w:color="000000"/>
              <w:left w:val="single" w:sz="6" w:space="0" w:color="000000"/>
              <w:bottom w:val="nil" w:sz="6" w:space="0" w:color="auto"/>
              <w:right w:val="single" w:sz="6" w:space="0" w:color="000000"/>
            </w:tcBorders>
          </w:tcPr>
          <w:p>
            <w:pPr/>
          </w:p>
        </w:tc>
        <w:tc>
          <w:tcPr>
            <w:tcW w:w="1699"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1702" w:type="dxa"/>
            <w:tcBorders>
              <w:top w:val="single" w:sz="6" w:space="0" w:color="000000"/>
              <w:left w:val="single" w:sz="6" w:space="0" w:color="000000"/>
              <w:bottom w:val="nil" w:sz="6" w:space="0" w:color="auto"/>
              <w:right w:val="single" w:sz="6" w:space="0" w:color="000000"/>
            </w:tcBorders>
          </w:tcPr>
          <w:p>
            <w:pPr/>
          </w:p>
        </w:tc>
        <w:tc>
          <w:tcPr>
            <w:tcW w:w="1700" w:type="dxa"/>
            <w:tcBorders>
              <w:top w:val="single" w:sz="6" w:space="0" w:color="000000"/>
              <w:left w:val="single" w:sz="6" w:space="0" w:color="000000"/>
              <w:bottom w:val="nil" w:sz="6" w:space="0" w:color="auto"/>
              <w:right w:val="single" w:sz="6" w:space="0" w:color="000000"/>
            </w:tcBorders>
          </w:tcPr>
          <w:p>
            <w:pPr/>
          </w:p>
        </w:tc>
        <w:tc>
          <w:tcPr>
            <w:tcW w:w="779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基于容器化环境的软件授权认证管理系统，采用公司授权管理端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客户认证终端两级模式进行管</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理，</w:t>
            </w:r>
            <w:r>
              <w:rPr>
                <w:rFonts w:ascii="Times New Roman" w:hAnsi="Times New Roman" w:cs="Times New Roman" w:eastAsia="Times New Roman" w:hint="default"/>
                <w:sz w:val="18"/>
                <w:szCs w:val="18"/>
              </w:rPr>
              <w:t>Web</w:t>
            </w:r>
            <w:r>
              <w:rPr>
                <w:rFonts w:ascii="宋体" w:hAnsi="宋体" w:cs="宋体" w:eastAsia="宋体" w:hint="default"/>
                <w:sz w:val="18"/>
                <w:szCs w:val="18"/>
              </w:rPr>
              <w:t>架构，</w:t>
            </w:r>
            <w:r>
              <w:rPr>
                <w:rFonts w:ascii="Times New Roman" w:hAnsi="Times New Roman" w:cs="Times New Roman" w:eastAsia="Times New Roman" w:hint="default"/>
                <w:sz w:val="18"/>
                <w:szCs w:val="18"/>
              </w:rPr>
              <w:t>JAVA</w:t>
            </w:r>
            <w:r>
              <w:rPr>
                <w:rFonts w:ascii="宋体" w:hAnsi="宋体" w:cs="宋体" w:eastAsia="宋体" w:hint="default"/>
                <w:sz w:val="18"/>
                <w:szCs w:val="18"/>
              </w:rPr>
              <w:t>开发，</w:t>
            </w:r>
            <w:r>
              <w:rPr>
                <w:rFonts w:ascii="Times New Roman" w:hAnsi="Times New Roman" w:cs="Times New Roman" w:eastAsia="Times New Roman" w:hint="default"/>
                <w:sz w:val="18"/>
                <w:szCs w:val="18"/>
              </w:rPr>
              <w:t>Linux</w:t>
            </w:r>
            <w:r>
              <w:rPr>
                <w:rFonts w:ascii="宋体" w:hAnsi="宋体" w:cs="宋体" w:eastAsia="宋体" w:hint="default"/>
                <w:sz w:val="18"/>
                <w:szCs w:val="18"/>
              </w:rPr>
              <w:t>部署。</w:t>
            </w:r>
          </w:p>
        </w:tc>
      </w:tr>
      <w:tr>
        <w:trPr>
          <w:trHeight w:val="262"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、服务器端：按人员角色进行授权管理，支持工作流方式，支持浏览器和手机</w:t>
            </w:r>
            <w:r>
              <w:rPr>
                <w:rFonts w:ascii="Times New Roman" w:hAnsi="Times New Roman" w:cs="Times New Roman" w:eastAsia="Times New Roman" w:hint="default"/>
                <w:sz w:val="18"/>
                <w:szCs w:val="18"/>
              </w:rPr>
              <w:t>app</w:t>
            </w:r>
            <w:r>
              <w:rPr>
                <w:rFonts w:ascii="宋体" w:hAnsi="宋体" w:cs="宋体" w:eastAsia="宋体" w:hint="default"/>
                <w:sz w:val="18"/>
                <w:szCs w:val="18"/>
              </w:rPr>
              <w:t>；</w:t>
            </w:r>
          </w:p>
        </w:tc>
      </w:tr>
      <w:tr>
        <w:trPr>
          <w:trHeight w:val="669" w:hRule="exact"/>
        </w:trPr>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w:t>
            </w:r>
          </w:p>
        </w:tc>
        <w:tc>
          <w:tcPr>
            <w:tcW w:w="1699" w:type="dxa"/>
            <w:tcBorders>
              <w:top w:val="nil" w:sz="6" w:space="0" w:color="auto"/>
              <w:left w:val="single" w:sz="6" w:space="0" w:color="000000"/>
              <w:bottom w:val="nil" w:sz="6" w:space="0" w:color="auto"/>
              <w:right w:val="single" w:sz="6" w:space="0" w:color="000000"/>
            </w:tcBorders>
          </w:tcPr>
          <w:p>
            <w:pPr>
              <w:pStyle w:val="TableParagraph"/>
              <w:spacing w:line="191" w:lineRule="exact"/>
              <w:ind w:left="32" w:right="0"/>
              <w:jc w:val="left"/>
              <w:rPr>
                <w:rFonts w:ascii="宋体" w:hAnsi="宋体" w:cs="宋体" w:eastAsia="宋体" w:hint="default"/>
                <w:sz w:val="18"/>
                <w:szCs w:val="18"/>
              </w:rPr>
            </w:pPr>
            <w:r>
              <w:rPr>
                <w:rFonts w:ascii="宋体" w:hAnsi="宋体" w:cs="宋体" w:eastAsia="宋体" w:hint="default"/>
                <w:sz w:val="18"/>
                <w:szCs w:val="18"/>
              </w:rPr>
              <w:t>基于容器化环境的软</w:t>
            </w:r>
          </w:p>
          <w:p>
            <w:pPr>
              <w:pStyle w:val="TableParagraph"/>
              <w:spacing w:line="240" w:lineRule="auto" w:before="76"/>
              <w:ind w:left="32" w:right="0"/>
              <w:jc w:val="left"/>
              <w:rPr>
                <w:rFonts w:ascii="宋体" w:hAnsi="宋体" w:cs="宋体" w:eastAsia="宋体" w:hint="default"/>
                <w:sz w:val="18"/>
                <w:szCs w:val="18"/>
              </w:rPr>
            </w:pPr>
            <w:r>
              <w:rPr>
                <w:rFonts w:ascii="宋体" w:hAnsi="宋体" w:cs="宋体" w:eastAsia="宋体" w:hint="default"/>
                <w:sz w:val="18"/>
                <w:szCs w:val="18"/>
              </w:rPr>
              <w:t>件授权认证管理系统</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信息安全</w:t>
            </w:r>
          </w:p>
        </w:tc>
        <w:tc>
          <w:tcPr>
            <w:tcW w:w="170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测试阶段</w:t>
            </w:r>
          </w:p>
        </w:tc>
        <w:tc>
          <w:tcPr>
            <w:tcW w:w="170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2019/4/1-2020/3/21</w:t>
            </w: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300" w:lineRule="auto" w:before="55"/>
              <w:ind w:left="3" w:right="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、客户端：开发设计授权认证服务器，硬件化安全认证，内置授权统一验证服务程序，对外统一调</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用协议接口。</w:t>
            </w:r>
          </w:p>
        </w:tc>
      </w:tr>
      <w:tr>
        <w:trPr>
          <w:trHeight w:val="317"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、业务功能：平台子系统和模块统一编码，和</w:t>
            </w:r>
            <w:r>
              <w:rPr>
                <w:rFonts w:ascii="Times New Roman" w:hAnsi="Times New Roman" w:cs="Times New Roman" w:eastAsia="Times New Roman" w:hint="default"/>
                <w:sz w:val="18"/>
                <w:szCs w:val="18"/>
              </w:rPr>
              <w:t>U8</w:t>
            </w:r>
            <w:r>
              <w:rPr>
                <w:rFonts w:ascii="宋体" w:hAnsi="宋体" w:cs="宋体" w:eastAsia="宋体" w:hint="default"/>
                <w:sz w:val="18"/>
                <w:szCs w:val="18"/>
              </w:rPr>
              <w:t>对应，下单后可自动识别是否已下单收费；</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699"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1700" w:type="dxa"/>
            <w:tcBorders>
              <w:top w:val="nil" w:sz="6" w:space="0" w:color="auto"/>
              <w:left w:val="single" w:sz="6" w:space="0" w:color="000000"/>
              <w:bottom w:val="nil" w:sz="6" w:space="0" w:color="auto"/>
              <w:right w:val="single" w:sz="6" w:space="0" w:color="000000"/>
            </w:tcBorders>
          </w:tcPr>
          <w:p>
            <w:pPr/>
          </w:p>
        </w:tc>
        <w:tc>
          <w:tcPr>
            <w:tcW w:w="77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、部署方式：支持线上模式，统一连接公司云端授权服务进行验证，支持线下模式，现场独立部署</w:t>
            </w:r>
          </w:p>
        </w:tc>
      </w:tr>
      <w:tr>
        <w:trPr>
          <w:trHeight w:val="325" w:hRule="exact"/>
        </w:trPr>
        <w:tc>
          <w:tcPr>
            <w:tcW w:w="710" w:type="dxa"/>
            <w:tcBorders>
              <w:top w:val="nil" w:sz="6" w:space="0" w:color="auto"/>
              <w:left w:val="single" w:sz="6" w:space="0" w:color="000000"/>
              <w:bottom w:val="single" w:sz="6" w:space="0" w:color="000000"/>
              <w:right w:val="single" w:sz="6" w:space="0" w:color="000000"/>
            </w:tcBorders>
          </w:tcPr>
          <w:p>
            <w:pPr/>
          </w:p>
        </w:tc>
        <w:tc>
          <w:tcPr>
            <w:tcW w:w="1699"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1702" w:type="dxa"/>
            <w:tcBorders>
              <w:top w:val="nil" w:sz="6" w:space="0" w:color="auto"/>
              <w:left w:val="single" w:sz="6" w:space="0" w:color="000000"/>
              <w:bottom w:val="single" w:sz="6" w:space="0" w:color="000000"/>
              <w:right w:val="single" w:sz="6" w:space="0" w:color="000000"/>
            </w:tcBorders>
          </w:tcPr>
          <w:p>
            <w:pPr/>
          </w:p>
        </w:tc>
        <w:tc>
          <w:tcPr>
            <w:tcW w:w="1700" w:type="dxa"/>
            <w:tcBorders>
              <w:top w:val="nil" w:sz="6" w:space="0" w:color="auto"/>
              <w:left w:val="single" w:sz="6" w:space="0" w:color="000000"/>
              <w:bottom w:val="single" w:sz="6" w:space="0" w:color="000000"/>
              <w:right w:val="single" w:sz="6" w:space="0" w:color="000000"/>
            </w:tcBorders>
          </w:tcPr>
          <w:p>
            <w:pPr/>
          </w:p>
        </w:tc>
        <w:tc>
          <w:tcPr>
            <w:tcW w:w="779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一台授权服务器进行验证。</w:t>
            </w:r>
          </w:p>
        </w:tc>
      </w:tr>
    </w:tbl>
    <w:p>
      <w:pPr>
        <w:spacing w:after="0" w:line="240" w:lineRule="auto"/>
        <w:jc w:val="left"/>
        <w:rPr>
          <w:rFonts w:ascii="宋体" w:hAnsi="宋体" w:cs="宋体" w:eastAsia="宋体" w:hint="default"/>
          <w:sz w:val="18"/>
          <w:szCs w:val="18"/>
        </w:rPr>
        <w:sectPr>
          <w:pgSz w:w="16840" w:h="11910" w:orient="landscape"/>
          <w:pgMar w:header="867" w:footer="978" w:top="1060" w:bottom="1160" w:left="1320" w:right="540"/>
        </w:sectPr>
      </w:pPr>
    </w:p>
    <w:p>
      <w:pPr>
        <w:spacing w:line="240" w:lineRule="auto" w:before="0"/>
        <w:rPr>
          <w:rFonts w:ascii="Times New Roman" w:hAnsi="Times New Roman" w:cs="Times New Roman" w:eastAsia="Times New Roman" w:hint="default"/>
          <w:sz w:val="25"/>
          <w:szCs w:val="25"/>
        </w:rPr>
      </w:pPr>
    </w:p>
    <w:p>
      <w:pPr>
        <w:spacing w:before="44"/>
        <w:ind w:left="153" w:right="1113"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38.65%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162,619,980.92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128,134,601.99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105,051,851.48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13.65%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41,273,137.83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13,907,413.62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5,729,165.17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5.45%</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4.79%</w:t>
            </w: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240" w:lineRule="auto" w:before="10"/>
        <w:rPr>
          <w:rFonts w:ascii="宋体" w:hAnsi="宋体" w:cs="宋体" w:eastAsia="宋体" w:hint="default"/>
          <w:sz w:val="20"/>
          <w:szCs w:val="20"/>
        </w:rPr>
      </w:pPr>
    </w:p>
    <w:p>
      <w:pPr>
        <w:spacing w:line="489" w:lineRule="auto" w:before="0"/>
        <w:ind w:left="154" w:right="67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85"/>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111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1,130,523,480.10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912,581,337.41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23.88%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955,245,538.25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882,134,872.89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175,277,941.85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30,446,464.52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475.69%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530,071,075.45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376,561,777.22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40.77%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477,250,374.90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527,049,211.14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52,820,700.55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-150,487,433.92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135.10%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327,657,143.00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209,640,000.00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56.30%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358,492,688.89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325,818,331.55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-30,835,545.89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-116,178,331.55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73.46%</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197,263,096.51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-236,219,300.95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183.51%</w:t>
            </w: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line="240" w:lineRule="auto" w:before="10"/>
        <w:rPr>
          <w:rFonts w:ascii="宋体" w:hAnsi="宋体" w:cs="宋体" w:eastAsia="宋体" w:hint="default"/>
          <w:sz w:val="20"/>
          <w:szCs w:val="20"/>
        </w:rPr>
      </w:pPr>
    </w:p>
    <w:p>
      <w:pPr>
        <w:spacing w:before="0"/>
        <w:ind w:left="153"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headerReference w:type="default" r:id="rId17"/>
          <w:footerReference w:type="default" r:id="rId18"/>
          <w:pgSz w:w="11910" w:h="16840"/>
          <w:pgMar w:header="877" w:footer="982" w:top="1100" w:bottom="1180" w:left="980" w:right="0"/>
          <w:pgNumType w:start="41"/>
        </w:sectPr>
      </w:pPr>
    </w:p>
    <w:p>
      <w:pPr>
        <w:spacing w:line="240" w:lineRule="auto" w:before="8"/>
        <w:rPr>
          <w:rFonts w:ascii="宋体" w:hAnsi="宋体" w:cs="宋体" w:eastAsia="宋体" w:hint="default"/>
          <w:sz w:val="26"/>
          <w:szCs w:val="26"/>
        </w:rPr>
      </w:pPr>
    </w:p>
    <w:p>
      <w:pPr>
        <w:pStyle w:val="BodyText"/>
        <w:spacing w:line="240" w:lineRule="auto" w:before="35"/>
        <w:ind w:left="574" w:right="1113"/>
        <w:jc w:val="left"/>
      </w:pPr>
      <w:r>
        <w:rPr/>
        <w:t>（</w:t>
      </w:r>
      <w:r>
        <w:rPr>
          <w:rFonts w:ascii="Times New Roman" w:hAnsi="Times New Roman" w:cs="Times New Roman" w:eastAsia="Times New Roman" w:hint="default"/>
        </w:rPr>
        <w:t>1</w:t>
      </w:r>
      <w:r>
        <w:rPr/>
        <w:t>）经营活动产生的现金流量净额同比增长</w:t>
      </w:r>
      <w:r>
        <w:rPr>
          <w:rFonts w:ascii="Times New Roman" w:hAnsi="Times New Roman" w:cs="Times New Roman" w:eastAsia="Times New Roman" w:hint="default"/>
        </w:rPr>
        <w:t>475.69%</w:t>
      </w:r>
      <w:r>
        <w:rPr/>
        <w:t>，主要原因：</w:t>
      </w:r>
    </w:p>
    <w:p>
      <w:pPr>
        <w:pStyle w:val="BodyText"/>
        <w:spacing w:line="240" w:lineRule="auto" w:before="177"/>
        <w:ind w:left="574" w:right="1113"/>
        <w:jc w:val="left"/>
      </w:pPr>
      <w:r>
        <w:rPr/>
        <w:t>①公司加大销售回款力度，本报告期销售商品提供劳务收到的现金较上期增加</w:t>
      </w:r>
      <w:r>
        <w:rPr>
          <w:rFonts w:ascii="Times New Roman" w:hAnsi="Times New Roman" w:cs="Times New Roman" w:eastAsia="Times New Roman" w:hint="default"/>
        </w:rPr>
        <w:t>23.88%</w:t>
      </w:r>
      <w:r>
        <w:rPr/>
        <w:t>；</w:t>
      </w:r>
    </w:p>
    <w:p>
      <w:pPr>
        <w:pStyle w:val="BodyText"/>
        <w:spacing w:line="240" w:lineRule="auto" w:before="177"/>
        <w:ind w:left="574" w:right="1113"/>
        <w:jc w:val="left"/>
      </w:pPr>
      <w:r>
        <w:rPr/>
        <w:t>②本报告期内经营活动现金流出同比增长</w:t>
      </w:r>
      <w:r>
        <w:rPr>
          <w:rFonts w:ascii="Times New Roman" w:hAnsi="Times New Roman" w:cs="Times New Roman" w:eastAsia="Times New Roman" w:hint="default"/>
        </w:rPr>
        <w:t>8.29%</w:t>
      </w:r>
      <w:r>
        <w:rPr/>
        <w:t>，远低于流入增长；</w:t>
      </w:r>
    </w:p>
    <w:p>
      <w:pPr>
        <w:pStyle w:val="BodyText"/>
        <w:spacing w:line="240" w:lineRule="auto" w:before="177"/>
        <w:ind w:left="574" w:right="1113"/>
        <w:jc w:val="left"/>
      </w:pPr>
      <w:r>
        <w:rPr/>
        <w:t>（</w:t>
      </w:r>
      <w:r>
        <w:rPr>
          <w:rFonts w:ascii="Times New Roman" w:hAnsi="Times New Roman" w:cs="Times New Roman" w:eastAsia="Times New Roman" w:hint="default"/>
        </w:rPr>
        <w:t>2</w:t>
      </w:r>
      <w:r>
        <w:rPr/>
        <w:t>）投资活动产生的现金流量净额同比增长</w:t>
      </w:r>
      <w:r>
        <w:rPr>
          <w:rFonts w:ascii="Times New Roman" w:hAnsi="Times New Roman" w:cs="Times New Roman" w:eastAsia="Times New Roman" w:hint="default"/>
        </w:rPr>
        <w:t>135.10%</w:t>
      </w:r>
      <w:r>
        <w:rPr/>
        <w:t>，主要原因：</w:t>
      </w:r>
    </w:p>
    <w:p>
      <w:pPr>
        <w:pStyle w:val="BodyText"/>
        <w:spacing w:line="240" w:lineRule="auto" w:before="177"/>
        <w:ind w:left="574" w:right="1113"/>
        <w:jc w:val="left"/>
      </w:pPr>
      <w:r>
        <w:rPr/>
        <w:t>①本报告期公司进行现金管理到期赎回的及现金管理投资收益较上年同期增加；</w:t>
      </w:r>
    </w:p>
    <w:p>
      <w:pPr>
        <w:spacing w:line="240" w:lineRule="auto" w:before="10"/>
        <w:rPr>
          <w:rFonts w:ascii="宋体" w:hAnsi="宋体" w:cs="宋体" w:eastAsia="宋体" w:hint="default"/>
          <w:sz w:val="14"/>
          <w:szCs w:val="14"/>
        </w:rPr>
      </w:pPr>
    </w:p>
    <w:p>
      <w:pPr>
        <w:pStyle w:val="BodyText"/>
        <w:spacing w:line="240" w:lineRule="auto" w:before="0"/>
        <w:ind w:left="574" w:right="1113"/>
        <w:jc w:val="left"/>
      </w:pPr>
      <w:r>
        <w:rPr/>
        <w:t>②本报告期内公司新增现金管理较上年同期下降；</w:t>
      </w:r>
    </w:p>
    <w:p>
      <w:pPr>
        <w:spacing w:line="240" w:lineRule="auto" w:before="10"/>
        <w:rPr>
          <w:rFonts w:ascii="宋体" w:hAnsi="宋体" w:cs="宋体" w:eastAsia="宋体" w:hint="default"/>
          <w:sz w:val="14"/>
          <w:szCs w:val="14"/>
        </w:rPr>
      </w:pPr>
    </w:p>
    <w:p>
      <w:pPr>
        <w:pStyle w:val="BodyText"/>
        <w:spacing w:line="240" w:lineRule="auto" w:before="0"/>
        <w:ind w:left="574" w:right="1113"/>
        <w:jc w:val="left"/>
      </w:pPr>
      <w:r>
        <w:rPr/>
        <w:t>（</w:t>
      </w:r>
      <w:r>
        <w:rPr>
          <w:rFonts w:ascii="Times New Roman" w:hAnsi="Times New Roman" w:cs="Times New Roman" w:eastAsia="Times New Roman" w:hint="default"/>
        </w:rPr>
        <w:t>3</w:t>
      </w:r>
      <w:r>
        <w:rPr/>
        <w:t>）筹资活动产生的现金流量净额较上年同期增加</w:t>
      </w:r>
      <w:r>
        <w:rPr>
          <w:rFonts w:ascii="Times New Roman" w:hAnsi="Times New Roman" w:cs="Times New Roman" w:eastAsia="Times New Roman" w:hint="default"/>
        </w:rPr>
        <w:t>73.46%</w:t>
      </w:r>
      <w:r>
        <w:rPr/>
        <w:t>，主要原因：</w:t>
      </w:r>
    </w:p>
    <w:p>
      <w:pPr>
        <w:pStyle w:val="BodyText"/>
        <w:spacing w:line="240" w:lineRule="auto" w:before="177"/>
        <w:ind w:left="574" w:right="1113"/>
        <w:jc w:val="left"/>
      </w:pPr>
      <w:r>
        <w:rPr/>
        <w:t>①报告期内子公司完美数联收到股东投资款；</w:t>
      </w:r>
    </w:p>
    <w:p>
      <w:pPr>
        <w:spacing w:line="240" w:lineRule="auto" w:before="10"/>
        <w:rPr>
          <w:rFonts w:ascii="宋体" w:hAnsi="宋体" w:cs="宋体" w:eastAsia="宋体" w:hint="default"/>
          <w:sz w:val="14"/>
          <w:szCs w:val="14"/>
        </w:rPr>
      </w:pPr>
    </w:p>
    <w:p>
      <w:pPr>
        <w:pStyle w:val="BodyText"/>
        <w:spacing w:line="240" w:lineRule="auto" w:before="0"/>
        <w:ind w:left="574" w:right="1113"/>
        <w:jc w:val="left"/>
      </w:pPr>
      <w:r>
        <w:rPr/>
        <w:t>②本报告期内偿还银行借款增加。</w:t>
      </w:r>
    </w:p>
    <w:p>
      <w:pPr>
        <w:spacing w:line="240" w:lineRule="auto" w:before="11"/>
        <w:rPr>
          <w:rFonts w:ascii="宋体" w:hAnsi="宋体" w:cs="宋体" w:eastAsia="宋体" w:hint="default"/>
          <w:sz w:val="19"/>
          <w:szCs w:val="19"/>
        </w:rPr>
      </w:pPr>
    </w:p>
    <w:p>
      <w:pPr>
        <w:spacing w:before="0"/>
        <w:ind w:left="154" w:right="1113"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line="240" w:lineRule="auto" w:before="12"/>
        <w:rPr>
          <w:rFonts w:ascii="宋体" w:hAnsi="宋体" w:cs="宋体" w:eastAsia="宋体" w:hint="default"/>
          <w:sz w:val="20"/>
          <w:szCs w:val="20"/>
        </w:rPr>
      </w:pPr>
    </w:p>
    <w:p>
      <w:pPr>
        <w:spacing w:before="0"/>
        <w:ind w:left="153"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2"/>
        <w:spacing w:line="240" w:lineRule="auto" w:before="155"/>
        <w:ind w:right="1113"/>
        <w:jc w:val="left"/>
        <w:rPr>
          <w:b w:val="0"/>
          <w:bCs w:val="0"/>
        </w:rPr>
      </w:pPr>
      <w:r>
        <w:rPr/>
        <w:t>三、非主营业务情况</w:t>
      </w:r>
      <w:r>
        <w:rPr>
          <w:b w:val="0"/>
          <w:bCs w:val="0"/>
        </w:rPr>
      </w:r>
    </w:p>
    <w:p>
      <w:pPr>
        <w:spacing w:line="240" w:lineRule="auto" w:before="3"/>
        <w:rPr>
          <w:rFonts w:ascii="宋体" w:hAnsi="宋体" w:cs="宋体" w:eastAsia="宋体" w:hint="default"/>
          <w:b/>
          <w:bCs/>
          <w:sz w:val="23"/>
          <w:szCs w:val="23"/>
        </w:rPr>
      </w:pPr>
    </w:p>
    <w:p>
      <w:pPr>
        <w:spacing w:before="44"/>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2"/>
        <w:gridCol w:w="2166"/>
        <w:gridCol w:w="2340"/>
      </w:tblGrid>
      <w:tr>
        <w:trPr>
          <w:trHeight w:val="401"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64" w:hRule="exact"/>
        </w:trPr>
        <w:tc>
          <w:tcPr>
            <w:tcW w:w="152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6" w:type="dxa"/>
            <w:tcBorders>
              <w:top w:val="single" w:sz="4" w:space="0" w:color="000000"/>
              <w:left w:val="single" w:sz="4" w:space="0" w:color="000000"/>
              <w:bottom w:val="nil" w:sz="6" w:space="0" w:color="auto"/>
              <w:right w:val="single" w:sz="4" w:space="0" w:color="000000"/>
            </w:tcBorders>
          </w:tcPr>
          <w:p>
            <w:pPr/>
          </w:p>
        </w:tc>
        <w:tc>
          <w:tcPr>
            <w:tcW w:w="1622" w:type="dxa"/>
            <w:tcBorders>
              <w:top w:val="single" w:sz="4" w:space="0" w:color="000000"/>
              <w:left w:val="single" w:sz="4" w:space="0" w:color="000000"/>
              <w:bottom w:val="nil" w:sz="6" w:space="0" w:color="auto"/>
              <w:right w:val="single" w:sz="4" w:space="0" w:color="000000"/>
            </w:tcBorders>
          </w:tcPr>
          <w:p>
            <w:pPr/>
          </w:p>
        </w:tc>
        <w:tc>
          <w:tcPr>
            <w:tcW w:w="21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）对外投资项目取得收</w:t>
            </w:r>
          </w:p>
        </w:tc>
        <w:tc>
          <w:tcPr>
            <w:tcW w:w="2340" w:type="dxa"/>
            <w:tcBorders>
              <w:top w:val="single" w:sz="4" w:space="0" w:color="000000"/>
              <w:left w:val="single" w:sz="4" w:space="0" w:color="000000"/>
              <w:bottom w:val="nil" w:sz="6" w:space="0" w:color="auto"/>
              <w:right w:val="single" w:sz="4" w:space="0" w:color="000000"/>
            </w:tcBorders>
          </w:tcPr>
          <w:p>
            <w:pPr/>
          </w:p>
        </w:tc>
      </w:tr>
      <w:tr>
        <w:trPr>
          <w:trHeight w:val="340" w:hRule="exact"/>
        </w:trPr>
        <w:tc>
          <w:tcPr>
            <w:tcW w:w="152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4"/>
              <w:ind w:right="1"/>
              <w:jc w:val="center"/>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11,206,774.03</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6.29%</w:t>
            </w:r>
          </w:p>
        </w:tc>
        <w:tc>
          <w:tcPr>
            <w:tcW w:w="21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益；</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3" w:hRule="exact"/>
        </w:trPr>
        <w:tc>
          <w:tcPr>
            <w:tcW w:w="1523"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6" w:type="dxa"/>
            <w:tcBorders>
              <w:top w:val="nil" w:sz="6" w:space="0" w:color="auto"/>
              <w:left w:val="single" w:sz="4" w:space="0" w:color="000000"/>
              <w:bottom w:val="single" w:sz="4" w:space="0" w:color="000000"/>
              <w:right w:val="single" w:sz="4" w:space="0" w:color="000000"/>
            </w:tcBorders>
          </w:tcPr>
          <w:p>
            <w:pPr/>
          </w:p>
        </w:tc>
        <w:tc>
          <w:tcPr>
            <w:tcW w:w="1622" w:type="dxa"/>
            <w:tcBorders>
              <w:top w:val="nil" w:sz="6" w:space="0" w:color="auto"/>
              <w:left w:val="single" w:sz="4" w:space="0" w:color="000000"/>
              <w:bottom w:val="single" w:sz="4" w:space="0" w:color="000000"/>
              <w:right w:val="single" w:sz="4" w:space="0" w:color="000000"/>
            </w:tcBorders>
          </w:tcPr>
          <w:p>
            <w:pPr/>
          </w:p>
        </w:tc>
        <w:tc>
          <w:tcPr>
            <w:tcW w:w="21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）现金管理的收益</w:t>
            </w:r>
          </w:p>
        </w:tc>
        <w:tc>
          <w:tcPr>
            <w:tcW w:w="2340"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-3,402,000.00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-1.91%</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0"/>
              <w:jc w:val="left"/>
              <w:rPr>
                <w:rFonts w:ascii="宋体" w:hAnsi="宋体" w:cs="宋体" w:eastAsia="宋体" w:hint="default"/>
                <w:sz w:val="18"/>
                <w:szCs w:val="18"/>
              </w:rPr>
            </w:pPr>
            <w:r>
              <w:rPr>
                <w:rFonts w:ascii="宋体" w:hAnsi="宋体" w:cs="宋体" w:eastAsia="宋体" w:hint="default"/>
                <w:sz w:val="18"/>
                <w:szCs w:val="18"/>
              </w:rPr>
              <w:t>对外投资业绩补偿款本期 实现</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74,362.11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1,206,116.86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0.68%</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主要系对外捐赠</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信用减值损失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-19,702,192.66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-11.06%</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0"/>
              <w:jc w:val="left"/>
              <w:rPr>
                <w:rFonts w:ascii="宋体" w:hAnsi="宋体" w:cs="宋体" w:eastAsia="宋体" w:hint="default"/>
                <w:sz w:val="18"/>
                <w:szCs w:val="18"/>
              </w:rPr>
            </w:pPr>
            <w:r>
              <w:rPr>
                <w:rFonts w:ascii="宋体" w:hAnsi="宋体" w:cs="宋体" w:eastAsia="宋体" w:hint="default"/>
                <w:sz w:val="18"/>
                <w:szCs w:val="18"/>
              </w:rPr>
              <w:t>主要系计提应收款项坏账 准备</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8"/>
          <w:szCs w:val="18"/>
        </w:rPr>
      </w:pPr>
    </w:p>
    <w:p>
      <w:pPr>
        <w:pStyle w:val="Heading2"/>
        <w:spacing w:line="240" w:lineRule="auto" w:before="26"/>
        <w:ind w:right="1113"/>
        <w:jc w:val="left"/>
        <w:rPr>
          <w:b w:val="0"/>
          <w:bCs w:val="0"/>
        </w:rPr>
      </w:pP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5"/>
        <w:gridCol w:w="1063"/>
        <w:gridCol w:w="798"/>
        <w:gridCol w:w="291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2917"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5"/>
        <w:gridCol w:w="1063"/>
        <w:gridCol w:w="798"/>
        <w:gridCol w:w="291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586,283,036.9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391,588,341.93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6.85%</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2"/>
              <w:jc w:val="both"/>
              <w:rPr>
                <w:rFonts w:ascii="宋体" w:hAnsi="宋体" w:cs="宋体" w:eastAsia="宋体" w:hint="default"/>
                <w:sz w:val="18"/>
                <w:szCs w:val="18"/>
              </w:rPr>
            </w:pPr>
            <w:r>
              <w:rPr>
                <w:rFonts w:ascii="宋体" w:hAnsi="宋体" w:cs="宋体" w:eastAsia="宋体" w:hint="default"/>
                <w:sz w:val="18"/>
                <w:szCs w:val="18"/>
              </w:rPr>
              <w:t>主要系报告期内经营性现金净流入 大幅增加以及期末现金管理较期初 减少所致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480,397,511.1</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417,074,051.07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237,679,106.0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234,624,298.05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-0.82%</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15,072,108.24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15,759,078.06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-0.10%</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49,376,942.34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87,973,749.69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主要系报告期内对希嘉教育增资控 股，报表合并范围增加所致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137,053,106.0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139,766,959.56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-0.69%</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2,236,716.70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主要系项目结项所致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-5.84%</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主要系报告期内偿还银行流动资金 借款所致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43,871,500.00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主要系报告期内银行借款到期偿还 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89,033,755.99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62,538,708.35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0.89%</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主要系新增合并范围的希嘉教育其 他应收款影响</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67,540,762.12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47,188,086.58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0.69%</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主要系新增合并范围希嘉教育和完 美数联所致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29,819,951.35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7,416,010.95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0.94%</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主要系报告期内公司加大对完美校 园</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APP</w:t>
            </w:r>
            <w:r>
              <w:rPr>
                <w:rFonts w:ascii="宋体" w:hAnsi="宋体" w:cs="宋体" w:eastAsia="宋体" w:hint="default"/>
                <w:spacing w:val="-3"/>
                <w:sz w:val="18"/>
                <w:szCs w:val="18"/>
              </w:rPr>
              <w:t>、基于融合支付的物联网云水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控系统等新项目研发投入所致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2,583,707.27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1,865,329.43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38,583,320.05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8,165,131.37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主要系购买福建新开普少数股权，分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期支付对价款所致</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82"/>
        <w:gridCol w:w="1014"/>
        <w:gridCol w:w="1063"/>
        <w:gridCol w:w="1194"/>
        <w:gridCol w:w="930"/>
        <w:gridCol w:w="1196"/>
        <w:gridCol w:w="1063"/>
        <w:gridCol w:w="914"/>
        <w:gridCol w:w="1212"/>
      </w:tblGrid>
      <w:tr>
        <w:trPr>
          <w:trHeight w:val="1026" w:hRule="exact"/>
        </w:trPr>
        <w:tc>
          <w:tcPr>
            <w:tcW w:w="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1" w:right="50"/>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9" w:right="98" w:hanging="90"/>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2"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981"/>
        <w:gridCol w:w="1015"/>
        <w:gridCol w:w="1063"/>
        <w:gridCol w:w="1194"/>
        <w:gridCol w:w="930"/>
        <w:gridCol w:w="1196"/>
        <w:gridCol w:w="1063"/>
        <w:gridCol w:w="914"/>
        <w:gridCol w:w="1212"/>
      </w:tblGrid>
      <w:tr>
        <w:trPr>
          <w:trHeight w:val="1338" w:hRule="exact"/>
        </w:trPr>
        <w:tc>
          <w:tcPr>
            <w:tcW w:w="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2" w:right="46"/>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 融资产（不 含衍生金融 资产）</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404,500,000.00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518,500,000.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9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52,000,000.00</w:t>
            </w:r>
          </w:p>
        </w:tc>
      </w:tr>
      <w:tr>
        <w:trPr>
          <w:trHeight w:val="714" w:hRule="exact"/>
        </w:trPr>
        <w:tc>
          <w:tcPr>
            <w:tcW w:w="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 资产</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-3,402,000.00</w:t>
            </w:r>
          </w:p>
        </w:tc>
        <w:tc>
          <w:tcPr>
            <w:tcW w:w="1194"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其他债权 投资</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 工具投资</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r>
      <w:tr>
        <w:trPr>
          <w:trHeight w:val="714" w:hRule="exact"/>
        </w:trPr>
        <w:tc>
          <w:tcPr>
            <w:tcW w:w="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46"/>
              <w:jc w:val="left"/>
              <w:rPr>
                <w:rFonts w:ascii="宋体" w:hAnsi="宋体" w:cs="宋体" w:eastAsia="宋体" w:hint="default"/>
                <w:sz w:val="18"/>
                <w:szCs w:val="18"/>
              </w:rPr>
            </w:pPr>
            <w:r>
              <w:rPr>
                <w:rFonts w:ascii="宋体" w:hAnsi="宋体" w:cs="宋体" w:eastAsia="宋体" w:hint="default"/>
                <w:sz w:val="18"/>
                <w:szCs w:val="18"/>
              </w:rPr>
              <w:t>金融资产小 计</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187,462,000.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-3,402,000.00</w:t>
            </w:r>
          </w:p>
        </w:tc>
        <w:tc>
          <w:tcPr>
            <w:tcW w:w="1194"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404,500,000.00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518,500,000.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52,060,000.00</w:t>
            </w:r>
          </w:p>
        </w:tc>
      </w:tr>
      <w:tr>
        <w:trPr>
          <w:trHeight w:val="714" w:hRule="exact"/>
        </w:trPr>
        <w:tc>
          <w:tcPr>
            <w:tcW w:w="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187,462,000.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-3,402,000.00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404,500,000.00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518,500,000.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52,060,000.00</w:t>
            </w:r>
          </w:p>
        </w:tc>
      </w:tr>
      <w:tr>
        <w:trPr>
          <w:trHeight w:val="402" w:hRule="exact"/>
        </w:trPr>
        <w:tc>
          <w:tcPr>
            <w:tcW w:w="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6"/>
        <w:rPr>
          <w:rFonts w:ascii="宋体" w:hAnsi="宋体" w:cs="宋体" w:eastAsia="宋体" w:hint="default"/>
          <w:sz w:val="6"/>
          <w:szCs w:val="6"/>
        </w:rPr>
      </w:pPr>
    </w:p>
    <w:p>
      <w:pPr>
        <w:spacing w:line="518" w:lineRule="auto" w:before="44"/>
        <w:ind w:left="154" w:right="9490" w:firstLine="0"/>
        <w:jc w:val="left"/>
        <w:rPr>
          <w:rFonts w:ascii="宋体" w:hAnsi="宋体" w:cs="宋体" w:eastAsia="宋体" w:hint="default"/>
          <w:sz w:val="18"/>
          <w:szCs w:val="18"/>
        </w:rPr>
      </w:pPr>
      <w:r>
        <w:rPr>
          <w:rFonts w:ascii="宋体" w:hAnsi="宋体" w:cs="宋体" w:eastAsia="宋体" w:hint="default"/>
          <w:sz w:val="18"/>
          <w:szCs w:val="18"/>
        </w:rPr>
        <w:t>其他变动的内容 无</w:t>
      </w:r>
    </w:p>
    <w:p>
      <w:pPr>
        <w:spacing w:before="63"/>
        <w:ind w:left="154" w:right="1113"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line="240" w:lineRule="auto" w:before="12"/>
        <w:rPr>
          <w:rFonts w:ascii="宋体" w:hAnsi="宋体" w:cs="宋体" w:eastAsia="宋体" w:hint="default"/>
          <w:sz w:val="20"/>
          <w:szCs w:val="20"/>
        </w:rPr>
      </w:pPr>
    </w:p>
    <w:p>
      <w:pPr>
        <w:spacing w:before="0"/>
        <w:ind w:left="153"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1113"/>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4396"/>
        <w:gridCol w:w="1984"/>
        <w:gridCol w:w="3260"/>
      </w:tblGrid>
      <w:tr>
        <w:trPr>
          <w:trHeight w:val="399" w:hRule="exact"/>
        </w:trPr>
        <w:tc>
          <w:tcPr>
            <w:tcW w:w="4396"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84"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52"/>
              <w:ind w:left="44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260"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37" w:hRule="exact"/>
        </w:trPr>
        <w:tc>
          <w:tcPr>
            <w:tcW w:w="43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31,890,634.04</w:t>
            </w:r>
          </w:p>
        </w:tc>
        <w:tc>
          <w:tcPr>
            <w:tcW w:w="3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保证金</w:t>
            </w:r>
          </w:p>
        </w:tc>
      </w:tr>
      <w:tr>
        <w:trPr>
          <w:trHeight w:val="337" w:hRule="exact"/>
        </w:trPr>
        <w:tc>
          <w:tcPr>
            <w:tcW w:w="43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对上海树维信息科技有限公司</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14,630,000.00</w:t>
            </w:r>
          </w:p>
        </w:tc>
        <w:tc>
          <w:tcPr>
            <w:tcW w:w="3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借款质押物</w:t>
            </w:r>
          </w:p>
        </w:tc>
      </w:tr>
      <w:tr>
        <w:trPr>
          <w:trHeight w:val="337" w:hRule="exact"/>
        </w:trPr>
        <w:tc>
          <w:tcPr>
            <w:tcW w:w="43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对北京迪科远望科技有限公司</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10,000,000.00</w:t>
            </w:r>
          </w:p>
        </w:tc>
        <w:tc>
          <w:tcPr>
            <w:tcW w:w="3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借款质押物</w:t>
            </w:r>
          </w:p>
        </w:tc>
      </w:tr>
      <w:tr>
        <w:trPr>
          <w:trHeight w:val="337" w:hRule="exact"/>
        </w:trPr>
        <w:tc>
          <w:tcPr>
            <w:tcW w:w="43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56,520,634.04</w:t>
            </w:r>
          </w:p>
        </w:tc>
        <w:tc>
          <w:tcPr>
            <w:tcW w:w="3260" w:type="dxa"/>
            <w:tcBorders>
              <w:top w:val="single" w:sz="2" w:space="0" w:color="000000"/>
              <w:left w:val="single" w:sz="2" w:space="0" w:color="000000"/>
              <w:bottom w:val="single" w:sz="2" w:space="0" w:color="000000"/>
              <w:right w:val="single" w:sz="2"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1113"/>
        <w:jc w:val="left"/>
        <w:rPr>
          <w:b w:val="0"/>
          <w:bCs w:val="0"/>
        </w:rPr>
      </w:pP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报告期投资额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上年同期投资额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10,461,997.00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24,472,000.00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-57.25%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111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94"/>
        <w:gridCol w:w="694"/>
        <w:gridCol w:w="662"/>
        <w:gridCol w:w="661"/>
        <w:gridCol w:w="662"/>
        <w:gridCol w:w="662"/>
        <w:gridCol w:w="658"/>
        <w:gridCol w:w="655"/>
        <w:gridCol w:w="658"/>
        <w:gridCol w:w="629"/>
        <w:gridCol w:w="739"/>
        <w:gridCol w:w="734"/>
        <w:gridCol w:w="733"/>
        <w:gridCol w:w="724"/>
      </w:tblGrid>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4"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1" w:right="5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3"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8"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5"/>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1" w:right="90"/>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7"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57" w:hRule="exact"/>
        </w:trPr>
        <w:tc>
          <w:tcPr>
            <w:tcW w:w="694" w:type="dxa"/>
            <w:tcBorders>
              <w:top w:val="single" w:sz="4" w:space="0" w:color="000000"/>
              <w:left w:val="single" w:sz="4" w:space="0" w:color="000000"/>
              <w:bottom w:val="nil" w:sz="6" w:space="0" w:color="auto"/>
              <w:right w:val="single" w:sz="4" w:space="0" w:color="000000"/>
            </w:tcBorders>
          </w:tcPr>
          <w:p>
            <w:pPr/>
          </w:p>
        </w:tc>
        <w:tc>
          <w:tcPr>
            <w:tcW w:w="6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教育领</w:t>
            </w:r>
          </w:p>
        </w:tc>
        <w:tc>
          <w:tcPr>
            <w:tcW w:w="662" w:type="dxa"/>
            <w:tcBorders>
              <w:top w:val="single" w:sz="4" w:space="0" w:color="000000"/>
              <w:left w:val="single" w:sz="4" w:space="0" w:color="000000"/>
              <w:bottom w:val="nil" w:sz="6" w:space="0" w:color="auto"/>
              <w:right w:val="single" w:sz="4" w:space="0" w:color="000000"/>
            </w:tcBorders>
          </w:tcPr>
          <w:p>
            <w:pPr/>
          </w:p>
        </w:tc>
        <w:tc>
          <w:tcPr>
            <w:tcW w:w="661"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c>
          <w:tcPr>
            <w:tcW w:w="658" w:type="dxa"/>
            <w:tcBorders>
              <w:top w:val="single" w:sz="4" w:space="0" w:color="000000"/>
              <w:left w:val="single" w:sz="4" w:space="0" w:color="000000"/>
              <w:bottom w:val="nil" w:sz="6" w:space="0" w:color="auto"/>
              <w:right w:val="single" w:sz="4" w:space="0" w:color="000000"/>
            </w:tcBorders>
          </w:tcPr>
          <w:p>
            <w:pPr/>
          </w:p>
        </w:tc>
        <w:tc>
          <w:tcPr>
            <w:tcW w:w="655" w:type="dxa"/>
            <w:tcBorders>
              <w:top w:val="single" w:sz="4" w:space="0" w:color="000000"/>
              <w:left w:val="single" w:sz="4" w:space="0" w:color="000000"/>
              <w:bottom w:val="nil" w:sz="6" w:space="0" w:color="auto"/>
              <w:right w:val="single" w:sz="4" w:space="0" w:color="000000"/>
            </w:tcBorders>
          </w:tcPr>
          <w:p>
            <w:pPr/>
          </w:p>
        </w:tc>
        <w:tc>
          <w:tcPr>
            <w:tcW w:w="658" w:type="dxa"/>
            <w:tcBorders>
              <w:top w:val="single" w:sz="4" w:space="0" w:color="000000"/>
              <w:left w:val="single" w:sz="4" w:space="0" w:color="000000"/>
              <w:bottom w:val="nil" w:sz="6" w:space="0" w:color="auto"/>
              <w:right w:val="single" w:sz="4" w:space="0" w:color="000000"/>
            </w:tcBorders>
          </w:tcPr>
          <w:p>
            <w:pPr/>
          </w:p>
        </w:tc>
        <w:tc>
          <w:tcPr>
            <w:tcW w:w="629" w:type="dxa"/>
            <w:tcBorders>
              <w:top w:val="single" w:sz="4" w:space="0" w:color="000000"/>
              <w:left w:val="single" w:sz="4" w:space="0" w:color="000000"/>
              <w:bottom w:val="nil" w:sz="6" w:space="0" w:color="auto"/>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3" w:type="dxa"/>
            <w:tcBorders>
              <w:top w:val="single" w:sz="4" w:space="0" w:color="000000"/>
              <w:left w:val="single" w:sz="4" w:space="0" w:color="000000"/>
              <w:bottom w:val="nil" w:sz="6" w:space="0" w:color="auto"/>
              <w:right w:val="single" w:sz="4" w:space="0" w:color="000000"/>
            </w:tcBorders>
          </w:tcPr>
          <w:p>
            <w:pPr/>
          </w:p>
        </w:tc>
        <w:tc>
          <w:tcPr>
            <w:tcW w:w="724" w:type="dxa"/>
            <w:tcBorders>
              <w:top w:val="single" w:sz="4" w:space="0" w:color="000000"/>
              <w:left w:val="single" w:sz="4" w:space="0" w:color="000000"/>
              <w:bottom w:val="nil" w:sz="6" w:space="0" w:color="auto"/>
              <w:right w:val="single" w:sz="4" w:space="0" w:color="000000"/>
            </w:tcBorders>
          </w:tcPr>
          <w:p>
            <w:pPr/>
          </w:p>
        </w:tc>
      </w:tr>
      <w:tr>
        <w:trPr>
          <w:trHeight w:val="1872" w:hRule="exact"/>
        </w:trPr>
        <w:tc>
          <w:tcPr>
            <w:tcW w:w="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71" w:right="71"/>
              <w:jc w:val="both"/>
              <w:rPr>
                <w:rFonts w:ascii="宋体" w:hAnsi="宋体" w:cs="宋体" w:eastAsia="宋体" w:hint="default"/>
                <w:sz w:val="18"/>
                <w:szCs w:val="18"/>
              </w:rPr>
            </w:pPr>
            <w:r>
              <w:rPr>
                <w:rFonts w:ascii="宋体" w:hAnsi="宋体" w:cs="宋体" w:eastAsia="宋体" w:hint="default"/>
                <w:sz w:val="18"/>
                <w:szCs w:val="18"/>
              </w:rPr>
              <w:t>北京希 嘉创智 教育科 技有限 公司</w:t>
            </w:r>
          </w:p>
        </w:tc>
        <w:tc>
          <w:tcPr>
            <w:tcW w:w="6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1" w:firstLine="48"/>
              <w:jc w:val="both"/>
              <w:rPr>
                <w:rFonts w:ascii="宋体" w:hAnsi="宋体" w:cs="宋体" w:eastAsia="宋体" w:hint="default"/>
                <w:sz w:val="18"/>
                <w:szCs w:val="18"/>
              </w:rPr>
            </w:pPr>
            <w:r>
              <w:rPr>
                <w:rFonts w:ascii="宋体" w:hAnsi="宋体" w:cs="宋体" w:eastAsia="宋体" w:hint="default"/>
                <w:sz w:val="18"/>
                <w:szCs w:val="18"/>
              </w:rPr>
              <w:t>域的大 数据产 品开发 与应用 数据服 务与运</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195" w:lineRule="exact"/>
              <w:ind w:left="145" w:right="0"/>
              <w:jc w:val="left"/>
              <w:rPr>
                <w:rFonts w:ascii="宋体" w:hAnsi="宋体" w:cs="宋体" w:eastAsia="宋体" w:hint="default"/>
                <w:sz w:val="18"/>
                <w:szCs w:val="18"/>
              </w:rPr>
            </w:pPr>
            <w:r>
              <w:rPr>
                <w:rFonts w:ascii="宋体" w:hAnsi="宋体" w:cs="宋体" w:eastAsia="宋体" w:hint="default"/>
                <w:sz w:val="18"/>
                <w:szCs w:val="18"/>
              </w:rPr>
              <w:t>增资</w:t>
            </w:r>
          </w:p>
          <w:p>
            <w:pPr>
              <w:pStyle w:val="TableParagraph"/>
              <w:spacing w:line="195"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6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8,749,9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97.00</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51" w:right="0"/>
              <w:jc w:val="center"/>
              <w:rPr>
                <w:rFonts w:ascii="Times New Roman" w:hAnsi="Times New Roman" w:cs="Times New Roman" w:eastAsia="Times New Roman" w:hint="default"/>
                <w:sz w:val="18"/>
                <w:szCs w:val="18"/>
              </w:rPr>
            </w:pPr>
            <w:r>
              <w:rPr>
                <w:rFonts w:ascii="Times New Roman"/>
                <w:sz w:val="18"/>
              </w:rPr>
              <w:t>51.00%</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54" w:right="53"/>
              <w:jc w:val="both"/>
              <w:rPr>
                <w:rFonts w:ascii="宋体" w:hAnsi="宋体" w:cs="宋体" w:eastAsia="宋体" w:hint="default"/>
                <w:sz w:val="18"/>
                <w:szCs w:val="18"/>
              </w:rPr>
            </w:pPr>
            <w:r>
              <w:rPr>
                <w:rFonts w:ascii="宋体" w:hAnsi="宋体" w:cs="宋体" w:eastAsia="宋体" w:hint="default"/>
                <w:sz w:val="18"/>
                <w:szCs w:val="18"/>
              </w:rPr>
              <w:t>希嘉科 技、希 嘉发展 中心、 汪浩</w:t>
            </w:r>
          </w:p>
        </w:tc>
        <w:tc>
          <w:tcPr>
            <w:tcW w:w="6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股权</w:t>
            </w:r>
          </w:p>
        </w:tc>
        <w:tc>
          <w:tcPr>
            <w:tcW w:w="6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257" w:right="0"/>
              <w:jc w:val="center"/>
              <w:rPr>
                <w:rFonts w:ascii="Times New Roman" w:hAnsi="Times New Roman" w:cs="Times New Roman" w:eastAsia="Times New Roman" w:hint="default"/>
                <w:sz w:val="18"/>
                <w:szCs w:val="18"/>
              </w:rPr>
            </w:pPr>
            <w:r>
              <w:rPr>
                <w:rFonts w:ascii="Times New Roman"/>
                <w:sz w:val="18"/>
              </w:rPr>
              <w:t>0.00</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5,107,61</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2.55</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62" w:lineRule="auto"/>
              <w:ind w:left="25" w:right="22" w:firstLine="51"/>
              <w:jc w:val="both"/>
              <w:rPr>
                <w:rFonts w:ascii="Times New Roman" w:hAnsi="Times New Roman" w:cs="Times New Roman" w:eastAsia="Times New Roman" w:hint="default"/>
                <w:sz w:val="18"/>
                <w:szCs w:val="18"/>
              </w:rPr>
            </w:pPr>
            <w:hyperlink r:id="rId19">
              <w:r>
                <w:rPr>
                  <w:rFonts w:ascii="Times New Roman"/>
                  <w:sz w:val="18"/>
                </w:rPr>
                <w:t>http://w</w:t>
              </w:r>
            </w:hyperlink>
            <w:r>
              <w:rPr>
                <w:rFonts w:ascii="Times New Roman"/>
                <w:sz w:val="18"/>
              </w:rPr>
              <w:t> </w:t>
            </w:r>
            <w:r>
              <w:rPr>
                <w:rFonts w:ascii="Times New Roman"/>
                <w:spacing w:val="-2"/>
                <w:sz w:val="18"/>
              </w:rPr>
              <w:t>ww.cninf</w:t>
            </w:r>
            <w:r>
              <w:rPr>
                <w:rFonts w:ascii="Times New Roman"/>
                <w:spacing w:val="-42"/>
                <w:sz w:val="18"/>
              </w:rPr>
              <w:t> </w:t>
            </w:r>
            <w:r>
              <w:rPr>
                <w:rFonts w:ascii="Times New Roman"/>
                <w:spacing w:val="-42"/>
                <w:sz w:val="18"/>
              </w:rPr>
            </w:r>
            <w:r>
              <w:rPr>
                <w:rFonts w:ascii="Times New Roman"/>
                <w:sz w:val="18"/>
              </w:rPr>
              <w:t>o.com.cn</w:t>
            </w:r>
          </w:p>
        </w:tc>
      </w:tr>
      <w:tr>
        <w:trPr>
          <w:trHeight w:val="357" w:hRule="exact"/>
        </w:trPr>
        <w:tc>
          <w:tcPr>
            <w:tcW w:w="694" w:type="dxa"/>
            <w:tcBorders>
              <w:top w:val="nil" w:sz="6" w:space="0" w:color="auto"/>
              <w:left w:val="single" w:sz="4" w:space="0" w:color="000000"/>
              <w:bottom w:val="single" w:sz="4" w:space="0" w:color="000000"/>
              <w:right w:val="single" w:sz="4" w:space="0" w:color="000000"/>
            </w:tcBorders>
          </w:tcPr>
          <w:p>
            <w:pPr/>
          </w:p>
        </w:tc>
        <w:tc>
          <w:tcPr>
            <w:tcW w:w="6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营</w:t>
            </w:r>
          </w:p>
        </w:tc>
        <w:tc>
          <w:tcPr>
            <w:tcW w:w="662" w:type="dxa"/>
            <w:tcBorders>
              <w:top w:val="nil" w:sz="6" w:space="0" w:color="auto"/>
              <w:left w:val="single" w:sz="4" w:space="0" w:color="000000"/>
              <w:bottom w:val="single" w:sz="4" w:space="0" w:color="000000"/>
              <w:right w:val="single" w:sz="4" w:space="0" w:color="000000"/>
            </w:tcBorders>
          </w:tcPr>
          <w:p>
            <w:pPr/>
          </w:p>
        </w:tc>
        <w:tc>
          <w:tcPr>
            <w:tcW w:w="661"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c>
          <w:tcPr>
            <w:tcW w:w="658" w:type="dxa"/>
            <w:tcBorders>
              <w:top w:val="nil" w:sz="6" w:space="0" w:color="auto"/>
              <w:left w:val="single" w:sz="4" w:space="0" w:color="000000"/>
              <w:bottom w:val="single" w:sz="4" w:space="0" w:color="000000"/>
              <w:right w:val="single" w:sz="4" w:space="0" w:color="000000"/>
            </w:tcBorders>
          </w:tcPr>
          <w:p>
            <w:pPr/>
          </w:p>
        </w:tc>
        <w:tc>
          <w:tcPr>
            <w:tcW w:w="655" w:type="dxa"/>
            <w:tcBorders>
              <w:top w:val="nil" w:sz="6" w:space="0" w:color="auto"/>
              <w:left w:val="single" w:sz="4" w:space="0" w:color="000000"/>
              <w:bottom w:val="single" w:sz="4" w:space="0" w:color="000000"/>
              <w:right w:val="single" w:sz="4" w:space="0" w:color="000000"/>
            </w:tcBorders>
          </w:tcPr>
          <w:p>
            <w:pPr/>
          </w:p>
        </w:tc>
        <w:tc>
          <w:tcPr>
            <w:tcW w:w="658" w:type="dxa"/>
            <w:tcBorders>
              <w:top w:val="nil" w:sz="6" w:space="0" w:color="auto"/>
              <w:left w:val="single" w:sz="4" w:space="0" w:color="000000"/>
              <w:bottom w:val="single" w:sz="4" w:space="0" w:color="000000"/>
              <w:right w:val="single" w:sz="4" w:space="0" w:color="000000"/>
            </w:tcBorders>
          </w:tcPr>
          <w:p>
            <w:pPr/>
          </w:p>
        </w:tc>
        <w:tc>
          <w:tcPr>
            <w:tcW w:w="629" w:type="dxa"/>
            <w:tcBorders>
              <w:top w:val="nil" w:sz="6" w:space="0" w:color="auto"/>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3" w:type="dxa"/>
            <w:tcBorders>
              <w:top w:val="nil" w:sz="6" w:space="0" w:color="auto"/>
              <w:left w:val="single" w:sz="4" w:space="0" w:color="000000"/>
              <w:bottom w:val="single" w:sz="4" w:space="0" w:color="000000"/>
              <w:right w:val="single" w:sz="4" w:space="0" w:color="000000"/>
            </w:tcBorders>
          </w:tcPr>
          <w:p>
            <w:pPr/>
          </w:p>
        </w:tc>
        <w:tc>
          <w:tcPr>
            <w:tcW w:w="724"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8,749,9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97.00</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257" w:right="0"/>
              <w:jc w:val="center"/>
              <w:rPr>
                <w:rFonts w:ascii="Times New Roman" w:hAnsi="Times New Roman" w:cs="Times New Roman" w:eastAsia="Times New Roman" w:hint="default"/>
                <w:sz w:val="18"/>
                <w:szCs w:val="18"/>
              </w:rPr>
            </w:pPr>
            <w:r>
              <w:rPr>
                <w:rFonts w:ascii="Times New Roman"/>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5,107,61</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2.55</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pict>
          <v:group style="position:absolute;margin-left:126.300003pt;margin-top:-177.566025pt;width:32.6pt;height:128.85pt;mso-position-horizontal-relative:page;mso-position-vertical-relative:paragraph;z-index:-1599472" coordorigin="2526,-3551" coordsize="652,2577">
            <v:group style="position:absolute;left:2526;top:-3551;width:652;height:2577" coordorigin="2526,-3551" coordsize="652,2577">
              <v:shape style="position:absolute;left:2526;top:-3551;width:652;height:2577" coordorigin="2526,-3551" coordsize="652,2577" path="m2526,-975l3178,-975,3178,-3551,2526,-3551,2526,-975xe" filled="true" fillcolor="#ffffff" stroked="false">
                <v:path arrowok="t"/>
                <v:fill type="solid"/>
              </v:shape>
            </v:group>
            <v:group style="position:absolute;left:2549;top:-2459;width:606;height:393" coordorigin="2549,-2459" coordsize="606,393">
              <v:shape style="position:absolute;left:2549;top:-2459;width:606;height:393" coordorigin="2549,-2459" coordsize="606,393" path="m2549,-2067l3155,-2067,3155,-2459,2549,-2459,2549,-2067xe" filled="true" fillcolor="#ffffff" stroked="false">
                <v:path arrowok="t"/>
                <v:fill type="solid"/>
              </v:shape>
            </v:group>
            <w10:wrap type="none"/>
          </v:group>
        </w:pict>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111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111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111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68"/>
        <w:gridCol w:w="851"/>
        <w:gridCol w:w="709"/>
        <w:gridCol w:w="991"/>
        <w:gridCol w:w="851"/>
        <w:gridCol w:w="851"/>
        <w:gridCol w:w="850"/>
        <w:gridCol w:w="994"/>
        <w:gridCol w:w="850"/>
        <w:gridCol w:w="1181"/>
        <w:gridCol w:w="869"/>
      </w:tblGrid>
      <w:tr>
        <w:trPr>
          <w:trHeight w:val="1338" w:hRule="exact"/>
        </w:trPr>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8" w:right="97"/>
              <w:jc w:val="left"/>
              <w:rPr>
                <w:rFonts w:ascii="宋体" w:hAnsi="宋体" w:cs="宋体" w:eastAsia="宋体" w:hint="default"/>
                <w:sz w:val="18"/>
                <w:szCs w:val="18"/>
              </w:rPr>
            </w:pPr>
            <w:r>
              <w:rPr>
                <w:rFonts w:ascii="宋体" w:hAnsi="宋体" w:cs="宋体" w:eastAsia="宋体" w:hint="default"/>
                <w:sz w:val="18"/>
                <w:szCs w:val="18"/>
              </w:rPr>
              <w:t>募集 年份</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9" w:right="78"/>
              <w:jc w:val="left"/>
              <w:rPr>
                <w:rFonts w:ascii="宋体" w:hAnsi="宋体" w:cs="宋体" w:eastAsia="宋体" w:hint="default"/>
                <w:sz w:val="18"/>
                <w:szCs w:val="18"/>
              </w:rPr>
            </w:pPr>
            <w:r>
              <w:rPr>
                <w:rFonts w:ascii="宋体" w:hAnsi="宋体" w:cs="宋体" w:eastAsia="宋体" w:hint="default"/>
                <w:sz w:val="18"/>
                <w:szCs w:val="18"/>
              </w:rPr>
              <w:t>募集资 金总额</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0" w:right="38"/>
              <w:jc w:val="center"/>
              <w:rPr>
                <w:rFonts w:ascii="宋体" w:hAnsi="宋体" w:cs="宋体" w:eastAsia="宋体" w:hint="default"/>
                <w:sz w:val="18"/>
                <w:szCs w:val="18"/>
              </w:rPr>
            </w:pPr>
            <w:r>
              <w:rPr>
                <w:rFonts w:ascii="宋体" w:hAnsi="宋体" w:cs="宋体" w:eastAsia="宋体" w:hint="default"/>
                <w:sz w:val="18"/>
                <w:szCs w:val="18"/>
              </w:rPr>
              <w:t>本期已使用 募集资金总 额</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0" w:right="5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9" w:right="5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9" w:right="59"/>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0" w:right="41"/>
              <w:jc w:val="both"/>
              <w:rPr>
                <w:rFonts w:ascii="宋体" w:hAnsi="宋体" w:cs="宋体" w:eastAsia="宋体" w:hint="default"/>
                <w:sz w:val="18"/>
                <w:szCs w:val="18"/>
              </w:rPr>
            </w:pPr>
            <w:r>
              <w:rPr>
                <w:rFonts w:ascii="宋体" w:hAnsi="宋体" w:cs="宋体" w:eastAsia="宋体" w:hint="default"/>
                <w:sz w:val="18"/>
                <w:szCs w:val="18"/>
              </w:rPr>
              <w:t>累计变更用 途的募集资 金总额比例</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9" w:right="59"/>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5" w:right="43"/>
              <w:jc w:val="center"/>
              <w:rPr>
                <w:rFonts w:ascii="宋体" w:hAnsi="宋体" w:cs="宋体" w:eastAsia="宋体" w:hint="default"/>
                <w:sz w:val="18"/>
                <w:szCs w:val="18"/>
              </w:rPr>
            </w:pPr>
            <w:r>
              <w:rPr>
                <w:rFonts w:ascii="宋体" w:hAnsi="宋体" w:cs="宋体" w:eastAsia="宋体" w:hint="default"/>
                <w:sz w:val="18"/>
                <w:szCs w:val="18"/>
              </w:rPr>
              <w:t>尚未使用募集 资金用途及去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bl>
    <w:p>
      <w:pPr>
        <w:spacing w:after="0" w:line="319" w:lineRule="auto"/>
        <w:jc w:val="both"/>
        <w:rPr>
          <w:rFonts w:ascii="宋体" w:hAnsi="宋体" w:cs="宋体" w:eastAsia="宋体"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865"/>
        <w:gridCol w:w="410"/>
        <w:gridCol w:w="852"/>
        <w:gridCol w:w="991"/>
        <w:gridCol w:w="851"/>
        <w:gridCol w:w="851"/>
        <w:gridCol w:w="850"/>
        <w:gridCol w:w="994"/>
        <w:gridCol w:w="850"/>
        <w:gridCol w:w="1181"/>
        <w:gridCol w:w="869"/>
      </w:tblGrid>
      <w:tr>
        <w:trPr>
          <w:trHeight w:val="3522"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非 公 开 发 行 股 票 募 集 资 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31,378.63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4,734.35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19,467.48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16,698.93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16,698.93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13,698.93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6"/>
              <w:jc w:val="both"/>
              <w:rPr>
                <w:rFonts w:ascii="宋体" w:hAnsi="宋体" w:cs="宋体" w:eastAsia="宋体" w:hint="default"/>
                <w:sz w:val="18"/>
                <w:szCs w:val="18"/>
              </w:rPr>
            </w:pPr>
            <w:r>
              <w:rPr>
                <w:rFonts w:ascii="宋体" w:hAnsi="宋体" w:cs="宋体" w:eastAsia="宋体" w:hint="default"/>
                <w:sz w:val="18"/>
                <w:szCs w:val="18"/>
              </w:rPr>
              <w:t>使用暂时闲置 募集资金进行 现金管理的共 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6" w:lineRule="auto"/>
              <w:ind w:left="22" w:right="28"/>
              <w:jc w:val="both"/>
              <w:rPr>
                <w:rFonts w:ascii="Times New Roman" w:hAnsi="Times New Roman" w:cs="Times New Roman" w:eastAsia="Times New Roman" w:hint="default"/>
                <w:sz w:val="18"/>
                <w:szCs w:val="18"/>
              </w:rPr>
            </w:pPr>
            <w:r>
              <w:rPr>
                <w:rFonts w:ascii="宋体" w:hAnsi="宋体" w:cs="宋体" w:eastAsia="宋体" w:hint="default"/>
                <w:sz w:val="18"/>
                <w:szCs w:val="18"/>
              </w:rPr>
              <w:t>元，购买大额 存单</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11,500.00</w:t>
            </w:r>
          </w:p>
          <w:p>
            <w:pPr>
              <w:pStyle w:val="TableParagraph"/>
              <w:spacing w:line="319" w:lineRule="auto"/>
              <w:ind w:left="22" w:right="66"/>
              <w:jc w:val="both"/>
              <w:rPr>
                <w:rFonts w:ascii="宋体" w:hAnsi="宋体" w:cs="宋体" w:eastAsia="宋体" w:hint="default"/>
                <w:sz w:val="18"/>
                <w:szCs w:val="18"/>
              </w:rPr>
            </w:pPr>
            <w:r>
              <w:rPr>
                <w:rFonts w:ascii="宋体" w:hAnsi="宋体" w:cs="宋体" w:eastAsia="宋体" w:hint="default"/>
                <w:sz w:val="18"/>
                <w:szCs w:val="18"/>
              </w:rPr>
              <w:t>万元，其余尚 未使用的募集 资金均存储于 募集资金专户 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31,378.63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4,734.35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19,467.48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16,698.93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16,698.93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13,698.93</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3"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578" w:hRule="exact"/>
        </w:trPr>
        <w:tc>
          <w:tcPr>
            <w:tcW w:w="9563"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1"/>
                <w:sz w:val="18"/>
                <w:szCs w:val="18"/>
              </w:rPr>
              <w:t>①募集资金金额及到位情况：经中国证券监督管理委员会《关于核准新开普电子股份有限公司非公开发行股票的批复》证</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监许可【</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1324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号文核准，公司以非公开发行的方式发行</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13,000,000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股），发行价格为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 </w:t>
            </w:r>
            <w:r>
              <w:rPr>
                <w:rFonts w:ascii="宋体" w:hAnsi="宋体" w:cs="宋体" w:eastAsia="宋体" w:hint="default"/>
                <w:sz w:val="18"/>
                <w:szCs w:val="18"/>
              </w:rPr>
              <w:t>股，募集资金总额为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325,000,000.00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元，扣除各项发行费用共计</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11,213,679.30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元（含进项税</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577,387.85</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元），实际募集资</w:t>
            </w:r>
          </w:p>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z w:val="18"/>
                <w:szCs w:val="18"/>
              </w:rPr>
              <w:t>金净额为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313,786,320.70 </w:t>
            </w:r>
            <w:r>
              <w:rPr>
                <w:rFonts w:ascii="宋体" w:hAnsi="宋体" w:cs="宋体" w:eastAsia="宋体" w:hint="default"/>
                <w:spacing w:val="-4"/>
                <w:sz w:val="18"/>
                <w:szCs w:val="18"/>
              </w:rPr>
              <w:t>元。立信会计师事务所（特殊普通合伙）已于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日对公司本次非公开发行股票的募</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集资金到位情况进行了审验，并出具了</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信</w:t>
            </w:r>
            <w:r>
              <w:rPr>
                <w:rFonts w:ascii="宋体" w:hAnsi="宋体" w:cs="宋体" w:eastAsia="宋体" w:hint="default"/>
                <w:sz w:val="18"/>
                <w:szCs w:val="18"/>
              </w:rPr>
              <w:t>会师报字【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712073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《验资报告</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101"/>
              <w:ind w:left="22" w:right="0"/>
              <w:jc w:val="both"/>
              <w:rPr>
                <w:rFonts w:ascii="宋体" w:hAnsi="宋体" w:cs="宋体" w:eastAsia="宋体" w:hint="default"/>
                <w:sz w:val="18"/>
                <w:szCs w:val="18"/>
              </w:rPr>
            </w:pPr>
            <w:r>
              <w:rPr>
                <w:rFonts w:ascii="宋体" w:hAnsi="宋体" w:cs="宋体" w:eastAsia="宋体" w:hint="default"/>
                <w:sz w:val="18"/>
                <w:szCs w:val="18"/>
              </w:rPr>
              <w:t>②募集资金的实际使用情况：公司募集资金总额为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32,500.00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万元，扣除发行费用后净额为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31,378.63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万元。报告期投入募</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集资金总额为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4,734.35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万元，已累计投入募集资金总额为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19,467.48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300" w:lineRule="auto" w:before="101"/>
              <w:ind w:left="22" w:right="35"/>
              <w:jc w:val="both"/>
              <w:rPr>
                <w:rFonts w:ascii="宋体" w:hAnsi="宋体" w:cs="宋体" w:eastAsia="宋体" w:hint="default"/>
                <w:sz w:val="18"/>
                <w:szCs w:val="18"/>
              </w:rPr>
            </w:pPr>
            <w:r>
              <w:rPr>
                <w:rFonts w:ascii="宋体" w:hAnsi="宋体" w:cs="宋体" w:eastAsia="宋体" w:hint="default"/>
                <w:sz w:val="18"/>
                <w:szCs w:val="18"/>
              </w:rPr>
              <w:t>③募集资金投向变更情况：</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日召开的第四届董事会第三十次会议和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 </w:t>
            </w:r>
            <w:r>
              <w:rPr>
                <w:rFonts w:ascii="宋体" w:hAnsi="宋体" w:cs="宋体" w:eastAsia="宋体" w:hint="default"/>
                <w:spacing w:val="-2"/>
                <w:sz w:val="18"/>
                <w:szCs w:val="18"/>
              </w:rPr>
              <w:t>次临时股东大会审议通过《关于变更募集资金用途的议案》，同意公司将目前尚未使用的募集资金及理财收益和利息收入</w:t>
            </w:r>
          </w:p>
          <w:p>
            <w:pPr>
              <w:pStyle w:val="TableParagraph"/>
              <w:spacing w:line="309" w:lineRule="auto" w:before="31"/>
              <w:ind w:left="22" w:right="23"/>
              <w:jc w:val="both"/>
              <w:rPr>
                <w:rFonts w:ascii="宋体" w:hAnsi="宋体" w:cs="宋体" w:eastAsia="宋体" w:hint="default"/>
                <w:sz w:val="18"/>
                <w:szCs w:val="18"/>
              </w:rPr>
            </w:pPr>
            <w:r>
              <w:rPr>
                <w:rFonts w:ascii="宋体" w:hAnsi="宋体" w:cs="宋体" w:eastAsia="宋体" w:hint="default"/>
                <w:sz w:val="18"/>
                <w:szCs w:val="18"/>
              </w:rPr>
              <w:t>（具体的金额以资金 转出日银行结息后实际金额为准）用于新开普智慧教育研发产业基地项目及永久补充流动资金，其 中</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万元用于永久补充流动资金，其余募集资金全部投资于新开普智慧教育研发产业基地项目。变更募集资金投资 项目情况详见本节</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）募集资金变更项目情况</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319" w:lineRule="auto" w:before="44"/>
              <w:ind w:left="22" w:right="22"/>
              <w:jc w:val="both"/>
              <w:rPr>
                <w:rFonts w:ascii="宋体" w:hAnsi="宋体" w:cs="宋体" w:eastAsia="宋体" w:hint="default"/>
                <w:sz w:val="18"/>
                <w:szCs w:val="18"/>
              </w:rPr>
            </w:pPr>
            <w:r>
              <w:rPr>
                <w:rFonts w:ascii="宋体" w:hAnsi="宋体" w:cs="宋体" w:eastAsia="宋体" w:hint="default"/>
                <w:spacing w:val="-1"/>
                <w:sz w:val="18"/>
                <w:szCs w:val="18"/>
              </w:rPr>
              <w:t>④募集资金使用及披露中存在的问题：报告期内，公司募集资金使用情况的披露与实际使用情况相符，不存在未及时、真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实、准确、完整披露的情况，也不存在募集资金违规使用的情形。</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pict>
          <v:shape style="position:absolute;margin-left:338.940002pt;margin-top:19.672325pt;width:50.65pt;height:82.05pt;mso-position-horizontal-relative:page;mso-position-vertical-relative:paragraph;z-index:-15994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22"/>
        <w:gridCol w:w="696"/>
        <w:gridCol w:w="1134"/>
        <w:gridCol w:w="850"/>
        <w:gridCol w:w="709"/>
        <w:gridCol w:w="851"/>
        <w:gridCol w:w="802"/>
        <w:gridCol w:w="900"/>
        <w:gridCol w:w="708"/>
        <w:gridCol w:w="708"/>
        <w:gridCol w:w="762"/>
        <w:gridCol w:w="727"/>
      </w:tblGrid>
      <w:tr>
        <w:trPr>
          <w:trHeight w:val="1650" w:hRule="exact"/>
        </w:trPr>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承诺投 资项目 和超募 资金投 向</w:t>
            </w:r>
          </w:p>
        </w:tc>
        <w:tc>
          <w:tcPr>
            <w:tcW w:w="6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firstLine="49"/>
              <w:jc w:val="both"/>
              <w:rPr>
                <w:rFonts w:ascii="宋体" w:hAnsi="宋体" w:cs="宋体" w:eastAsia="宋体" w:hint="default"/>
                <w:sz w:val="18"/>
                <w:szCs w:val="18"/>
              </w:rPr>
            </w:pPr>
            <w:r>
              <w:rPr>
                <w:rFonts w:ascii="宋体" w:hAnsi="宋体" w:cs="宋体" w:eastAsia="宋体" w:hint="default"/>
                <w:sz w:val="18"/>
                <w:szCs w:val="18"/>
              </w:rPr>
              <w:t>是否已 变更项 </w:t>
            </w:r>
            <w:r>
              <w:rPr>
                <w:rFonts w:ascii="宋体" w:hAnsi="宋体" w:cs="宋体" w:eastAsia="宋体" w:hint="default"/>
                <w:spacing w:val="-21"/>
                <w:sz w:val="18"/>
                <w:szCs w:val="18"/>
              </w:rPr>
              <w:t>目（含部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分变更</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11" w:right="110"/>
              <w:jc w:val="left"/>
              <w:rPr>
                <w:rFonts w:ascii="宋体" w:hAnsi="宋体" w:cs="宋体" w:eastAsia="宋体" w:hint="default"/>
                <w:sz w:val="18"/>
                <w:szCs w:val="18"/>
              </w:rPr>
            </w:pPr>
            <w:r>
              <w:rPr>
                <w:rFonts w:ascii="宋体" w:hAnsi="宋体" w:cs="宋体" w:eastAsia="宋体" w:hint="default"/>
                <w:sz w:val="18"/>
                <w:szCs w:val="18"/>
              </w:rPr>
              <w:t>募集资金承 诺投资总额</w:t>
            </w:r>
          </w:p>
          <w:p>
            <w:pPr>
              <w:pStyle w:val="TableParagraph"/>
              <w:spacing w:line="240" w:lineRule="auto" w:before="17"/>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9" w:right="59"/>
              <w:jc w:val="center"/>
              <w:rPr>
                <w:rFonts w:ascii="宋体" w:hAnsi="宋体" w:cs="宋体" w:eastAsia="宋体" w:hint="default"/>
                <w:sz w:val="18"/>
                <w:szCs w:val="18"/>
              </w:rPr>
            </w:pPr>
            <w:r>
              <w:rPr>
                <w:rFonts w:ascii="宋体" w:hAnsi="宋体" w:cs="宋体" w:eastAsia="宋体" w:hint="default"/>
                <w:sz w:val="18"/>
                <w:szCs w:val="18"/>
              </w:rPr>
              <w:t>调整后投 资总额</w:t>
            </w:r>
          </w:p>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9" w:right="78"/>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6" w:firstLine="37"/>
              <w:jc w:val="both"/>
              <w:rPr>
                <w:rFonts w:ascii="宋体" w:hAnsi="宋体" w:cs="宋体" w:eastAsia="宋体"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 w:right="35"/>
              <w:jc w:val="left"/>
              <w:rPr>
                <w:rFonts w:ascii="宋体" w:hAnsi="宋体" w:cs="宋体" w:eastAsia="宋体" w:hint="default"/>
                <w:sz w:val="18"/>
                <w:szCs w:val="18"/>
              </w:rPr>
            </w:pPr>
            <w:r>
              <w:rPr>
                <w:rFonts w:ascii="宋体" w:hAnsi="宋体" w:cs="宋体" w:eastAsia="宋体" w:hint="default"/>
                <w:sz w:val="18"/>
                <w:szCs w:val="18"/>
              </w:rPr>
              <w:t>截至期末 投资进度</w:t>
            </w:r>
          </w:p>
          <w:p>
            <w:pPr>
              <w:pStyle w:val="TableParagraph"/>
              <w:spacing w:line="240" w:lineRule="auto" w:before="19"/>
              <w:ind w:left="8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65"/>
                <w:sz w:val="18"/>
                <w:szCs w:val="18"/>
              </w:rPr>
              <w:t>）</w:t>
            </w:r>
            <w:r>
              <w:rPr>
                <w:rFonts w:ascii="宋体" w:hAnsi="宋体" w:cs="宋体" w:eastAsia="宋体" w:hint="default"/>
                <w:spacing w:val="-173"/>
                <w:sz w:val="18"/>
                <w:szCs w:val="18"/>
              </w:rPr>
              <w:t>（</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1</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3" w:right="84"/>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7" w:right="78"/>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9" w:right="77"/>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6" w:right="103"/>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8" w:right="86"/>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722"/>
        <w:gridCol w:w="696"/>
        <w:gridCol w:w="1134"/>
        <w:gridCol w:w="850"/>
        <w:gridCol w:w="709"/>
        <w:gridCol w:w="851"/>
        <w:gridCol w:w="802"/>
        <w:gridCol w:w="900"/>
        <w:gridCol w:w="708"/>
        <w:gridCol w:w="708"/>
        <w:gridCol w:w="762"/>
        <w:gridCol w:w="727"/>
      </w:tblGrid>
      <w:tr>
        <w:trPr>
          <w:trHeight w:val="358" w:hRule="exact"/>
        </w:trPr>
        <w:tc>
          <w:tcPr>
            <w:tcW w:w="7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hAnsi="宋体" w:cs="宋体" w:eastAsia="宋体" w:hint="default"/>
                <w:sz w:val="18"/>
                <w:szCs w:val="18"/>
              </w:rPr>
              <w:t>高校移</w:t>
            </w:r>
          </w:p>
        </w:tc>
        <w:tc>
          <w:tcPr>
            <w:tcW w:w="696"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762"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72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85" w:right="85"/>
              <w:jc w:val="left"/>
              <w:rPr>
                <w:rFonts w:ascii="宋体" w:hAnsi="宋体" w:cs="宋体" w:eastAsia="宋体" w:hint="default"/>
                <w:sz w:val="18"/>
                <w:szCs w:val="18"/>
              </w:rPr>
            </w:pPr>
            <w:r>
              <w:rPr>
                <w:rFonts w:ascii="宋体" w:hAnsi="宋体" w:cs="宋体" w:eastAsia="宋体" w:hint="default"/>
                <w:sz w:val="18"/>
                <w:szCs w:val="18"/>
              </w:rPr>
              <w:t>动互联 服务平</w:t>
            </w:r>
          </w:p>
        </w:tc>
        <w:tc>
          <w:tcPr>
            <w:tcW w:w="6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9,018.25</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4,096.85</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1,161.96</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4,096.85</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103" w:lineRule="exact"/>
              <w:ind w:left="562" w:right="0"/>
              <w:jc w:val="left"/>
              <w:rPr>
                <w:rFonts w:ascii="宋体" w:hAnsi="宋体" w:cs="宋体" w:eastAsia="宋体" w:hint="default"/>
                <w:sz w:val="12"/>
                <w:szCs w:val="12"/>
              </w:rPr>
            </w:pPr>
            <w:r>
              <w:rPr>
                <w:rFonts w:ascii="宋体" w:hAnsi="宋体" w:cs="宋体" w:eastAsia="宋体" w:hint="default"/>
                <w:spacing w:val="15"/>
                <w:sz w:val="12"/>
                <w:szCs w:val="12"/>
              </w:rPr>
              <w:t>注1</w:t>
            </w:r>
            <w:r>
              <w:rPr>
                <w:rFonts w:ascii="宋体" w:hAnsi="宋体" w:cs="宋体" w:eastAsia="宋体" w:hint="default"/>
                <w:spacing w:val="-30"/>
                <w:sz w:val="12"/>
                <w:szCs w:val="12"/>
              </w:rPr>
              <w:t> </w:t>
            </w:r>
            <w:r>
              <w:rPr>
                <w:rFonts w:ascii="宋体" w:hAnsi="宋体" w:cs="宋体" w:eastAsia="宋体" w:hint="default"/>
                <w:sz w:val="12"/>
                <w:szCs w:val="12"/>
              </w:rPr>
            </w:r>
          </w:p>
          <w:p>
            <w:pPr>
              <w:pStyle w:val="TableParagraph"/>
              <w:spacing w:line="182" w:lineRule="exact"/>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6" w:hRule="exact"/>
        </w:trPr>
        <w:tc>
          <w:tcPr>
            <w:tcW w:w="7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85" w:right="0"/>
              <w:jc w:val="left"/>
              <w:rPr>
                <w:rFonts w:ascii="宋体" w:hAnsi="宋体" w:cs="宋体" w:eastAsia="宋体" w:hint="default"/>
                <w:sz w:val="18"/>
                <w:szCs w:val="18"/>
              </w:rPr>
            </w:pPr>
            <w:r>
              <w:rPr>
                <w:rFonts w:ascii="宋体" w:hAnsi="宋体" w:cs="宋体" w:eastAsia="宋体" w:hint="default"/>
                <w:sz w:val="18"/>
                <w:szCs w:val="18"/>
              </w:rPr>
              <w:t>台项目</w:t>
            </w:r>
          </w:p>
        </w:tc>
        <w:tc>
          <w:tcPr>
            <w:tcW w:w="696"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62"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hAnsi="宋体" w:cs="宋体" w:eastAsia="宋体" w:hint="default"/>
                <w:sz w:val="18"/>
                <w:szCs w:val="18"/>
              </w:rPr>
              <w:t>职业教</w:t>
            </w:r>
          </w:p>
        </w:tc>
        <w:tc>
          <w:tcPr>
            <w:tcW w:w="696"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762"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72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85" w:right="85"/>
              <w:jc w:val="left"/>
              <w:rPr>
                <w:rFonts w:ascii="宋体" w:hAnsi="宋体" w:cs="宋体" w:eastAsia="宋体" w:hint="default"/>
                <w:sz w:val="18"/>
                <w:szCs w:val="18"/>
              </w:rPr>
            </w:pPr>
            <w:r>
              <w:rPr>
                <w:rFonts w:ascii="宋体" w:hAnsi="宋体" w:cs="宋体" w:eastAsia="宋体" w:hint="default"/>
                <w:sz w:val="18"/>
                <w:szCs w:val="18"/>
              </w:rPr>
              <w:t>育产业 基地建</w:t>
            </w:r>
          </w:p>
        </w:tc>
        <w:tc>
          <w:tcPr>
            <w:tcW w:w="6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13,360.38</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3,370.63</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572.39</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3,370.63</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103" w:lineRule="exact"/>
              <w:ind w:left="562" w:right="0"/>
              <w:jc w:val="left"/>
              <w:rPr>
                <w:rFonts w:ascii="宋体" w:hAnsi="宋体" w:cs="宋体" w:eastAsia="宋体" w:hint="default"/>
                <w:sz w:val="12"/>
                <w:szCs w:val="12"/>
              </w:rPr>
            </w:pPr>
            <w:r>
              <w:rPr>
                <w:rFonts w:ascii="宋体" w:hAnsi="宋体" w:cs="宋体" w:eastAsia="宋体" w:hint="default"/>
                <w:spacing w:val="15"/>
                <w:sz w:val="12"/>
                <w:szCs w:val="12"/>
              </w:rPr>
              <w:t>注1</w:t>
            </w:r>
            <w:r>
              <w:rPr>
                <w:rFonts w:ascii="宋体" w:hAnsi="宋体" w:cs="宋体" w:eastAsia="宋体" w:hint="default"/>
                <w:spacing w:val="-30"/>
                <w:sz w:val="12"/>
                <w:szCs w:val="12"/>
              </w:rPr>
              <w:t> </w:t>
            </w:r>
            <w:r>
              <w:rPr>
                <w:rFonts w:ascii="宋体" w:hAnsi="宋体" w:cs="宋体" w:eastAsia="宋体" w:hint="default"/>
                <w:sz w:val="12"/>
                <w:szCs w:val="12"/>
              </w:rPr>
            </w:r>
          </w:p>
          <w:p>
            <w:pPr>
              <w:pStyle w:val="TableParagraph"/>
              <w:spacing w:line="182" w:lineRule="exact"/>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6" w:hRule="exact"/>
        </w:trPr>
        <w:tc>
          <w:tcPr>
            <w:tcW w:w="7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85" w:right="0"/>
              <w:jc w:val="left"/>
              <w:rPr>
                <w:rFonts w:ascii="宋体" w:hAnsi="宋体" w:cs="宋体" w:eastAsia="宋体" w:hint="default"/>
                <w:sz w:val="18"/>
                <w:szCs w:val="18"/>
              </w:rPr>
            </w:pPr>
            <w:r>
              <w:rPr>
                <w:rFonts w:ascii="宋体" w:hAnsi="宋体" w:cs="宋体" w:eastAsia="宋体" w:hint="default"/>
                <w:sz w:val="18"/>
                <w:szCs w:val="18"/>
              </w:rPr>
              <w:t>设项目</w:t>
            </w:r>
          </w:p>
        </w:tc>
        <w:tc>
          <w:tcPr>
            <w:tcW w:w="696"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62"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5" w:right="85"/>
              <w:jc w:val="left"/>
              <w:rPr>
                <w:rFonts w:ascii="宋体" w:hAnsi="宋体" w:cs="宋体" w:eastAsia="宋体" w:hint="default"/>
                <w:sz w:val="18"/>
                <w:szCs w:val="18"/>
              </w:rPr>
            </w:pPr>
            <w:r>
              <w:rPr>
                <w:rFonts w:ascii="宋体" w:hAnsi="宋体" w:cs="宋体" w:eastAsia="宋体" w:hint="default"/>
                <w:sz w:val="18"/>
                <w:szCs w:val="18"/>
              </w:rPr>
              <w:t>补充流 动资金</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8" w:hRule="exact"/>
        </w:trPr>
        <w:tc>
          <w:tcPr>
            <w:tcW w:w="7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hAnsi="宋体" w:cs="宋体" w:eastAsia="宋体" w:hint="default"/>
                <w:sz w:val="18"/>
                <w:szCs w:val="18"/>
              </w:rPr>
              <w:t>智慧教</w:t>
            </w:r>
          </w:p>
        </w:tc>
        <w:tc>
          <w:tcPr>
            <w:tcW w:w="696"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762"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72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85" w:right="85"/>
              <w:jc w:val="left"/>
              <w:rPr>
                <w:rFonts w:ascii="宋体" w:hAnsi="宋体" w:cs="宋体" w:eastAsia="宋体" w:hint="default"/>
                <w:sz w:val="18"/>
                <w:szCs w:val="18"/>
              </w:rPr>
            </w:pPr>
            <w:r>
              <w:rPr>
                <w:rFonts w:ascii="宋体" w:hAnsi="宋体" w:cs="宋体" w:eastAsia="宋体" w:hint="default"/>
                <w:sz w:val="18"/>
                <w:szCs w:val="18"/>
              </w:rPr>
              <w:t>育研发 产业基</w:t>
            </w:r>
          </w:p>
        </w:tc>
        <w:tc>
          <w:tcPr>
            <w:tcW w:w="6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125" w:lineRule="exact"/>
              <w:ind w:right="-8"/>
              <w:jc w:val="right"/>
              <w:rPr>
                <w:rFonts w:ascii="宋体" w:hAnsi="宋体" w:cs="宋体" w:eastAsia="宋体" w:hint="default"/>
                <w:sz w:val="12"/>
                <w:szCs w:val="12"/>
              </w:rPr>
            </w:pPr>
            <w:r>
              <w:rPr>
                <w:rFonts w:ascii="宋体" w:hAnsi="宋体" w:cs="宋体" w:eastAsia="宋体" w:hint="default"/>
                <w:spacing w:val="15"/>
                <w:sz w:val="12"/>
                <w:szCs w:val="12"/>
              </w:rPr>
              <w:t>注2</w:t>
            </w:r>
            <w:r>
              <w:rPr>
                <w:rFonts w:ascii="宋体" w:hAnsi="宋体" w:cs="宋体" w:eastAsia="宋体" w:hint="default"/>
                <w:spacing w:val="-30"/>
                <w:sz w:val="12"/>
                <w:szCs w:val="12"/>
              </w:rPr>
              <w:t> </w:t>
            </w:r>
            <w:r>
              <w:rPr>
                <w:rFonts w:ascii="宋体" w:hAnsi="宋体" w:cs="宋体" w:eastAsia="宋体" w:hint="default"/>
                <w:sz w:val="12"/>
                <w:szCs w:val="12"/>
              </w:rPr>
            </w:r>
          </w:p>
          <w:p>
            <w:pPr>
              <w:pStyle w:val="TableParagraph"/>
              <w:spacing w:line="175" w:lineRule="exact"/>
              <w:ind w:left="125" w:right="0"/>
              <w:jc w:val="left"/>
              <w:rPr>
                <w:rFonts w:ascii="Times New Roman" w:hAnsi="Times New Roman" w:cs="Times New Roman" w:eastAsia="Times New Roman" w:hint="default"/>
                <w:sz w:val="18"/>
                <w:szCs w:val="18"/>
              </w:rPr>
            </w:pPr>
            <w:r>
              <w:rPr>
                <w:rFonts w:ascii="Times New Roman"/>
                <w:sz w:val="18"/>
              </w:rPr>
              <w:t>13,698.93</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13,698.93</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2"/>
                <w:szCs w:val="12"/>
              </w:rPr>
            </w:pPr>
          </w:p>
          <w:p>
            <w:pPr>
              <w:pStyle w:val="TableParagraph"/>
              <w:spacing w:line="103" w:lineRule="exact"/>
              <w:ind w:right="38"/>
              <w:jc w:val="right"/>
              <w:rPr>
                <w:rFonts w:ascii="宋体" w:hAnsi="宋体" w:cs="宋体" w:eastAsia="宋体" w:hint="default"/>
                <w:sz w:val="12"/>
                <w:szCs w:val="12"/>
              </w:rPr>
            </w:pPr>
            <w:r>
              <w:rPr>
                <w:rFonts w:ascii="宋体" w:hAnsi="宋体" w:cs="宋体" w:eastAsia="宋体" w:hint="default"/>
                <w:spacing w:val="15"/>
                <w:sz w:val="12"/>
                <w:szCs w:val="12"/>
              </w:rPr>
              <w:t>注3</w:t>
            </w:r>
            <w:r>
              <w:rPr>
                <w:rFonts w:ascii="宋体" w:hAnsi="宋体" w:cs="宋体" w:eastAsia="宋体" w:hint="default"/>
                <w:spacing w:val="-30"/>
                <w:sz w:val="12"/>
                <w:szCs w:val="12"/>
              </w:rPr>
              <w:t> </w:t>
            </w:r>
            <w:r>
              <w:rPr>
                <w:rFonts w:ascii="宋体" w:hAnsi="宋体" w:cs="宋体" w:eastAsia="宋体" w:hint="default"/>
                <w:sz w:val="12"/>
                <w:szCs w:val="12"/>
              </w:rPr>
            </w:r>
          </w:p>
          <w:p>
            <w:pPr>
              <w:pStyle w:val="TableParagraph"/>
              <w:spacing w:line="182" w:lineRule="exact"/>
              <w:ind w:left="69"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88"/>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6" w:hRule="exact"/>
        </w:trPr>
        <w:tc>
          <w:tcPr>
            <w:tcW w:w="7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85" w:right="0"/>
              <w:jc w:val="left"/>
              <w:rPr>
                <w:rFonts w:ascii="宋体" w:hAnsi="宋体" w:cs="宋体" w:eastAsia="宋体" w:hint="default"/>
                <w:sz w:val="18"/>
                <w:szCs w:val="18"/>
              </w:rPr>
            </w:pPr>
            <w:r>
              <w:rPr>
                <w:rFonts w:ascii="宋体" w:hAnsi="宋体" w:cs="宋体" w:eastAsia="宋体" w:hint="default"/>
                <w:sz w:val="18"/>
                <w:szCs w:val="18"/>
              </w:rPr>
              <w:t>地项目</w:t>
            </w:r>
          </w:p>
        </w:tc>
        <w:tc>
          <w:tcPr>
            <w:tcW w:w="696"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62"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hAnsi="宋体" w:cs="宋体" w:eastAsia="宋体" w:hint="default"/>
                <w:sz w:val="18"/>
                <w:szCs w:val="18"/>
              </w:rPr>
              <w:t>永久补</w:t>
            </w:r>
          </w:p>
        </w:tc>
        <w:tc>
          <w:tcPr>
            <w:tcW w:w="696"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762"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r>
      <w:tr>
        <w:trPr>
          <w:trHeight w:val="328" w:hRule="exact"/>
        </w:trPr>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85" w:right="0"/>
              <w:jc w:val="left"/>
              <w:rPr>
                <w:rFonts w:ascii="宋体" w:hAnsi="宋体" w:cs="宋体" w:eastAsia="宋体" w:hint="default"/>
                <w:sz w:val="18"/>
                <w:szCs w:val="18"/>
              </w:rPr>
            </w:pPr>
            <w:r>
              <w:rPr>
                <w:rFonts w:ascii="宋体" w:hAnsi="宋体" w:cs="宋体" w:eastAsia="宋体" w:hint="default"/>
                <w:sz w:val="18"/>
                <w:szCs w:val="18"/>
              </w:rPr>
              <w:t>充流动</w:t>
            </w:r>
          </w:p>
        </w:tc>
        <w:tc>
          <w:tcPr>
            <w:tcW w:w="6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5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3,000</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3,000</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3,000</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3,000</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722"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left="17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696"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62"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2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w:t>
            </w:r>
          </w:p>
        </w:tc>
        <w:tc>
          <w:tcPr>
            <w:tcW w:w="6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shd w:val="clear" w:color="auto" w:fill="D3D3D3"/>
          </w:tcPr>
          <w:p>
            <w:pPr/>
          </w:p>
        </w:tc>
        <w:tc>
          <w:tcPr>
            <w:tcW w:w="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72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6" w:hRule="exact"/>
        </w:trPr>
        <w:tc>
          <w:tcPr>
            <w:tcW w:w="7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资项目</w:t>
            </w:r>
          </w:p>
        </w:tc>
        <w:tc>
          <w:tcPr>
            <w:tcW w:w="6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281" w:right="0"/>
              <w:jc w:val="left"/>
              <w:rPr>
                <w:rFonts w:ascii="Times New Roman" w:hAnsi="Times New Roman" w:cs="Times New Roman" w:eastAsia="Times New Roman" w:hint="default"/>
                <w:sz w:val="18"/>
                <w:szCs w:val="18"/>
              </w:rPr>
            </w:pPr>
            <w:r>
              <w:rPr>
                <w:rFonts w:ascii="Times New Roman"/>
                <w:sz w:val="18"/>
              </w:rPr>
              <w:t>--</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48,077.56</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33,166.41</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4,734.35</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19,467.48</w:t>
            </w:r>
          </w:p>
        </w:tc>
        <w:tc>
          <w:tcPr>
            <w:tcW w:w="8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7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298" w:right="0"/>
              <w:jc w:val="left"/>
              <w:rPr>
                <w:rFonts w:ascii="Times New Roman" w:hAnsi="Times New Roman" w:cs="Times New Roman" w:eastAsia="Times New Roman" w:hint="default"/>
                <w:sz w:val="18"/>
                <w:szCs w:val="18"/>
              </w:rPr>
            </w:pPr>
            <w:r>
              <w:rPr>
                <w:rFonts w:ascii="Times New Roman"/>
                <w:sz w:val="18"/>
              </w:rPr>
              <w:t>--</w:t>
            </w:r>
          </w:p>
        </w:tc>
      </w:tr>
      <w:tr>
        <w:trPr>
          <w:trHeight w:val="352" w:hRule="exact"/>
        </w:trPr>
        <w:tc>
          <w:tcPr>
            <w:tcW w:w="72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shd w:val="clear" w:color="auto" w:fill="D3D3D3"/>
          </w:tcPr>
          <w:p>
            <w:pPr/>
          </w:p>
        </w:tc>
        <w:tc>
          <w:tcPr>
            <w:tcW w:w="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2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81" w:right="0"/>
              <w:jc w:val="lef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48,077.56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33,166.41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4,734.35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19,467.48</w:t>
            </w:r>
          </w:p>
        </w:tc>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722" w:type="dxa"/>
            <w:tcBorders>
              <w:top w:val="single" w:sz="4" w:space="0" w:color="000000"/>
              <w:left w:val="single" w:sz="4" w:space="0" w:color="000000"/>
              <w:bottom w:val="nil" w:sz="6" w:space="0" w:color="auto"/>
              <w:right w:val="single" w:sz="4" w:space="0" w:color="000000"/>
            </w:tcBorders>
            <w:shd w:val="clear" w:color="auto" w:fill="D3D3D3"/>
          </w:tcPr>
          <w:p>
            <w:pPr/>
          </w:p>
        </w:tc>
        <w:tc>
          <w:tcPr>
            <w:tcW w:w="8846" w:type="dxa"/>
            <w:gridSpan w:val="11"/>
            <w:tcBorders>
              <w:top w:val="single" w:sz="4" w:space="0" w:color="000000"/>
              <w:left w:val="single" w:sz="4" w:space="0" w:color="000000"/>
              <w:bottom w:val="nil" w:sz="6" w:space="0" w:color="auto"/>
              <w:right w:val="single" w:sz="4" w:space="0" w:color="000000"/>
            </w:tcBorders>
          </w:tcPr>
          <w:p>
            <w:pPr>
              <w:pStyle w:val="TableParagraph"/>
              <w:spacing w:line="240" w:lineRule="auto" w:before="86"/>
              <w:ind w:left="382" w:right="0"/>
              <w:jc w:val="left"/>
              <w:rPr>
                <w:rFonts w:ascii="宋体" w:hAnsi="宋体" w:cs="宋体" w:eastAsia="宋体" w:hint="default"/>
                <w:sz w:val="18"/>
                <w:szCs w:val="18"/>
              </w:rPr>
            </w:pPr>
            <w:r>
              <w:rPr>
                <w:rFonts w:ascii="宋体" w:hAnsi="宋体" w:cs="宋体" w:eastAsia="宋体" w:hint="default"/>
                <w:spacing w:val="-1"/>
                <w:sz w:val="18"/>
                <w:szCs w:val="18"/>
              </w:rPr>
              <w:t>注</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30</w:t>
            </w:r>
            <w:r>
              <w:rPr>
                <w:rFonts w:ascii="宋体" w:hAnsi="宋体" w:cs="宋体" w:eastAsia="宋体" w:hint="default"/>
                <w:spacing w:val="-1"/>
                <w:sz w:val="18"/>
                <w:szCs w:val="18"/>
              </w:rPr>
              <w:t>日召开的第四届董事会第三十次会议和</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24</w:t>
            </w:r>
            <w:r>
              <w:rPr>
                <w:rFonts w:ascii="宋体" w:hAnsi="宋体" w:cs="宋体" w:eastAsia="宋体" w:hint="default"/>
                <w:spacing w:val="-1"/>
                <w:sz w:val="18"/>
                <w:szCs w:val="18"/>
              </w:rPr>
              <w:t>日召开的</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年第五次临时股东大会</w:t>
            </w:r>
          </w:p>
        </w:tc>
      </w:tr>
      <w:tr>
        <w:trPr>
          <w:trHeight w:val="315" w:hRule="exact"/>
        </w:trPr>
        <w:tc>
          <w:tcPr>
            <w:tcW w:w="722" w:type="dxa"/>
            <w:tcBorders>
              <w:top w:val="nil" w:sz="6" w:space="0" w:color="auto"/>
              <w:left w:val="single" w:sz="4" w:space="0" w:color="000000"/>
              <w:bottom w:val="nil" w:sz="6" w:space="0" w:color="auto"/>
              <w:right w:val="single" w:sz="4" w:space="0" w:color="000000"/>
            </w:tcBorders>
            <w:shd w:val="clear" w:color="auto" w:fill="D3D3D3"/>
          </w:tcPr>
          <w:p>
            <w:pPr/>
          </w:p>
        </w:tc>
        <w:tc>
          <w:tcPr>
            <w:tcW w:w="8846" w:type="dxa"/>
            <w:gridSpan w:val="11"/>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pacing w:val="1"/>
                <w:sz w:val="18"/>
                <w:szCs w:val="18"/>
              </w:rPr>
              <w:t>审议通过《关于变更募集资金用途的议案</w:t>
            </w:r>
            <w:r>
              <w:rPr>
                <w:rFonts w:ascii="宋体" w:hAnsi="宋体" w:cs="宋体" w:eastAsia="宋体" w:hint="default"/>
                <w:spacing w:val="-89"/>
                <w:sz w:val="18"/>
                <w:szCs w:val="18"/>
              </w:rPr>
              <w:t>》</w:t>
            </w:r>
            <w:r>
              <w:rPr>
                <w:rFonts w:ascii="宋体" w:hAnsi="宋体" w:cs="宋体" w:eastAsia="宋体" w:hint="default"/>
                <w:spacing w:val="1"/>
                <w:sz w:val="18"/>
                <w:szCs w:val="18"/>
              </w:rPr>
              <w:t>，同意公司将目前尚未使用的募集资金及理财收益和利息收入</w:t>
            </w:r>
            <w:r>
              <w:rPr>
                <w:rFonts w:ascii="宋体" w:hAnsi="宋体" w:cs="宋体" w:eastAsia="宋体" w:hint="default"/>
                <w:spacing w:val="2"/>
                <w:sz w:val="18"/>
                <w:szCs w:val="18"/>
              </w:rPr>
              <w:t>（具</w:t>
            </w:r>
            <w:r>
              <w:rPr>
                <w:rFonts w:ascii="宋体" w:hAnsi="宋体" w:cs="宋体" w:eastAsia="宋体" w:hint="default"/>
                <w:sz w:val="18"/>
                <w:szCs w:val="18"/>
              </w:rPr>
              <w:t>体</w:t>
            </w:r>
          </w:p>
        </w:tc>
      </w:tr>
      <w:tr>
        <w:trPr>
          <w:trHeight w:val="320" w:hRule="exact"/>
        </w:trPr>
        <w:tc>
          <w:tcPr>
            <w:tcW w:w="722" w:type="dxa"/>
            <w:tcBorders>
              <w:top w:val="nil" w:sz="6" w:space="0" w:color="auto"/>
              <w:left w:val="single" w:sz="4" w:space="0" w:color="000000"/>
              <w:bottom w:val="nil" w:sz="6" w:space="0" w:color="auto"/>
              <w:right w:val="single" w:sz="4" w:space="0" w:color="000000"/>
            </w:tcBorders>
            <w:shd w:val="clear" w:color="auto" w:fill="D3D3D3"/>
          </w:tcPr>
          <w:p>
            <w:pPr/>
          </w:p>
        </w:tc>
        <w:tc>
          <w:tcPr>
            <w:tcW w:w="8846" w:type="dxa"/>
            <w:gridSpan w:val="11"/>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pacing w:val="-1"/>
                <w:sz w:val="18"/>
                <w:szCs w:val="18"/>
              </w:rPr>
              <w:t>的金额以资金转出日银行结息后实际金额为准）用于新开普智慧教育研发产业基地项目及永久补充流动资金。智</w:t>
            </w:r>
          </w:p>
        </w:tc>
      </w:tr>
      <w:tr>
        <w:trPr>
          <w:trHeight w:val="269" w:hRule="exact"/>
        </w:trPr>
        <w:tc>
          <w:tcPr>
            <w:tcW w:w="722" w:type="dxa"/>
            <w:tcBorders>
              <w:top w:val="nil" w:sz="6" w:space="0" w:color="auto"/>
              <w:left w:val="single" w:sz="4" w:space="0" w:color="000000"/>
              <w:bottom w:val="nil" w:sz="6" w:space="0" w:color="auto"/>
              <w:right w:val="single" w:sz="4" w:space="0" w:color="000000"/>
            </w:tcBorders>
            <w:shd w:val="clear" w:color="auto" w:fill="D3D3D3"/>
          </w:tcPr>
          <w:p>
            <w:pPr/>
          </w:p>
        </w:tc>
        <w:tc>
          <w:tcPr>
            <w:tcW w:w="8846" w:type="dxa"/>
            <w:gridSpan w:val="11"/>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2" w:right="-7"/>
              <w:jc w:val="left"/>
              <w:rPr>
                <w:rFonts w:ascii="宋体" w:hAnsi="宋体" w:cs="宋体" w:eastAsia="宋体" w:hint="default"/>
                <w:sz w:val="18"/>
                <w:szCs w:val="18"/>
              </w:rPr>
            </w:pPr>
            <w:r>
              <w:rPr>
                <w:rFonts w:ascii="宋体" w:hAnsi="宋体" w:cs="宋体" w:eastAsia="宋体" w:hint="default"/>
                <w:sz w:val="18"/>
                <w:szCs w:val="18"/>
              </w:rPr>
              <w:t>慧教育研发产业基地项目建设内容主要包含：新一代智慧校园移动互联服务平台、物联网智能终端产品的设计、</w:t>
            </w:r>
          </w:p>
        </w:tc>
      </w:tr>
      <w:tr>
        <w:trPr>
          <w:trHeight w:val="316" w:hRule="exact"/>
        </w:trPr>
        <w:tc>
          <w:tcPr>
            <w:tcW w:w="7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z w:val="18"/>
                <w:szCs w:val="18"/>
              </w:rPr>
              <w:t>未达到</w:t>
            </w:r>
          </w:p>
        </w:tc>
        <w:tc>
          <w:tcPr>
            <w:tcW w:w="8846" w:type="dxa"/>
            <w:gridSpan w:val="11"/>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研发及生产、智慧教育实训基地、工业机器人、大数据教学实验平台、智能终端实验室等。</w:t>
            </w:r>
          </w:p>
        </w:tc>
      </w:tr>
      <w:tr>
        <w:trPr>
          <w:trHeight w:val="1444" w:hRule="exact"/>
        </w:trPr>
        <w:tc>
          <w:tcPr>
            <w:tcW w:w="7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94" w:lineRule="exact"/>
              <w:ind w:left="22" w:right="0"/>
              <w:jc w:val="both"/>
              <w:rPr>
                <w:rFonts w:ascii="宋体" w:hAnsi="宋体" w:cs="宋体" w:eastAsia="宋体" w:hint="default"/>
                <w:sz w:val="18"/>
                <w:szCs w:val="18"/>
              </w:rPr>
            </w:pPr>
            <w:r>
              <w:rPr>
                <w:rFonts w:ascii="宋体" w:hAnsi="宋体" w:cs="宋体" w:eastAsia="宋体" w:hint="default"/>
                <w:sz w:val="18"/>
                <w:szCs w:val="18"/>
              </w:rPr>
              <w:t>计划进</w:t>
            </w:r>
          </w:p>
          <w:p>
            <w:pPr>
              <w:pStyle w:val="TableParagraph"/>
              <w:spacing w:line="310" w:lineRule="atLeast" w:before="2"/>
              <w:ind w:left="22" w:right="149"/>
              <w:jc w:val="both"/>
              <w:rPr>
                <w:rFonts w:ascii="宋体" w:hAnsi="宋体" w:cs="宋体" w:eastAsia="宋体" w:hint="default"/>
                <w:sz w:val="18"/>
                <w:szCs w:val="18"/>
              </w:rPr>
            </w:pPr>
            <w:r>
              <w:rPr>
                <w:rFonts w:ascii="宋体" w:hAnsi="宋体" w:cs="宋体" w:eastAsia="宋体" w:hint="default"/>
                <w:sz w:val="18"/>
                <w:szCs w:val="18"/>
              </w:rPr>
              <w:t>度或预 计收益 的情况 和原因</w:t>
            </w:r>
          </w:p>
        </w:tc>
        <w:tc>
          <w:tcPr>
            <w:tcW w:w="8846" w:type="dxa"/>
            <w:gridSpan w:val="11"/>
            <w:tcBorders>
              <w:top w:val="nil" w:sz="6" w:space="0" w:color="auto"/>
              <w:left w:val="single" w:sz="4" w:space="0" w:color="000000"/>
              <w:bottom w:val="nil" w:sz="6" w:space="0" w:color="auto"/>
              <w:right w:val="single" w:sz="4" w:space="0" w:color="000000"/>
            </w:tcBorders>
          </w:tcPr>
          <w:p>
            <w:pPr>
              <w:pStyle w:val="TableParagraph"/>
              <w:spacing w:line="326" w:lineRule="auto" w:before="109"/>
              <w:ind w:left="22" w:right="14" w:firstLine="360"/>
              <w:jc w:val="both"/>
              <w:rPr>
                <w:rFonts w:ascii="宋体" w:hAnsi="宋体" w:cs="宋体" w:eastAsia="宋体" w:hint="default"/>
                <w:sz w:val="18"/>
                <w:szCs w:val="18"/>
              </w:rPr>
            </w:pPr>
            <w:r>
              <w:rPr>
                <w:rFonts w:ascii="宋体" w:hAnsi="宋体" w:cs="宋体" w:eastAsia="宋体" w:hint="default"/>
                <w:spacing w:val="2"/>
                <w:sz w:val="18"/>
                <w:szCs w:val="18"/>
              </w:rPr>
              <w:t>公司原高校移动互联服务平台项目将传统校园一卡通应用、校园信息化系统与移动互联网进行深度有效结</w:t>
            </w:r>
            <w:r>
              <w:rPr>
                <w:rFonts w:ascii="宋体" w:hAnsi="宋体" w:cs="宋体" w:eastAsia="宋体" w:hint="default"/>
                <w:spacing w:val="3"/>
                <w:sz w:val="18"/>
                <w:szCs w:val="18"/>
              </w:rPr>
              <w:t> </w:t>
            </w:r>
            <w:r>
              <w:rPr>
                <w:rFonts w:ascii="宋体" w:hAnsi="宋体" w:cs="宋体" w:eastAsia="宋体" w:hint="default"/>
                <w:spacing w:val="-1"/>
                <w:sz w:val="18"/>
                <w:szCs w:val="18"/>
              </w:rPr>
              <w:t>合，是引领移动互联网时代校园学习及生活模式转变的重大战略举措，通过与新募投项目智慧教育研发产业基地</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其他子项目的融合，公司原高校移动互联服务平台项目将进一步拓宽“完美校园”的内容深度，使之成为智慧校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园生态的重要载体。公司原职业教育产业基地建设项目内容目前已进一步深化，并逐步往教育科技方向转变，将</w:t>
            </w:r>
          </w:p>
        </w:tc>
      </w:tr>
      <w:tr>
        <w:trPr>
          <w:trHeight w:val="317" w:hRule="exact"/>
        </w:trPr>
        <w:tc>
          <w:tcPr>
            <w:tcW w:w="7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（分具</w:t>
            </w:r>
          </w:p>
        </w:tc>
        <w:tc>
          <w:tcPr>
            <w:tcW w:w="8846" w:type="dxa"/>
            <w:gridSpan w:val="11"/>
            <w:tcBorders>
              <w:top w:val="nil" w:sz="6" w:space="0" w:color="auto"/>
              <w:left w:val="single" w:sz="4" w:space="0" w:color="000000"/>
              <w:bottom w:val="nil" w:sz="6" w:space="0" w:color="auto"/>
              <w:right w:val="single" w:sz="4" w:space="0" w:color="000000"/>
            </w:tcBorders>
          </w:tcPr>
          <w:p>
            <w:pPr>
              <w:pStyle w:val="TableParagraph"/>
              <w:spacing w:line="181" w:lineRule="exact"/>
              <w:ind w:left="22" w:right="0"/>
              <w:jc w:val="left"/>
              <w:rPr>
                <w:rFonts w:ascii="宋体" w:hAnsi="宋体" w:cs="宋体" w:eastAsia="宋体" w:hint="default"/>
                <w:sz w:val="18"/>
                <w:szCs w:val="18"/>
              </w:rPr>
            </w:pPr>
            <w:r>
              <w:rPr>
                <w:rFonts w:ascii="宋体" w:hAnsi="宋体" w:cs="宋体" w:eastAsia="宋体" w:hint="default"/>
                <w:spacing w:val="-1"/>
                <w:sz w:val="18"/>
                <w:szCs w:val="18"/>
              </w:rPr>
              <w:t>原职业教育产业基地建设项目融入新募投项目智慧教育研发产业基地项目后进行整合升级，有利于公司向智慧教</w:t>
            </w:r>
          </w:p>
        </w:tc>
      </w:tr>
      <w:tr>
        <w:trPr>
          <w:trHeight w:val="336" w:hRule="exact"/>
        </w:trPr>
        <w:tc>
          <w:tcPr>
            <w:tcW w:w="7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1"/>
              <w:ind w:left="22" w:right="-31"/>
              <w:jc w:val="left"/>
              <w:rPr>
                <w:rFonts w:ascii="宋体" w:hAnsi="宋体" w:cs="宋体" w:eastAsia="宋体" w:hint="default"/>
                <w:sz w:val="18"/>
                <w:szCs w:val="18"/>
              </w:rPr>
            </w:pPr>
            <w:r>
              <w:rPr>
                <w:rFonts w:ascii="宋体" w:hAnsi="宋体" w:cs="宋体" w:eastAsia="宋体" w:hint="default"/>
                <w:sz w:val="18"/>
                <w:szCs w:val="18"/>
              </w:rPr>
              <w:t>体项目）</w:t>
            </w:r>
          </w:p>
        </w:tc>
        <w:tc>
          <w:tcPr>
            <w:tcW w:w="8846" w:type="dxa"/>
            <w:gridSpan w:val="11"/>
            <w:tcBorders>
              <w:top w:val="nil" w:sz="6" w:space="0" w:color="auto"/>
              <w:left w:val="single" w:sz="4" w:space="0" w:color="000000"/>
              <w:bottom w:val="nil" w:sz="6" w:space="0" w:color="auto"/>
              <w:right w:val="single" w:sz="4" w:space="0" w:color="000000"/>
            </w:tcBorders>
          </w:tcPr>
          <w:p>
            <w:pPr>
              <w:pStyle w:val="TableParagraph"/>
              <w:spacing w:line="186" w:lineRule="exact"/>
              <w:ind w:left="22" w:right="0"/>
              <w:jc w:val="left"/>
              <w:rPr>
                <w:rFonts w:ascii="宋体" w:hAnsi="宋体" w:cs="宋体" w:eastAsia="宋体" w:hint="default"/>
                <w:sz w:val="18"/>
                <w:szCs w:val="18"/>
              </w:rPr>
            </w:pPr>
            <w:r>
              <w:rPr>
                <w:rFonts w:ascii="宋体" w:hAnsi="宋体" w:cs="宋体" w:eastAsia="宋体" w:hint="default"/>
                <w:sz w:val="18"/>
                <w:szCs w:val="18"/>
              </w:rPr>
              <w:t>育领域纵向延伸，利用资源优势快速抢占市场。</w:t>
            </w:r>
          </w:p>
        </w:tc>
      </w:tr>
      <w:tr>
        <w:trPr>
          <w:trHeight w:val="284" w:hRule="exact"/>
        </w:trPr>
        <w:tc>
          <w:tcPr>
            <w:tcW w:w="722" w:type="dxa"/>
            <w:tcBorders>
              <w:top w:val="nil" w:sz="6" w:space="0" w:color="auto"/>
              <w:left w:val="single" w:sz="4" w:space="0" w:color="000000"/>
              <w:bottom w:val="nil" w:sz="6" w:space="0" w:color="auto"/>
              <w:right w:val="single" w:sz="4" w:space="0" w:color="000000"/>
            </w:tcBorders>
            <w:shd w:val="clear" w:color="auto" w:fill="D3D3D3"/>
          </w:tcPr>
          <w:p>
            <w:pPr/>
          </w:p>
        </w:tc>
        <w:tc>
          <w:tcPr>
            <w:tcW w:w="8846" w:type="dxa"/>
            <w:gridSpan w:val="11"/>
            <w:tcBorders>
              <w:top w:val="nil" w:sz="6" w:space="0" w:color="auto"/>
              <w:left w:val="single" w:sz="4" w:space="0" w:color="000000"/>
              <w:bottom w:val="nil" w:sz="6" w:space="0" w:color="auto"/>
              <w:right w:val="single" w:sz="4" w:space="0" w:color="000000"/>
            </w:tcBorders>
          </w:tcPr>
          <w:p>
            <w:pPr>
              <w:pStyle w:val="TableParagraph"/>
              <w:spacing w:line="222" w:lineRule="exact"/>
              <w:ind w:left="382" w:right="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原募投项目高校移动互联服务平台项目、职业教育产业基地建设项目计划达到预定可使用状态日期均为</w:t>
            </w:r>
            <w:r>
              <w:rPr>
                <w:rFonts w:ascii="Times New Roman" w:hAnsi="Times New Roman" w:cs="Times New Roman" w:eastAsia="Times New Roman" w:hint="default"/>
                <w:spacing w:val="-1"/>
                <w:sz w:val="18"/>
                <w:szCs w:val="18"/>
              </w:rPr>
              <w:t>2019</w:t>
            </w:r>
          </w:p>
        </w:tc>
      </w:tr>
      <w:tr>
        <w:trPr>
          <w:trHeight w:val="340" w:hRule="exact"/>
        </w:trPr>
        <w:tc>
          <w:tcPr>
            <w:tcW w:w="722" w:type="dxa"/>
            <w:tcBorders>
              <w:top w:val="nil" w:sz="6" w:space="0" w:color="auto"/>
              <w:left w:val="single" w:sz="4" w:space="0" w:color="000000"/>
              <w:bottom w:val="nil" w:sz="6" w:space="0" w:color="auto"/>
              <w:right w:val="single" w:sz="4" w:space="0" w:color="000000"/>
            </w:tcBorders>
            <w:shd w:val="clear" w:color="auto" w:fill="D3D3D3"/>
          </w:tcPr>
          <w:p>
            <w:pPr/>
          </w:p>
        </w:tc>
        <w:tc>
          <w:tcPr>
            <w:tcW w:w="8846" w:type="dxa"/>
            <w:gridSpan w:val="11"/>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日，由于原募投项目已经发生变更，公司陆续不再对原募投项目进行投入。</w:t>
            </w:r>
          </w:p>
        </w:tc>
      </w:tr>
      <w:tr>
        <w:trPr>
          <w:trHeight w:val="335" w:hRule="exact"/>
        </w:trPr>
        <w:tc>
          <w:tcPr>
            <w:tcW w:w="722" w:type="dxa"/>
            <w:tcBorders>
              <w:top w:val="nil" w:sz="6" w:space="0" w:color="auto"/>
              <w:left w:val="single" w:sz="4" w:space="0" w:color="000000"/>
              <w:bottom w:val="nil" w:sz="6" w:space="0" w:color="auto"/>
              <w:right w:val="single" w:sz="4" w:space="0" w:color="000000"/>
            </w:tcBorders>
            <w:shd w:val="clear" w:color="auto" w:fill="D3D3D3"/>
          </w:tcPr>
          <w:p>
            <w:pPr/>
          </w:p>
        </w:tc>
        <w:tc>
          <w:tcPr>
            <w:tcW w:w="8846" w:type="dxa"/>
            <w:gridSpan w:val="11"/>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382" w:right="0"/>
              <w:jc w:val="left"/>
              <w:rPr>
                <w:rFonts w:ascii="宋体" w:hAnsi="宋体" w:cs="宋体" w:eastAsia="宋体" w:hint="default"/>
                <w:sz w:val="18"/>
                <w:szCs w:val="18"/>
              </w:rPr>
            </w:pPr>
            <w:r>
              <w:rPr>
                <w:rFonts w:ascii="宋体" w:hAnsi="宋体" w:cs="宋体" w:eastAsia="宋体" w:hint="default"/>
                <w:spacing w:val="-1"/>
                <w:sz w:val="18"/>
                <w:szCs w:val="18"/>
              </w:rPr>
              <w:t>因此，截至报告期末，高校移动互联服务平台项目、职业教育产业基地建设项目原定投资进度未完成，亦未</w:t>
            </w:r>
          </w:p>
        </w:tc>
      </w:tr>
      <w:tr>
        <w:trPr>
          <w:trHeight w:val="333" w:hRule="exact"/>
        </w:trPr>
        <w:tc>
          <w:tcPr>
            <w:tcW w:w="722" w:type="dxa"/>
            <w:tcBorders>
              <w:top w:val="nil" w:sz="6" w:space="0" w:color="auto"/>
              <w:left w:val="single" w:sz="4" w:space="0" w:color="000000"/>
              <w:bottom w:val="single" w:sz="4" w:space="0" w:color="000000"/>
              <w:right w:val="single" w:sz="13" w:space="0" w:color="FFFFFF"/>
            </w:tcBorders>
            <w:shd w:val="clear" w:color="auto" w:fill="D3D3D3"/>
          </w:tcPr>
          <w:p>
            <w:pPr/>
          </w:p>
        </w:tc>
        <w:tc>
          <w:tcPr>
            <w:tcW w:w="8846" w:type="dxa"/>
            <w:gridSpan w:val="11"/>
            <w:tcBorders>
              <w:top w:val="nil" w:sz="6" w:space="0" w:color="auto"/>
              <w:left w:val="single" w:sz="13" w:space="0" w:color="FFFFFF"/>
              <w:bottom w:val="single" w:sz="4" w:space="0" w:color="000000"/>
              <w:right w:val="single" w:sz="9" w:space="0" w:color="FFFFFF"/>
            </w:tcBorders>
          </w:tcPr>
          <w:p>
            <w:pPr>
              <w:pStyle w:val="TableParagraph"/>
              <w:spacing w:line="240" w:lineRule="auto" w:before="15"/>
              <w:ind w:left="11" w:right="0"/>
              <w:jc w:val="left"/>
              <w:rPr>
                <w:rFonts w:ascii="宋体" w:hAnsi="宋体" w:cs="宋体" w:eastAsia="宋体" w:hint="default"/>
                <w:sz w:val="18"/>
                <w:szCs w:val="18"/>
              </w:rPr>
            </w:pPr>
            <w:r>
              <w:rPr>
                <w:rFonts w:ascii="宋体" w:hAnsi="宋体" w:cs="宋体" w:eastAsia="宋体" w:hint="default"/>
                <w:sz w:val="18"/>
                <w:szCs w:val="18"/>
              </w:rPr>
              <w:t>达到可使用状态及预计收益。</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722"/>
        <w:gridCol w:w="8846"/>
      </w:tblGrid>
      <w:tr>
        <w:trPr>
          <w:trHeight w:val="358" w:hRule="exact"/>
        </w:trPr>
        <w:tc>
          <w:tcPr>
            <w:tcW w:w="72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项目可</w:t>
            </w:r>
          </w:p>
        </w:tc>
        <w:tc>
          <w:tcPr>
            <w:tcW w:w="88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行性发</w:t>
            </w:r>
          </w:p>
        </w:tc>
        <w:tc>
          <w:tcPr>
            <w:tcW w:w="8846"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7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2" w:right="149"/>
              <w:jc w:val="left"/>
              <w:rPr>
                <w:rFonts w:ascii="宋体" w:hAnsi="宋体" w:cs="宋体" w:eastAsia="宋体" w:hint="default"/>
                <w:sz w:val="18"/>
                <w:szCs w:val="18"/>
              </w:rPr>
            </w:pPr>
            <w:r>
              <w:rPr>
                <w:rFonts w:ascii="宋体" w:hAnsi="宋体" w:cs="宋体" w:eastAsia="宋体" w:hint="default"/>
                <w:sz w:val="18"/>
                <w:szCs w:val="18"/>
              </w:rPr>
              <w:t>生重大 变化的</w:t>
            </w:r>
          </w:p>
        </w:tc>
        <w:tc>
          <w:tcPr>
            <w:tcW w:w="88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3" w:hRule="exact"/>
        </w:trPr>
        <w:tc>
          <w:tcPr>
            <w:tcW w:w="7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情况说</w:t>
            </w:r>
          </w:p>
        </w:tc>
        <w:tc>
          <w:tcPr>
            <w:tcW w:w="884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72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明</w:t>
            </w:r>
          </w:p>
        </w:tc>
        <w:tc>
          <w:tcPr>
            <w:tcW w:w="884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2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w:t>
            </w:r>
          </w:p>
        </w:tc>
        <w:tc>
          <w:tcPr>
            <w:tcW w:w="88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金的金</w:t>
            </w:r>
          </w:p>
        </w:tc>
        <w:tc>
          <w:tcPr>
            <w:tcW w:w="8846"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7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pacing w:val="-14"/>
                <w:sz w:val="18"/>
                <w:szCs w:val="18"/>
              </w:rPr>
              <w:t>额、用途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及使用</w:t>
            </w:r>
          </w:p>
        </w:tc>
        <w:tc>
          <w:tcPr>
            <w:tcW w:w="88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3" w:hRule="exact"/>
        </w:trPr>
        <w:tc>
          <w:tcPr>
            <w:tcW w:w="7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进展情</w:t>
            </w:r>
          </w:p>
        </w:tc>
        <w:tc>
          <w:tcPr>
            <w:tcW w:w="884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72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况</w:t>
            </w:r>
          </w:p>
        </w:tc>
        <w:tc>
          <w:tcPr>
            <w:tcW w:w="884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2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w:t>
            </w:r>
          </w:p>
        </w:tc>
        <w:tc>
          <w:tcPr>
            <w:tcW w:w="88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金投资</w:t>
            </w:r>
          </w:p>
        </w:tc>
        <w:tc>
          <w:tcPr>
            <w:tcW w:w="8846"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7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2" w:right="149"/>
              <w:jc w:val="left"/>
              <w:rPr>
                <w:rFonts w:ascii="宋体" w:hAnsi="宋体" w:cs="宋体" w:eastAsia="宋体" w:hint="default"/>
                <w:sz w:val="18"/>
                <w:szCs w:val="18"/>
              </w:rPr>
            </w:pPr>
            <w:r>
              <w:rPr>
                <w:rFonts w:ascii="宋体" w:hAnsi="宋体" w:cs="宋体" w:eastAsia="宋体" w:hint="default"/>
                <w:sz w:val="18"/>
                <w:szCs w:val="18"/>
              </w:rPr>
              <w:t>项目实 施地点</w:t>
            </w:r>
          </w:p>
        </w:tc>
        <w:tc>
          <w:tcPr>
            <w:tcW w:w="88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3" w:hRule="exact"/>
        </w:trPr>
        <w:tc>
          <w:tcPr>
            <w:tcW w:w="7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变更情</w:t>
            </w:r>
          </w:p>
        </w:tc>
        <w:tc>
          <w:tcPr>
            <w:tcW w:w="884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72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况</w:t>
            </w:r>
          </w:p>
        </w:tc>
        <w:tc>
          <w:tcPr>
            <w:tcW w:w="884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2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w:t>
            </w:r>
          </w:p>
        </w:tc>
        <w:tc>
          <w:tcPr>
            <w:tcW w:w="88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金投资</w:t>
            </w:r>
          </w:p>
        </w:tc>
        <w:tc>
          <w:tcPr>
            <w:tcW w:w="8846"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7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2" w:right="149"/>
              <w:jc w:val="left"/>
              <w:rPr>
                <w:rFonts w:ascii="宋体" w:hAnsi="宋体" w:cs="宋体" w:eastAsia="宋体" w:hint="default"/>
                <w:sz w:val="18"/>
                <w:szCs w:val="18"/>
              </w:rPr>
            </w:pPr>
            <w:r>
              <w:rPr>
                <w:rFonts w:ascii="宋体" w:hAnsi="宋体" w:cs="宋体" w:eastAsia="宋体" w:hint="default"/>
                <w:sz w:val="18"/>
                <w:szCs w:val="18"/>
              </w:rPr>
              <w:t>项目实 施方式</w:t>
            </w:r>
          </w:p>
        </w:tc>
        <w:tc>
          <w:tcPr>
            <w:tcW w:w="88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3" w:hRule="exact"/>
        </w:trPr>
        <w:tc>
          <w:tcPr>
            <w:tcW w:w="7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调整情</w:t>
            </w:r>
          </w:p>
        </w:tc>
        <w:tc>
          <w:tcPr>
            <w:tcW w:w="884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72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况</w:t>
            </w:r>
          </w:p>
        </w:tc>
        <w:tc>
          <w:tcPr>
            <w:tcW w:w="884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2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w:t>
            </w:r>
          </w:p>
        </w:tc>
        <w:tc>
          <w:tcPr>
            <w:tcW w:w="88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金投资</w:t>
            </w:r>
          </w:p>
        </w:tc>
        <w:tc>
          <w:tcPr>
            <w:tcW w:w="8846"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7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2" w:right="149"/>
              <w:jc w:val="left"/>
              <w:rPr>
                <w:rFonts w:ascii="宋体" w:hAnsi="宋体" w:cs="宋体" w:eastAsia="宋体" w:hint="default"/>
                <w:sz w:val="18"/>
                <w:szCs w:val="18"/>
              </w:rPr>
            </w:pPr>
            <w:r>
              <w:rPr>
                <w:rFonts w:ascii="宋体" w:hAnsi="宋体" w:cs="宋体" w:eastAsia="宋体" w:hint="default"/>
                <w:sz w:val="18"/>
                <w:szCs w:val="18"/>
              </w:rPr>
              <w:t>项目先 期投入</w:t>
            </w:r>
          </w:p>
        </w:tc>
        <w:tc>
          <w:tcPr>
            <w:tcW w:w="88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3" w:hRule="exact"/>
        </w:trPr>
        <w:tc>
          <w:tcPr>
            <w:tcW w:w="7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及置换</w:t>
            </w:r>
          </w:p>
        </w:tc>
        <w:tc>
          <w:tcPr>
            <w:tcW w:w="884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72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884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2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用闲置</w:t>
            </w:r>
          </w:p>
        </w:tc>
        <w:tc>
          <w:tcPr>
            <w:tcW w:w="88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募集资</w:t>
            </w:r>
          </w:p>
        </w:tc>
        <w:tc>
          <w:tcPr>
            <w:tcW w:w="8846"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7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2" w:right="149"/>
              <w:jc w:val="left"/>
              <w:rPr>
                <w:rFonts w:ascii="宋体" w:hAnsi="宋体" w:cs="宋体" w:eastAsia="宋体" w:hint="default"/>
                <w:sz w:val="18"/>
                <w:szCs w:val="18"/>
              </w:rPr>
            </w:pPr>
            <w:r>
              <w:rPr>
                <w:rFonts w:ascii="宋体" w:hAnsi="宋体" w:cs="宋体" w:eastAsia="宋体" w:hint="default"/>
                <w:sz w:val="18"/>
                <w:szCs w:val="18"/>
              </w:rPr>
              <w:t>金暂时 补充流</w:t>
            </w:r>
          </w:p>
        </w:tc>
        <w:tc>
          <w:tcPr>
            <w:tcW w:w="88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3" w:hRule="exact"/>
        </w:trPr>
        <w:tc>
          <w:tcPr>
            <w:tcW w:w="7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动资金</w:t>
            </w:r>
          </w:p>
        </w:tc>
        <w:tc>
          <w:tcPr>
            <w:tcW w:w="884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72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884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2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项目实</w:t>
            </w:r>
          </w:p>
        </w:tc>
        <w:tc>
          <w:tcPr>
            <w:tcW w:w="88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施出现</w:t>
            </w:r>
          </w:p>
        </w:tc>
        <w:tc>
          <w:tcPr>
            <w:tcW w:w="8846"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7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2" w:right="149"/>
              <w:jc w:val="left"/>
              <w:rPr>
                <w:rFonts w:ascii="宋体" w:hAnsi="宋体" w:cs="宋体" w:eastAsia="宋体" w:hint="default"/>
                <w:sz w:val="18"/>
                <w:szCs w:val="18"/>
              </w:rPr>
            </w:pPr>
            <w:r>
              <w:rPr>
                <w:rFonts w:ascii="宋体" w:hAnsi="宋体" w:cs="宋体" w:eastAsia="宋体" w:hint="default"/>
                <w:sz w:val="18"/>
                <w:szCs w:val="18"/>
              </w:rPr>
              <w:t>募集资 金结余</w:t>
            </w:r>
          </w:p>
        </w:tc>
        <w:tc>
          <w:tcPr>
            <w:tcW w:w="88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3" w:hRule="exact"/>
        </w:trPr>
        <w:tc>
          <w:tcPr>
            <w:tcW w:w="7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884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72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及原因</w:t>
            </w:r>
          </w:p>
        </w:tc>
        <w:tc>
          <w:tcPr>
            <w:tcW w:w="8846" w:type="dxa"/>
            <w:tcBorders>
              <w:top w:val="nil" w:sz="6" w:space="0" w:color="auto"/>
              <w:left w:val="single" w:sz="4" w:space="0" w:color="000000"/>
              <w:bottom w:val="nil" w:sz="6" w:space="0" w:color="auto"/>
              <w:right w:val="single" w:sz="4" w:space="0" w:color="000000"/>
            </w:tcBorders>
          </w:tcPr>
          <w:p>
            <w:pPr/>
          </w:p>
        </w:tc>
      </w:tr>
    </w:tbl>
    <w:p>
      <w:pPr>
        <w:spacing w:after="0"/>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722"/>
        <w:gridCol w:w="8846"/>
      </w:tblGrid>
      <w:tr>
        <w:trPr>
          <w:trHeight w:val="358" w:hRule="exact"/>
        </w:trPr>
        <w:tc>
          <w:tcPr>
            <w:tcW w:w="72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尚未使</w:t>
            </w:r>
          </w:p>
        </w:tc>
        <w:tc>
          <w:tcPr>
            <w:tcW w:w="8846"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7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2" w:right="149"/>
              <w:jc w:val="both"/>
              <w:rPr>
                <w:rFonts w:ascii="宋体" w:hAnsi="宋体" w:cs="宋体" w:eastAsia="宋体" w:hint="default"/>
                <w:sz w:val="18"/>
                <w:szCs w:val="18"/>
              </w:rPr>
            </w:pPr>
            <w:r>
              <w:rPr>
                <w:rFonts w:ascii="宋体" w:hAnsi="宋体" w:cs="宋体" w:eastAsia="宋体" w:hint="default"/>
                <w:sz w:val="18"/>
                <w:szCs w:val="18"/>
              </w:rPr>
              <w:t>用的募 集资金 用途及</w:t>
            </w:r>
          </w:p>
        </w:tc>
        <w:tc>
          <w:tcPr>
            <w:tcW w:w="88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截至报告期末，尚未使用的募集资金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13,698.93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万元。其中使用暂时闲置募集资金进行现金管理的共计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万元，购买大额存单</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11,500.00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万元，其余尚未使用的募集资金均存储于募集资金专户中。</w:t>
            </w:r>
          </w:p>
        </w:tc>
      </w:tr>
      <w:tr>
        <w:trPr>
          <w:trHeight w:val="356" w:hRule="exact"/>
        </w:trPr>
        <w:tc>
          <w:tcPr>
            <w:tcW w:w="72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去向</w:t>
            </w:r>
          </w:p>
        </w:tc>
        <w:tc>
          <w:tcPr>
            <w:tcW w:w="8846" w:type="dxa"/>
            <w:tcBorders>
              <w:top w:val="nil" w:sz="6" w:space="0" w:color="auto"/>
              <w:left w:val="single" w:sz="4" w:space="0" w:color="000000"/>
              <w:bottom w:val="single" w:sz="4" w:space="0" w:color="000000"/>
              <w:right w:val="single" w:sz="4" w:space="0" w:color="000000"/>
            </w:tcBorders>
          </w:tcPr>
          <w:p>
            <w:pPr/>
          </w:p>
        </w:tc>
      </w:tr>
      <w:tr>
        <w:trPr>
          <w:trHeight w:val="1850" w:hRule="exact"/>
        </w:trPr>
        <w:tc>
          <w:tcPr>
            <w:tcW w:w="72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312" w:lineRule="exact" w:before="12"/>
              <w:ind w:left="22" w:right="149"/>
              <w:jc w:val="both"/>
              <w:rPr>
                <w:rFonts w:ascii="宋体" w:hAnsi="宋体" w:cs="宋体" w:eastAsia="宋体" w:hint="default"/>
                <w:sz w:val="18"/>
                <w:szCs w:val="18"/>
              </w:rPr>
            </w:pPr>
            <w:r>
              <w:rPr>
                <w:rFonts w:ascii="宋体" w:hAnsi="宋体" w:cs="宋体" w:eastAsia="宋体" w:hint="default"/>
                <w:sz w:val="18"/>
                <w:szCs w:val="18"/>
              </w:rPr>
              <w:t>募集资 金使用 及披露 中存在 的问题 或其他</w:t>
            </w:r>
          </w:p>
        </w:tc>
        <w:tc>
          <w:tcPr>
            <w:tcW w:w="88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：智慧教育研发产业基地项目募集资金承诺投资总额及调整后投资总额为</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13,698.93</w:t>
            </w:r>
            <w:r>
              <w:rPr>
                <w:rFonts w:ascii="Times New Roman" w:hAnsi="Times New Roman" w:cs="Times New Roman" w:eastAsia="Times New Roman" w:hint="default"/>
                <w:spacing w:val="-16"/>
                <w:sz w:val="18"/>
                <w:szCs w:val="18"/>
              </w:rPr>
              <w:t> </w:t>
            </w:r>
            <w:r>
              <w:rPr>
                <w:rFonts w:ascii="宋体" w:hAnsi="宋体" w:cs="宋体" w:eastAsia="宋体" w:hint="default"/>
                <w:spacing w:val="-9"/>
                <w:sz w:val="18"/>
                <w:szCs w:val="18"/>
              </w:rPr>
              <w:t>万元，包含截至</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2019</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年末累计利息收入扣除手续费净额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1,787.77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万元以及中国建设银行郑州行政区支行（账号：</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41050167610800000116</w:t>
            </w:r>
            <w:r>
              <w:rPr>
                <w:rFonts w:ascii="宋体" w:hAnsi="宋体" w:cs="宋体" w:eastAsia="宋体" w:hint="default"/>
                <w:sz w:val="18"/>
                <w:szCs w:val="18"/>
              </w:rPr>
              <w:t>）账户余额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万元。由于截至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年末公司尚有未赎回的大额存单及理财产品，中国</w:t>
            </w:r>
          </w:p>
          <w:p>
            <w:pPr>
              <w:pStyle w:val="TableParagraph"/>
              <w:spacing w:line="302" w:lineRule="auto" w:before="63"/>
              <w:ind w:left="22" w:right="22"/>
              <w:jc w:val="left"/>
              <w:rPr>
                <w:rFonts w:ascii="宋体" w:hAnsi="宋体" w:cs="宋体" w:eastAsia="宋体" w:hint="default"/>
                <w:sz w:val="18"/>
                <w:szCs w:val="18"/>
              </w:rPr>
            </w:pPr>
            <w:r>
              <w:rPr>
                <w:rFonts w:ascii="宋体" w:hAnsi="宋体" w:cs="宋体" w:eastAsia="宋体" w:hint="default"/>
                <w:spacing w:val="-2"/>
                <w:sz w:val="18"/>
                <w:szCs w:val="18"/>
              </w:rPr>
              <w:t>建设银行郑州行政区支行（账号：</w:t>
            </w:r>
            <w:r>
              <w:rPr>
                <w:rFonts w:ascii="Times New Roman" w:hAnsi="Times New Roman" w:cs="Times New Roman" w:eastAsia="Times New Roman" w:hint="default"/>
                <w:spacing w:val="-2"/>
                <w:sz w:val="18"/>
                <w:szCs w:val="18"/>
              </w:rPr>
              <w:t>41050167610800000116</w:t>
            </w:r>
            <w:r>
              <w:rPr>
                <w:rFonts w:ascii="宋体" w:hAnsi="宋体" w:cs="宋体" w:eastAsia="宋体" w:hint="default"/>
                <w:spacing w:val="-2"/>
                <w:sz w:val="18"/>
                <w:szCs w:val="18"/>
              </w:rPr>
              <w:t>）账户余额</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0.84</w:t>
            </w:r>
            <w:r>
              <w:rPr>
                <w:rFonts w:ascii="Times New Roman" w:hAnsi="Times New Roman" w:cs="Times New Roman" w:eastAsia="Times New Roman" w:hint="default"/>
                <w:spacing w:val="7"/>
                <w:sz w:val="18"/>
                <w:szCs w:val="18"/>
              </w:rPr>
              <w:t> </w:t>
            </w:r>
            <w:r>
              <w:rPr>
                <w:rFonts w:ascii="宋体" w:hAnsi="宋体" w:cs="宋体" w:eastAsia="宋体" w:hint="default"/>
                <w:spacing w:val="-1"/>
                <w:sz w:val="18"/>
                <w:szCs w:val="18"/>
              </w:rPr>
              <w:t>万元亦会产生一定的利息收入，智慧教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育研发产业基地项目最终的募集资金承诺投资总额以资金转出日银行结息后实际金额为准。</w:t>
            </w:r>
          </w:p>
        </w:tc>
      </w:tr>
      <w:tr>
        <w:trPr>
          <w:trHeight w:val="424" w:hRule="exact"/>
        </w:trPr>
        <w:tc>
          <w:tcPr>
            <w:tcW w:w="72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79"/>
              <w:ind w:left="22"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8846" w:type="dxa"/>
            <w:tcBorders>
              <w:top w:val="nil" w:sz="6" w:space="0" w:color="auto"/>
              <w:left w:val="single" w:sz="4" w:space="0" w:color="000000"/>
              <w:bottom w:val="single" w:sz="4" w:space="0" w:color="000000"/>
              <w:right w:val="single" w:sz="4" w:space="0" w:color="000000"/>
            </w:tcBorders>
          </w:tcPr>
          <w:p>
            <w:pPr>
              <w:pStyle w:val="TableParagraph"/>
              <w:spacing w:line="192" w:lineRule="exact"/>
              <w:ind w:left="38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年末，新开普智慧教育研发产业基地项目用地尚在审批过程中。</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pict>
          <v:shape style="position:absolute;margin-left:337.920013pt;margin-top:19.672325pt;width:53.55pt;height:66.45pt;mso-position-horizontal-relative:page;mso-position-vertical-relative:paragraph;z-index:-159942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before="77"/>
                    <w:ind w:left="1"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6"/>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3"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20"/>
              <w:ind w:left="24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both"/>
              <w:rPr>
                <w:rFonts w:ascii="宋体" w:hAnsi="宋体" w:cs="宋体" w:eastAsia="宋体"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w:t>
            </w:r>
            <w:r>
              <w:rPr>
                <w:rFonts w:ascii="Times New Roman" w:hAnsi="Times New Roman" w:cs="Times New Roman" w:eastAsia="Times New Roman" w:hint="default"/>
                <w:sz w:val="18"/>
                <w:szCs w:val="18"/>
              </w:rPr>
              <w:t>3</w:t>
            </w: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3" w:right="20"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358" w:hRule="exact"/>
        </w:trPr>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高校移动互</w:t>
            </w:r>
          </w:p>
        </w:tc>
        <w:tc>
          <w:tcPr>
            <w:tcW w:w="956"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智慧教育研</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联服务平台</w:t>
            </w:r>
          </w:p>
        </w:tc>
        <w:tc>
          <w:tcPr>
            <w:tcW w:w="956"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发产业基地</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项目、职业</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13,698.93</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9"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9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教育产业基</w:t>
            </w:r>
          </w:p>
        </w:tc>
        <w:tc>
          <w:tcPr>
            <w:tcW w:w="956"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地建设项目</w:t>
            </w:r>
          </w:p>
        </w:tc>
        <w:tc>
          <w:tcPr>
            <w:tcW w:w="956"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高校移动互</w:t>
            </w:r>
          </w:p>
        </w:tc>
        <w:tc>
          <w:tcPr>
            <w:tcW w:w="956"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382" w:right="23" w:hanging="360"/>
              <w:jc w:val="left"/>
              <w:rPr>
                <w:rFonts w:ascii="宋体" w:hAnsi="宋体" w:cs="宋体" w:eastAsia="宋体" w:hint="default"/>
                <w:sz w:val="18"/>
                <w:szCs w:val="18"/>
              </w:rPr>
            </w:pPr>
            <w:r>
              <w:rPr>
                <w:rFonts w:ascii="宋体" w:hAnsi="宋体" w:cs="宋体" w:eastAsia="宋体" w:hint="default"/>
                <w:sz w:val="18"/>
                <w:szCs w:val="18"/>
              </w:rPr>
              <w:t>补充流动资 金</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3"/>
              <w:jc w:val="both"/>
              <w:rPr>
                <w:rFonts w:ascii="宋体" w:hAnsi="宋体" w:cs="宋体" w:eastAsia="宋体" w:hint="default"/>
                <w:sz w:val="18"/>
                <w:szCs w:val="18"/>
              </w:rPr>
            </w:pPr>
            <w:r>
              <w:rPr>
                <w:rFonts w:ascii="宋体" w:hAnsi="宋体" w:cs="宋体" w:eastAsia="宋体" w:hint="default"/>
                <w:sz w:val="18"/>
                <w:szCs w:val="18"/>
              </w:rPr>
              <w:t>联服务平台 项目、职业 教育产业基</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z w:val="18"/>
              </w:rPr>
              <w:t>3,000</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z w:val="18"/>
              </w:rPr>
              <w:t>3,000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z w:val="18"/>
              </w:rPr>
              <w:t>3,000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100.00%</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6" w:hRule="exact"/>
        </w:trPr>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地建设项目</w:t>
            </w:r>
          </w:p>
        </w:tc>
        <w:tc>
          <w:tcPr>
            <w:tcW w:w="956"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16,698.93</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72"/>
        <w:gridCol w:w="6698"/>
      </w:tblGrid>
      <w:tr>
        <w:trPr>
          <w:trHeight w:val="363" w:hRule="exact"/>
        </w:trPr>
        <w:tc>
          <w:tcPr>
            <w:tcW w:w="2872" w:type="dxa"/>
            <w:tcBorders>
              <w:top w:val="single" w:sz="4" w:space="0" w:color="000000"/>
              <w:left w:val="single" w:sz="4" w:space="0" w:color="000000"/>
              <w:bottom w:val="nil" w:sz="6" w:space="0" w:color="auto"/>
              <w:right w:val="single" w:sz="4" w:space="0" w:color="000000"/>
            </w:tcBorders>
            <w:shd w:val="clear" w:color="auto" w:fill="D3D3D3"/>
          </w:tcPr>
          <w:p>
            <w:pPr/>
          </w:p>
        </w:tc>
        <w:tc>
          <w:tcPr>
            <w:tcW w:w="66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日召开的第四届董事会第三十次会议和</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日召开的</w:t>
            </w:r>
          </w:p>
        </w:tc>
      </w:tr>
      <w:tr>
        <w:trPr>
          <w:trHeight w:val="312" w:hRule="exact"/>
        </w:trPr>
        <w:tc>
          <w:tcPr>
            <w:tcW w:w="2872" w:type="dxa"/>
            <w:tcBorders>
              <w:top w:val="nil" w:sz="6" w:space="0" w:color="auto"/>
              <w:left w:val="single" w:sz="4" w:space="0" w:color="000000"/>
              <w:bottom w:val="nil" w:sz="6" w:space="0" w:color="auto"/>
              <w:right w:val="single" w:sz="4" w:space="0" w:color="000000"/>
            </w:tcBorders>
            <w:shd w:val="clear" w:color="auto" w:fill="D3D3D3"/>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年第五次临时股东大会审议通</w:t>
            </w:r>
            <w:r>
              <w:rPr>
                <w:rFonts w:ascii="宋体" w:hAnsi="宋体" w:cs="宋体" w:eastAsia="宋体" w:hint="default"/>
                <w:spacing w:val="-9"/>
                <w:sz w:val="18"/>
                <w:szCs w:val="18"/>
              </w:rPr>
              <w:t>过</w:t>
            </w:r>
            <w:r>
              <w:rPr>
                <w:rFonts w:ascii="宋体" w:hAnsi="宋体" w:cs="宋体" w:eastAsia="宋体" w:hint="default"/>
                <w:sz w:val="18"/>
                <w:szCs w:val="18"/>
              </w:rPr>
              <w:t>《</w:t>
            </w:r>
            <w:r>
              <w:rPr>
                <w:rFonts w:ascii="宋体" w:hAnsi="宋体" w:cs="宋体" w:eastAsia="宋体" w:hint="default"/>
                <w:spacing w:val="-2"/>
                <w:sz w:val="18"/>
                <w:szCs w:val="18"/>
              </w:rPr>
              <w:t>关</w:t>
            </w:r>
            <w:r>
              <w:rPr>
                <w:rFonts w:ascii="宋体" w:hAnsi="宋体" w:cs="宋体" w:eastAsia="宋体" w:hint="default"/>
                <w:sz w:val="18"/>
                <w:szCs w:val="18"/>
              </w:rPr>
              <w:t>于变更募集资金用途的议案</w:t>
            </w:r>
            <w:r>
              <w:rPr>
                <w:rFonts w:ascii="宋体" w:hAnsi="宋体" w:cs="宋体" w:eastAsia="宋体" w:hint="default"/>
                <w:spacing w:val="-90"/>
                <w:sz w:val="18"/>
                <w:szCs w:val="18"/>
              </w:rPr>
              <w:t>》</w:t>
            </w:r>
            <w:r>
              <w:rPr>
                <w:rFonts w:ascii="宋体" w:hAnsi="宋体" w:cs="宋体" w:eastAsia="宋体" w:hint="default"/>
                <w:spacing w:val="-9"/>
                <w:sz w:val="18"/>
                <w:szCs w:val="18"/>
              </w:rPr>
              <w:t>，</w:t>
            </w:r>
            <w:r>
              <w:rPr>
                <w:rFonts w:ascii="宋体" w:hAnsi="宋体" w:cs="宋体" w:eastAsia="宋体" w:hint="default"/>
                <w:sz w:val="18"/>
                <w:szCs w:val="18"/>
              </w:rPr>
              <w:t>同意公司将</w:t>
            </w:r>
          </w:p>
        </w:tc>
      </w:tr>
      <w:tr>
        <w:trPr>
          <w:trHeight w:val="307" w:hRule="exact"/>
        </w:trPr>
        <w:tc>
          <w:tcPr>
            <w:tcW w:w="2872" w:type="dxa"/>
            <w:tcBorders>
              <w:top w:val="nil" w:sz="6" w:space="0" w:color="auto"/>
              <w:left w:val="single" w:sz="4" w:space="0" w:color="000000"/>
              <w:bottom w:val="nil" w:sz="6" w:space="0" w:color="auto"/>
              <w:right w:val="single" w:sz="4" w:space="0" w:color="000000"/>
            </w:tcBorders>
            <w:shd w:val="clear" w:color="auto" w:fill="D3D3D3"/>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目前尚未使用的募集资金及理财收益和利息收入用于新开普智慧教育研发产业基地</w:t>
            </w:r>
          </w:p>
        </w:tc>
      </w:tr>
      <w:tr>
        <w:trPr>
          <w:trHeight w:val="317" w:hRule="exact"/>
        </w:trPr>
        <w:tc>
          <w:tcPr>
            <w:tcW w:w="2872" w:type="dxa"/>
            <w:tcBorders>
              <w:top w:val="nil" w:sz="6" w:space="0" w:color="auto"/>
              <w:left w:val="single" w:sz="4" w:space="0" w:color="000000"/>
              <w:bottom w:val="nil" w:sz="6" w:space="0" w:color="auto"/>
              <w:right w:val="single" w:sz="4" w:space="0" w:color="000000"/>
            </w:tcBorders>
            <w:shd w:val="clear" w:color="auto" w:fill="D3D3D3"/>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项目及永久补充流动资金，其中</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万元用于永久补充流动资金，其余募集资金</w:t>
            </w:r>
          </w:p>
        </w:tc>
      </w:tr>
      <w:tr>
        <w:trPr>
          <w:trHeight w:val="308" w:hRule="exact"/>
        </w:trPr>
        <w:tc>
          <w:tcPr>
            <w:tcW w:w="2872" w:type="dxa"/>
            <w:tcBorders>
              <w:top w:val="nil" w:sz="6" w:space="0" w:color="auto"/>
              <w:left w:val="single" w:sz="4" w:space="0" w:color="000000"/>
              <w:bottom w:val="nil" w:sz="6" w:space="0" w:color="auto"/>
              <w:right w:val="single" w:sz="4" w:space="0" w:color="000000"/>
            </w:tcBorders>
            <w:shd w:val="clear" w:color="auto" w:fill="D3D3D3"/>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全部投资于新开普智慧教育研发产业基地项目。具体内容详见公司刊登在中国证监会</w:t>
            </w:r>
          </w:p>
        </w:tc>
      </w:tr>
      <w:tr>
        <w:trPr>
          <w:trHeight w:val="322" w:hRule="exact"/>
        </w:trPr>
        <w:tc>
          <w:tcPr>
            <w:tcW w:w="2872" w:type="dxa"/>
            <w:tcBorders>
              <w:top w:val="nil" w:sz="6" w:space="0" w:color="auto"/>
              <w:left w:val="single" w:sz="4" w:space="0" w:color="000000"/>
              <w:bottom w:val="nil" w:sz="6" w:space="0" w:color="auto"/>
              <w:right w:val="single" w:sz="4" w:space="0" w:color="000000"/>
            </w:tcBorders>
            <w:shd w:val="clear" w:color="auto" w:fill="D3D3D3"/>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指定创业板信息披露网站上的相关文件。</w:t>
            </w:r>
          </w:p>
        </w:tc>
      </w:tr>
      <w:tr>
        <w:trPr>
          <w:trHeight w:val="331" w:hRule="exact"/>
        </w:trPr>
        <w:tc>
          <w:tcPr>
            <w:tcW w:w="28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pacing w:val="-4"/>
                <w:sz w:val="18"/>
                <w:szCs w:val="18"/>
              </w:rPr>
              <w:t>变更原因、决策程序及信息披露情况</w:t>
            </w: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20"/>
              <w:jc w:val="right"/>
              <w:rPr>
                <w:rFonts w:ascii="宋体" w:hAnsi="宋体" w:cs="宋体" w:eastAsia="宋体" w:hint="default"/>
                <w:sz w:val="18"/>
                <w:szCs w:val="18"/>
              </w:rPr>
            </w:pPr>
            <w:r>
              <w:rPr>
                <w:rFonts w:ascii="宋体" w:hAnsi="宋体" w:cs="宋体" w:eastAsia="宋体" w:hint="default"/>
                <w:spacing w:val="-1"/>
                <w:sz w:val="18"/>
                <w:szCs w:val="18"/>
              </w:rPr>
              <w:t>公司原高校移动互联服务平台项目将传统校园一卡通应用、校园信息化系统与移</w:t>
            </w:r>
          </w:p>
        </w:tc>
      </w:tr>
      <w:tr>
        <w:trPr>
          <w:trHeight w:val="322" w:hRule="exact"/>
        </w:trPr>
        <w:tc>
          <w:tcPr>
            <w:tcW w:w="28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说明（分具体项目）</w:t>
            </w: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动互联网进行深度有效结合，是引领移动互联网时代校园学习及生活模式转变的重大</w:t>
            </w:r>
          </w:p>
        </w:tc>
      </w:tr>
      <w:tr>
        <w:trPr>
          <w:trHeight w:val="312" w:hRule="exact"/>
        </w:trPr>
        <w:tc>
          <w:tcPr>
            <w:tcW w:w="2872" w:type="dxa"/>
            <w:tcBorders>
              <w:top w:val="nil" w:sz="6" w:space="0" w:color="auto"/>
              <w:left w:val="single" w:sz="4" w:space="0" w:color="000000"/>
              <w:bottom w:val="nil" w:sz="6" w:space="0" w:color="auto"/>
              <w:right w:val="single" w:sz="4" w:space="0" w:color="000000"/>
            </w:tcBorders>
            <w:shd w:val="clear" w:color="auto" w:fill="D3D3D3"/>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战略举措，通过与新募投项目智慧教育研发产业基地其他子项目的融合，公司原高校</w:t>
            </w:r>
          </w:p>
        </w:tc>
      </w:tr>
      <w:tr>
        <w:trPr>
          <w:trHeight w:val="317" w:hRule="exact"/>
        </w:trPr>
        <w:tc>
          <w:tcPr>
            <w:tcW w:w="2872" w:type="dxa"/>
            <w:tcBorders>
              <w:top w:val="nil" w:sz="6" w:space="0" w:color="auto"/>
              <w:left w:val="single" w:sz="4" w:space="0" w:color="000000"/>
              <w:bottom w:val="nil" w:sz="6" w:space="0" w:color="auto"/>
              <w:right w:val="single" w:sz="4" w:space="0" w:color="000000"/>
            </w:tcBorders>
            <w:shd w:val="clear" w:color="auto" w:fill="D3D3D3"/>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移动互联服务平台项目将进一步拓宽</w:t>
            </w:r>
            <w:r>
              <w:rPr>
                <w:rFonts w:ascii="Times New Roman" w:hAnsi="Times New Roman" w:cs="Times New Roman" w:eastAsia="Times New Roman" w:hint="default"/>
                <w:sz w:val="18"/>
                <w:szCs w:val="18"/>
              </w:rPr>
              <w:t>“</w:t>
            </w:r>
            <w:r>
              <w:rPr>
                <w:rFonts w:ascii="宋体" w:hAnsi="宋体" w:cs="宋体" w:eastAsia="宋体" w:hint="default"/>
                <w:sz w:val="18"/>
                <w:szCs w:val="18"/>
              </w:rPr>
              <w:t>完美校园</w:t>
            </w:r>
            <w:r>
              <w:rPr>
                <w:rFonts w:ascii="Times New Roman" w:hAnsi="Times New Roman" w:cs="Times New Roman" w:eastAsia="Times New Roman" w:hint="default"/>
                <w:sz w:val="18"/>
                <w:szCs w:val="18"/>
              </w:rPr>
              <w:t>”</w:t>
            </w:r>
            <w:r>
              <w:rPr>
                <w:rFonts w:ascii="宋体" w:hAnsi="宋体" w:cs="宋体" w:eastAsia="宋体" w:hint="default"/>
                <w:sz w:val="18"/>
                <w:szCs w:val="18"/>
              </w:rPr>
              <w:t>的内容深度，使之成为智慧校园生态</w:t>
            </w:r>
          </w:p>
        </w:tc>
      </w:tr>
      <w:tr>
        <w:trPr>
          <w:trHeight w:val="307" w:hRule="exact"/>
        </w:trPr>
        <w:tc>
          <w:tcPr>
            <w:tcW w:w="2872" w:type="dxa"/>
            <w:tcBorders>
              <w:top w:val="nil" w:sz="6" w:space="0" w:color="auto"/>
              <w:left w:val="single" w:sz="4" w:space="0" w:color="000000"/>
              <w:bottom w:val="nil" w:sz="6" w:space="0" w:color="auto"/>
              <w:right w:val="single" w:sz="4" w:space="0" w:color="000000"/>
            </w:tcBorders>
            <w:shd w:val="clear" w:color="auto" w:fill="D3D3D3"/>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的重要载体。公司原职业教育产业基地建设项目内容目前已进一步深化，并逐步往教</w:t>
            </w:r>
          </w:p>
        </w:tc>
      </w:tr>
      <w:tr>
        <w:trPr>
          <w:trHeight w:val="312" w:hRule="exact"/>
        </w:trPr>
        <w:tc>
          <w:tcPr>
            <w:tcW w:w="2872" w:type="dxa"/>
            <w:tcBorders>
              <w:top w:val="nil" w:sz="6" w:space="0" w:color="auto"/>
              <w:left w:val="single" w:sz="4" w:space="0" w:color="000000"/>
              <w:bottom w:val="nil" w:sz="6" w:space="0" w:color="auto"/>
              <w:right w:val="single" w:sz="4" w:space="0" w:color="000000"/>
            </w:tcBorders>
            <w:shd w:val="clear" w:color="auto" w:fill="D3D3D3"/>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育科技方向转变，将原职业教育产业基地建设项目融入新募投项目智慧教育研发产业</w:t>
            </w:r>
          </w:p>
        </w:tc>
      </w:tr>
      <w:tr>
        <w:trPr>
          <w:trHeight w:val="313" w:hRule="exact"/>
        </w:trPr>
        <w:tc>
          <w:tcPr>
            <w:tcW w:w="2872" w:type="dxa"/>
            <w:tcBorders>
              <w:top w:val="nil" w:sz="6" w:space="0" w:color="auto"/>
              <w:left w:val="single" w:sz="4" w:space="0" w:color="000000"/>
              <w:bottom w:val="nil" w:sz="6" w:space="0" w:color="auto"/>
              <w:right w:val="single" w:sz="4" w:space="0" w:color="000000"/>
            </w:tcBorders>
            <w:shd w:val="clear" w:color="auto" w:fill="D3D3D3"/>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基地项目后进行整合升级，有利于公司向智慧教育领域纵向延伸，利用资源优势快速</w:t>
            </w:r>
          </w:p>
        </w:tc>
      </w:tr>
      <w:tr>
        <w:trPr>
          <w:trHeight w:val="356" w:hRule="exact"/>
        </w:trPr>
        <w:tc>
          <w:tcPr>
            <w:tcW w:w="2872" w:type="dxa"/>
            <w:tcBorders>
              <w:top w:val="nil" w:sz="6" w:space="0" w:color="auto"/>
              <w:left w:val="single" w:sz="4" w:space="0" w:color="000000"/>
              <w:bottom w:val="single" w:sz="4" w:space="0" w:color="000000"/>
              <w:right w:val="single" w:sz="4" w:space="0" w:color="000000"/>
            </w:tcBorders>
            <w:shd w:val="clear" w:color="auto" w:fill="D3D3D3"/>
          </w:tcPr>
          <w:p>
            <w:pPr/>
          </w:p>
        </w:tc>
        <w:tc>
          <w:tcPr>
            <w:tcW w:w="66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抢占市场。</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37"/>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 和原因（分具体项目）</w:t>
            </w: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8"/>
          <w:szCs w:val="18"/>
        </w:rPr>
      </w:pPr>
    </w:p>
    <w:p>
      <w:pPr>
        <w:pStyle w:val="Heading2"/>
        <w:spacing w:line="240" w:lineRule="auto" w:before="26"/>
        <w:ind w:right="1113"/>
        <w:jc w:val="left"/>
        <w:rPr>
          <w:b w:val="0"/>
          <w:bCs w:val="0"/>
        </w:rPr>
      </w:pP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7"/>
        <w:rPr>
          <w:rFonts w:ascii="宋体" w:hAnsi="宋体" w:cs="宋体" w:eastAsia="宋体" w:hint="default"/>
          <w:b/>
          <w:bCs/>
          <w:sz w:val="32"/>
          <w:szCs w:val="32"/>
        </w:rPr>
      </w:pPr>
    </w:p>
    <w:p>
      <w:pPr>
        <w:spacing w:line="489" w:lineRule="auto" w:before="0"/>
        <w:ind w:left="154" w:right="84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5"/>
        <w:rPr>
          <w:rFonts w:ascii="宋体" w:hAnsi="宋体" w:cs="宋体" w:eastAsia="宋体" w:hint="default"/>
          <w:sz w:val="18"/>
          <w:szCs w:val="18"/>
        </w:rPr>
      </w:pPr>
    </w:p>
    <w:p>
      <w:pPr>
        <w:pStyle w:val="Heading3"/>
        <w:spacing w:line="240" w:lineRule="auto"/>
        <w:ind w:right="1113"/>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2"/>
        <w:spacing w:line="240" w:lineRule="auto" w:before="157"/>
        <w:ind w:right="1113"/>
        <w:jc w:val="left"/>
        <w:rPr>
          <w:b w:val="0"/>
          <w:bCs w:val="0"/>
        </w:rPr>
      </w:pPr>
      <w:r>
        <w:rPr/>
        <w:t>七、主要控股参股公司分析</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9"/>
          <w:szCs w:val="19"/>
        </w:rPr>
      </w:pPr>
    </w:p>
    <w:p>
      <w:pPr>
        <w:spacing w:before="0"/>
        <w:ind w:left="154" w:right="1113"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5"/>
        <w:rPr>
          <w:rFonts w:ascii="宋体" w:hAnsi="宋体" w:cs="宋体" w:eastAsia="宋体" w:hint="default"/>
          <w:sz w:val="10"/>
          <w:szCs w:val="10"/>
        </w:rPr>
      </w:pPr>
    </w:p>
    <w:p>
      <w:pPr>
        <w:spacing w:before="44"/>
        <w:ind w:left="0" w:right="112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5"/>
        <w:gridCol w:w="1045"/>
        <w:gridCol w:w="1045"/>
        <w:gridCol w:w="1045"/>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1" w:right="71"/>
              <w:jc w:val="center"/>
              <w:rPr>
                <w:rFonts w:ascii="宋体" w:hAnsi="宋体" w:cs="宋体" w:eastAsia="宋体" w:hint="default"/>
                <w:sz w:val="18"/>
                <w:szCs w:val="18"/>
              </w:rPr>
            </w:pPr>
            <w:r>
              <w:rPr>
                <w:rFonts w:ascii="宋体" w:hAnsi="宋体" w:cs="宋体" w:eastAsia="宋体" w:hint="default"/>
                <w:sz w:val="18"/>
                <w:szCs w:val="18"/>
              </w:rPr>
              <w:t>北京迪科远 望科技有限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67" w:right="66"/>
              <w:jc w:val="both"/>
              <w:rPr>
                <w:rFonts w:ascii="宋体" w:hAnsi="宋体" w:cs="宋体" w:eastAsia="宋体" w:hint="default"/>
                <w:sz w:val="18"/>
                <w:szCs w:val="18"/>
              </w:rPr>
            </w:pPr>
            <w:r>
              <w:rPr>
                <w:rFonts w:ascii="宋体" w:hAnsi="宋体" w:cs="宋体" w:eastAsia="宋体" w:hint="default"/>
                <w:sz w:val="18"/>
                <w:szCs w:val="18"/>
              </w:rPr>
              <w:t>智能一卡通 系统及产品 的研发、生 产、销售</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190,635,036.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136,569,684.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119,922,276.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38,097,573.4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33,706,170.1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5"/>
        <w:gridCol w:w="1045"/>
        <w:gridCol w:w="1045"/>
        <w:gridCol w:w="1045"/>
        <w:gridCol w:w="1045"/>
        <w:gridCol w:w="1046"/>
      </w:tblGrid>
      <w:tr>
        <w:trPr>
          <w:trHeight w:val="358"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智能一卡通</w:t>
            </w: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124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71" w:right="71"/>
              <w:jc w:val="center"/>
              <w:rPr>
                <w:rFonts w:ascii="宋体" w:hAnsi="宋体" w:cs="宋体" w:eastAsia="宋体" w:hint="default"/>
                <w:sz w:val="18"/>
                <w:szCs w:val="18"/>
              </w:rPr>
            </w:pPr>
            <w:r>
              <w:rPr>
                <w:rFonts w:ascii="宋体" w:hAnsi="宋体" w:cs="宋体" w:eastAsia="宋体" w:hint="default"/>
                <w:sz w:val="18"/>
                <w:szCs w:val="18"/>
              </w:rPr>
              <w:t>上海树维信 息科技有限 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67" w:right="66"/>
              <w:jc w:val="center"/>
              <w:rPr>
                <w:rFonts w:ascii="宋体" w:hAnsi="宋体" w:cs="宋体" w:eastAsia="宋体" w:hint="default"/>
                <w:sz w:val="18"/>
                <w:szCs w:val="18"/>
              </w:rPr>
            </w:pPr>
            <w:r>
              <w:rPr>
                <w:rFonts w:ascii="宋体" w:hAnsi="宋体" w:cs="宋体" w:eastAsia="宋体" w:hint="default"/>
                <w:sz w:val="18"/>
                <w:szCs w:val="18"/>
              </w:rPr>
              <w:t>系统、数字 化校园系 统、教务系 统的研发、</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14,630,000.0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135,915,500.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91</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pacing w:val="-1"/>
                <w:sz w:val="18"/>
              </w:rPr>
              <w:t>75,372,768.5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2"/>
                <w:sz w:val="18"/>
              </w:rPr>
              <w:t>111,662,132.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34</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27,342,891.5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25,392,232.6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销售</w:t>
            </w: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line="240" w:lineRule="auto" w:before="12"/>
        <w:rPr>
          <w:rFonts w:ascii="宋体" w:hAnsi="宋体" w:cs="宋体" w:eastAsia="宋体" w:hint="default"/>
          <w:sz w:val="20"/>
          <w:szCs w:val="20"/>
        </w:rPr>
      </w:pPr>
    </w:p>
    <w:p>
      <w:pPr>
        <w:spacing w:before="0"/>
        <w:ind w:left="153"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北京希嘉创智教育科技有限公司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股权投资</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5,107,612.55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上海新开普志成信息科技有限公司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-1,307,065.86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北京开普力维科技有限公司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spacing w:before="44"/>
        <w:ind w:left="154" w:right="0" w:firstLine="0"/>
        <w:jc w:val="both"/>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11"/>
        <w:rPr>
          <w:rFonts w:ascii="宋体" w:hAnsi="宋体" w:cs="宋体" w:eastAsia="宋体" w:hint="default"/>
          <w:sz w:val="18"/>
          <w:szCs w:val="18"/>
        </w:rPr>
      </w:pPr>
    </w:p>
    <w:p>
      <w:pPr>
        <w:pStyle w:val="BodyText"/>
        <w:spacing w:line="386" w:lineRule="auto" w:before="0"/>
        <w:ind w:left="574" w:right="1120" w:hanging="1"/>
        <w:jc w:val="left"/>
      </w:pPr>
      <w:r>
        <w:rPr>
          <w:rFonts w:ascii="Times New Roman" w:hAnsi="Times New Roman" w:cs="Times New Roman" w:eastAsia="Times New Roman" w:hint="default"/>
        </w:rPr>
        <w:t>1</w:t>
      </w:r>
      <w:r>
        <w:rPr/>
        <w:t>、福建新开普信息科技有限公司 </w:t>
      </w:r>
      <w:r>
        <w:rPr>
          <w:spacing w:val="-2"/>
        </w:rPr>
        <w:t>福建新开普是公司的控股子公司，注册资本为</w:t>
      </w:r>
      <w:r>
        <w:rPr>
          <w:rFonts w:ascii="Times New Roman" w:hAnsi="Times New Roman" w:cs="Times New Roman" w:eastAsia="Times New Roman" w:hint="default"/>
          <w:spacing w:val="-2"/>
        </w:rPr>
        <w:t>3,500.00</w:t>
      </w:r>
      <w:r>
        <w:rPr>
          <w:spacing w:val="-2"/>
        </w:rPr>
        <w:t>万元，公司持有其</w:t>
      </w:r>
      <w:r>
        <w:rPr>
          <w:rFonts w:ascii="Times New Roman" w:hAnsi="Times New Roman" w:cs="Times New Roman" w:eastAsia="Times New Roman" w:hint="default"/>
          <w:spacing w:val="-2"/>
        </w:rPr>
        <w:t>90%</w:t>
      </w:r>
      <w:r>
        <w:rPr>
          <w:spacing w:val="-2"/>
        </w:rPr>
        <w:t>的股份。公司主要经营范</w:t>
      </w:r>
    </w:p>
    <w:p>
      <w:pPr>
        <w:pStyle w:val="BodyText"/>
        <w:spacing w:line="408" w:lineRule="auto" w:before="35"/>
        <w:ind w:right="1108"/>
        <w:jc w:val="both"/>
      </w:pPr>
      <w:r>
        <w:rPr/>
        <w:t>围是：计算机系统集成、开发与维护；软件的设计、销售与维护；仪器仪表的设计、生产、销售与维护； </w:t>
      </w:r>
      <w:r>
        <w:rPr>
          <w:spacing w:val="-1"/>
        </w:rPr>
        <w:t>能源监管平台项目设计、开发、销售及维护；节能改造工程、空调系统工程、建筑智能化工程、建筑机电</w:t>
      </w:r>
      <w:r>
        <w:rPr>
          <w:spacing w:val="-83"/>
        </w:rPr>
        <w:t> </w:t>
      </w:r>
      <w:r>
        <w:rPr>
          <w:spacing w:val="-83"/>
        </w:rPr>
      </w:r>
      <w:r>
        <w:rPr>
          <w:spacing w:val="-1"/>
        </w:rPr>
        <w:t>安装工程及安防工程的设计、施工与维护；计算机系统领域内的技术开发、技术咨询、技术服务。（依法</w:t>
      </w:r>
      <w:r>
        <w:rPr>
          <w:spacing w:val="-83"/>
        </w:rPr>
        <w:t> </w:t>
      </w:r>
      <w:r>
        <w:rPr>
          <w:spacing w:val="-83"/>
        </w:rPr>
      </w:r>
      <w:r>
        <w:rPr/>
        <w:t>须经批准的项目，经相关部门批准后方可开展经营活动）</w:t>
      </w:r>
    </w:p>
    <w:p>
      <w:pPr>
        <w:pStyle w:val="BodyText"/>
        <w:spacing w:line="240" w:lineRule="auto"/>
        <w:ind w:left="574" w:right="1113"/>
        <w:jc w:val="left"/>
      </w:pPr>
      <w:r>
        <w:rPr>
          <w:spacing w:val="2"/>
        </w:rPr>
        <w:t>报告期内，福建新开普实现营业收入</w:t>
      </w:r>
      <w:r>
        <w:rPr>
          <w:rFonts w:ascii="Times New Roman" w:hAnsi="Times New Roman" w:cs="Times New Roman" w:eastAsia="Times New Roman" w:hint="default"/>
          <w:spacing w:val="2"/>
        </w:rPr>
        <w:t>6,822.97</w:t>
      </w:r>
      <w:r>
        <w:rPr>
          <w:spacing w:val="2"/>
        </w:rPr>
        <w:t>万元，实现净利润</w:t>
      </w:r>
      <w:r>
        <w:rPr>
          <w:rFonts w:ascii="Times New Roman" w:hAnsi="Times New Roman" w:cs="Times New Roman" w:eastAsia="Times New Roman" w:hint="default"/>
          <w:spacing w:val="2"/>
        </w:rPr>
        <w:t>649.42</w:t>
      </w:r>
      <w:r>
        <w:rPr>
          <w:spacing w:val="2"/>
        </w:rPr>
        <w:t>万元。报告期为公司贡献利润</w:t>
      </w:r>
      <w:r>
        <w:rPr/>
      </w:r>
    </w:p>
    <w:p>
      <w:pPr>
        <w:pStyle w:val="BodyText"/>
        <w:spacing w:line="240" w:lineRule="auto" w:before="177"/>
        <w:ind w:right="0"/>
        <w:jc w:val="both"/>
      </w:pPr>
      <w:r>
        <w:rPr>
          <w:rFonts w:ascii="Times New Roman" w:hAnsi="Times New Roman" w:cs="Times New Roman" w:eastAsia="Times New Roman" w:hint="default"/>
        </w:rPr>
        <w:t>835.63</w:t>
      </w:r>
      <w:r>
        <w:rPr/>
        <w:t>万元。</w:t>
      </w:r>
    </w:p>
    <w:p>
      <w:pPr>
        <w:pStyle w:val="BodyText"/>
        <w:spacing w:line="386" w:lineRule="auto" w:before="177"/>
        <w:ind w:left="574" w:right="1113" w:hanging="1"/>
        <w:jc w:val="left"/>
      </w:pPr>
      <w:r>
        <w:rPr>
          <w:rFonts w:ascii="Times New Roman" w:hAnsi="Times New Roman" w:cs="Times New Roman" w:eastAsia="Times New Roman" w:hint="default"/>
        </w:rPr>
        <w:t>2</w:t>
      </w:r>
      <w:r>
        <w:rPr/>
        <w:t>、完美数联（杭州）科技有限公司 完美数联是公司的控股子公司，注册资本为</w:t>
      </w:r>
      <w:r>
        <w:rPr>
          <w:rFonts w:ascii="Times New Roman" w:hAnsi="Times New Roman" w:cs="Times New Roman" w:eastAsia="Times New Roman" w:hint="default"/>
        </w:rPr>
        <w:t>2,514.00</w:t>
      </w:r>
      <w:r>
        <w:rPr/>
        <w:t>万元，公司持有其</w:t>
      </w:r>
      <w:r>
        <w:rPr>
          <w:rFonts w:ascii="Times New Roman" w:hAnsi="Times New Roman" w:cs="Times New Roman" w:eastAsia="Times New Roman" w:hint="default"/>
        </w:rPr>
        <w:t>68.19%</w:t>
      </w:r>
      <w:r>
        <w:rPr/>
        <w:t>的股份。公司主要经营</w:t>
      </w:r>
    </w:p>
    <w:p>
      <w:pPr>
        <w:pStyle w:val="BodyText"/>
        <w:spacing w:line="408" w:lineRule="auto" w:before="35"/>
        <w:ind w:right="1128"/>
        <w:jc w:val="both"/>
      </w:pPr>
      <w:r>
        <w:rPr>
          <w:spacing w:val="-1"/>
        </w:rPr>
        <w:t>范围是：技术开发、技术服务、技术推广、技术咨询、技术转让；销售计算机、软件及辅助设备、电子产</w:t>
      </w:r>
      <w:r>
        <w:rPr>
          <w:spacing w:val="-85"/>
        </w:rPr>
        <w:t> </w:t>
      </w:r>
      <w:r>
        <w:rPr>
          <w:spacing w:val="-85"/>
        </w:rPr>
      </w:r>
      <w:r>
        <w:rPr>
          <w:spacing w:val="-1"/>
        </w:rPr>
        <w:t>品；计算机系统服务；应用软件服务（不含医用软件）；软件开发；产品设计；人才中介服务、教育咨询</w:t>
      </w:r>
    </w:p>
    <w:p>
      <w:pPr>
        <w:pStyle w:val="BodyText"/>
        <w:spacing w:line="408" w:lineRule="auto"/>
        <w:ind w:right="1108"/>
        <w:jc w:val="both"/>
      </w:pPr>
      <w:r>
        <w:rPr>
          <w:spacing w:val="-1"/>
        </w:rPr>
        <w:t>（不含出国留学咨询及中介服务）；经济贸易咨询；会议服务；组织文化艺术交流活动（不含演出）；设</w:t>
      </w:r>
      <w:r>
        <w:rPr>
          <w:spacing w:val="-85"/>
        </w:rPr>
        <w:t> </w:t>
      </w:r>
      <w:r>
        <w:rPr>
          <w:spacing w:val="-85"/>
        </w:rPr>
      </w:r>
      <w:r>
        <w:rPr/>
        <w:t>计、制作、代理、发布广告；数据处理，企业管理，文化艺术活动策划、设计、制作、代理、承办会展， </w:t>
      </w:r>
      <w:r>
        <w:rPr>
          <w:spacing w:val="-1"/>
        </w:rPr>
        <w:t>企业形象策划，市场营销策划；批发、零售：工艺美术品，数码产品，计算机软硬件，电子产品，通讯器</w:t>
      </w:r>
      <w:r>
        <w:rPr>
          <w:spacing w:val="-84"/>
        </w:rPr>
        <w:t> </w:t>
      </w:r>
      <w:r>
        <w:rPr>
          <w:spacing w:val="-84"/>
        </w:rPr>
      </w:r>
      <w:r>
        <w:rPr>
          <w:spacing w:val="-1"/>
        </w:rPr>
        <w:t>材（除专控）（企业依法自主选择经营项目，开展经营活动；依法须经批准的项目，经相关部门批准后依</w:t>
      </w:r>
      <w:r>
        <w:rPr>
          <w:spacing w:val="-83"/>
        </w:rPr>
        <w:t> </w:t>
      </w:r>
      <w:r>
        <w:rPr>
          <w:spacing w:val="-83"/>
        </w:rPr>
      </w:r>
      <w:r>
        <w:rPr/>
        <w:t>批准的内容开展经营活动；不得从事本市产业政策禁止和限制类项目的经营活动。）</w:t>
      </w:r>
    </w:p>
    <w:p>
      <w:pPr>
        <w:spacing w:after="0" w:line="408" w:lineRule="auto"/>
        <w:jc w:val="both"/>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386" w:lineRule="auto" w:before="35"/>
        <w:ind w:left="153" w:right="1131" w:firstLine="420"/>
        <w:jc w:val="left"/>
      </w:pPr>
      <w:r>
        <w:rPr/>
        <w:t>报告期内，完美数联实现营业收入</w:t>
      </w:r>
      <w:r>
        <w:rPr>
          <w:rFonts w:ascii="Times New Roman" w:hAnsi="Times New Roman" w:cs="Times New Roman" w:eastAsia="Times New Roman" w:hint="default"/>
        </w:rPr>
        <w:t>398.82</w:t>
      </w:r>
      <w:r>
        <w:rPr/>
        <w:t>万元，实现净利润</w:t>
      </w:r>
      <w:r>
        <w:rPr>
          <w:rFonts w:ascii="Times New Roman" w:hAnsi="Times New Roman" w:cs="Times New Roman" w:eastAsia="Times New Roman" w:hint="default"/>
        </w:rPr>
        <w:t>-1,428.30</w:t>
      </w:r>
      <w:r>
        <w:rPr/>
        <w:t>万元，归属于母公司股东的净利 润</w:t>
      </w:r>
      <w:r>
        <w:rPr>
          <w:rFonts w:ascii="Times New Roman" w:hAnsi="Times New Roman" w:cs="Times New Roman" w:eastAsia="Times New Roman" w:hint="default"/>
        </w:rPr>
        <w:t>-1,381.94</w:t>
      </w:r>
      <w:r>
        <w:rPr/>
        <w:t>万元。报告期影响公司利润</w:t>
      </w:r>
      <w:r>
        <w:rPr>
          <w:rFonts w:ascii="Times New Roman" w:hAnsi="Times New Roman" w:cs="Times New Roman" w:eastAsia="Times New Roman" w:hint="default"/>
        </w:rPr>
        <w:t>-942.34</w:t>
      </w:r>
      <w:r>
        <w:rPr/>
        <w:t>万元。</w:t>
      </w:r>
    </w:p>
    <w:p>
      <w:pPr>
        <w:pStyle w:val="BodyText"/>
        <w:spacing w:line="386" w:lineRule="auto" w:before="35"/>
        <w:ind w:left="573" w:right="1126" w:hanging="1"/>
        <w:jc w:val="left"/>
      </w:pPr>
      <w:r>
        <w:rPr>
          <w:rFonts w:ascii="Times New Roman" w:hAnsi="Times New Roman" w:cs="Times New Roman" w:eastAsia="Times New Roman" w:hint="default"/>
        </w:rPr>
        <w:t>3</w:t>
      </w:r>
      <w:r>
        <w:rPr/>
        <w:t>、北京希嘉创智教育科技有限公司 希嘉教育是公司的控股子公司，注册资本</w:t>
      </w:r>
      <w:r>
        <w:rPr>
          <w:rFonts w:ascii="Times New Roman" w:hAnsi="Times New Roman" w:cs="Times New Roman" w:eastAsia="Times New Roman" w:hint="default"/>
        </w:rPr>
        <w:t>1,503.759</w:t>
      </w:r>
      <w:r>
        <w:rPr/>
        <w:t>万元，公司持有其</w:t>
      </w:r>
      <w:r>
        <w:rPr>
          <w:rFonts w:ascii="Times New Roman" w:hAnsi="Times New Roman" w:cs="Times New Roman" w:eastAsia="Times New Roman" w:hint="default"/>
        </w:rPr>
        <w:t>51%</w:t>
      </w:r>
      <w:r>
        <w:rPr/>
        <w:t>的股份。公司主要经营范围</w:t>
      </w:r>
    </w:p>
    <w:p>
      <w:pPr>
        <w:pStyle w:val="BodyText"/>
        <w:spacing w:line="240" w:lineRule="auto" w:before="35"/>
        <w:ind w:left="153" w:right="993"/>
        <w:jc w:val="left"/>
      </w:pPr>
      <w:r>
        <w:rPr/>
        <w:t>是：技术推广服务；技术开发、技术转让、技术咨询、技术推广、技术服务、计算机系统服务；数据处理</w:t>
      </w:r>
    </w:p>
    <w:p>
      <w:pPr>
        <w:spacing w:line="240" w:lineRule="auto" w:before="10"/>
        <w:rPr>
          <w:rFonts w:ascii="宋体" w:hAnsi="宋体" w:cs="宋体" w:eastAsia="宋体" w:hint="default"/>
          <w:sz w:val="14"/>
          <w:szCs w:val="14"/>
        </w:rPr>
      </w:pPr>
    </w:p>
    <w:p>
      <w:pPr>
        <w:pStyle w:val="BodyText"/>
        <w:spacing w:line="403" w:lineRule="auto" w:before="0"/>
        <w:ind w:right="1021" w:hanging="1"/>
        <w:jc w:val="left"/>
      </w:pPr>
      <w:r>
        <w:rPr>
          <w:spacing w:val="-6"/>
        </w:rPr>
        <w:t>（数据处理中的银行卡中心、</w:t>
      </w:r>
      <w:r>
        <w:rPr>
          <w:rFonts w:ascii="Times New Roman" w:hAnsi="Times New Roman" w:cs="Times New Roman" w:eastAsia="Times New Roman" w:hint="default"/>
          <w:spacing w:val="-6"/>
        </w:rPr>
        <w:t>PUE</w:t>
      </w:r>
      <w:r>
        <w:rPr>
          <w:spacing w:val="-6"/>
        </w:rPr>
        <w:t>值在</w:t>
      </w:r>
      <w:r>
        <w:rPr>
          <w:rFonts w:ascii="Times New Roman" w:hAnsi="Times New Roman" w:cs="Times New Roman" w:eastAsia="Times New Roman" w:hint="default"/>
          <w:spacing w:val="-6"/>
        </w:rPr>
        <w:t>1.5</w:t>
      </w:r>
      <w:r>
        <w:rPr>
          <w:spacing w:val="-6"/>
        </w:rPr>
        <w:t>以上的云计算数据中心除外）；基础软件服务；应用软件服务（不</w:t>
      </w:r>
      <w:r>
        <w:rPr>
          <w:spacing w:val="-72"/>
        </w:rPr>
        <w:t> </w:t>
      </w:r>
      <w:r>
        <w:rPr>
          <w:spacing w:val="-72"/>
        </w:rPr>
      </w:r>
      <w:r>
        <w:rPr/>
        <w:t>含医用软件）；软件开发；设计、制作、代理、发布广告；教育咨询（不含出国留学咨询及中介服务）； </w:t>
      </w:r>
      <w:r>
        <w:rPr>
          <w:spacing w:val="-3"/>
        </w:rPr>
        <w:t>经济贸易咨询；销售电子产品、日用品、文具用品、社会公共安全设备及器材、计算机、软件及辅助设备、</w:t>
      </w:r>
      <w:r>
        <w:rPr>
          <w:spacing w:val="-95"/>
        </w:rPr>
        <w:t> </w:t>
      </w:r>
      <w:r>
        <w:rPr>
          <w:spacing w:val="-95"/>
        </w:rPr>
      </w:r>
      <w:r>
        <w:rPr/>
        <w:t>机械设备、通讯设备。（企业依法自主选择经营项目，开展经营活动；依法须经批准的项目，经相关部门</w:t>
      </w:r>
      <w:r>
        <w:rPr/>
        <w:t> 批准后依批准的内容开展经营活动；不得从事本市产业政策禁止和限制类项目的经营活动。）</w:t>
      </w:r>
    </w:p>
    <w:p>
      <w:pPr>
        <w:pStyle w:val="BodyText"/>
        <w:spacing w:line="386" w:lineRule="auto" w:before="50"/>
        <w:ind w:right="1113" w:firstLine="420"/>
        <w:jc w:val="left"/>
      </w:pPr>
      <w:r>
        <w:rPr>
          <w:spacing w:val="-1"/>
        </w:rPr>
        <w:t>合并报告期内，希嘉教育实现营业收入</w:t>
      </w:r>
      <w:r>
        <w:rPr>
          <w:rFonts w:ascii="Times New Roman" w:hAnsi="Times New Roman" w:cs="Times New Roman" w:eastAsia="Times New Roman" w:hint="default"/>
          <w:spacing w:val="-1"/>
        </w:rPr>
        <w:t>4,659.56</w:t>
      </w:r>
      <w:r>
        <w:rPr>
          <w:spacing w:val="-1"/>
        </w:rPr>
        <w:t>万元，实现净利润</w:t>
      </w:r>
      <w:r>
        <w:rPr>
          <w:rFonts w:ascii="Times New Roman" w:hAnsi="Times New Roman" w:cs="Times New Roman" w:eastAsia="Times New Roman" w:hint="default"/>
          <w:spacing w:val="-1"/>
        </w:rPr>
        <w:t>1,592.28</w:t>
      </w:r>
      <w:r>
        <w:rPr>
          <w:spacing w:val="-1"/>
        </w:rPr>
        <w:t>万元。报告期为公司贡献利</w:t>
      </w:r>
      <w:r>
        <w:rPr/>
        <w:t> 润</w:t>
      </w:r>
      <w:r>
        <w:rPr>
          <w:rFonts w:ascii="Times New Roman" w:hAnsi="Times New Roman" w:cs="Times New Roman" w:eastAsia="Times New Roman" w:hint="default"/>
        </w:rPr>
        <w:t>510.76</w:t>
      </w:r>
      <w:r>
        <w:rPr/>
        <w:t>万元。</w:t>
      </w:r>
    </w:p>
    <w:p>
      <w:pPr>
        <w:pStyle w:val="BodyText"/>
        <w:spacing w:line="386" w:lineRule="auto" w:before="35"/>
        <w:ind w:left="574" w:right="1113" w:hanging="1"/>
        <w:jc w:val="left"/>
      </w:pPr>
      <w:r>
        <w:rPr>
          <w:rFonts w:ascii="Times New Roman" w:hAnsi="Times New Roman" w:cs="Times New Roman" w:eastAsia="Times New Roman" w:hint="default"/>
        </w:rPr>
        <w:t>4</w:t>
      </w:r>
      <w:r>
        <w:rPr/>
        <w:t>、上海新开普志成信息科技有限公司 上海新开普志成是公司控股子公司，注册资本</w:t>
      </w:r>
      <w:r>
        <w:rPr>
          <w:rFonts w:ascii="Times New Roman" w:hAnsi="Times New Roman" w:cs="Times New Roman" w:eastAsia="Times New Roman" w:hint="default"/>
        </w:rPr>
        <w:t>500.00</w:t>
      </w:r>
      <w:r>
        <w:rPr/>
        <w:t>万元，公司持有其</w:t>
      </w:r>
      <w:r>
        <w:rPr>
          <w:rFonts w:ascii="Times New Roman" w:hAnsi="Times New Roman" w:cs="Times New Roman" w:eastAsia="Times New Roman" w:hint="default"/>
        </w:rPr>
        <w:t>60%</w:t>
      </w:r>
      <w:r>
        <w:rPr/>
        <w:t>的股份。公司主要经营范</w:t>
      </w:r>
    </w:p>
    <w:p>
      <w:pPr>
        <w:pStyle w:val="BodyText"/>
        <w:spacing w:line="408" w:lineRule="auto" w:before="35"/>
        <w:ind w:right="1129"/>
        <w:jc w:val="both"/>
      </w:pPr>
      <w:r>
        <w:rPr>
          <w:spacing w:val="-1"/>
        </w:rPr>
        <w:t>围是：信息科技、网络科技、教育软件科技领域内的技术开发、技术转让、技术咨询、技术服务，计算机</w:t>
      </w:r>
      <w:r>
        <w:rPr>
          <w:spacing w:val="-85"/>
        </w:rPr>
        <w:t> </w:t>
      </w:r>
      <w:r>
        <w:rPr>
          <w:spacing w:val="-85"/>
        </w:rPr>
      </w:r>
      <w:r>
        <w:rPr>
          <w:spacing w:val="-1"/>
        </w:rPr>
        <w:t>系统集成，计算机网络系统工程服务，数据处理，企业管理咨询，商务信息咨询，计算机软硬件开发、销</w:t>
      </w:r>
      <w:r>
        <w:rPr>
          <w:spacing w:val="-83"/>
        </w:rPr>
        <w:t> </w:t>
      </w:r>
      <w:r>
        <w:rPr>
          <w:spacing w:val="-83"/>
        </w:rPr>
      </w:r>
      <w:r>
        <w:rPr/>
        <w:t>售及维修。（依法须经批准的项目，经相关部门批准后方可开展经营活动）</w:t>
      </w:r>
    </w:p>
    <w:p>
      <w:pPr>
        <w:pStyle w:val="BodyText"/>
        <w:spacing w:line="386" w:lineRule="auto"/>
        <w:ind w:left="574" w:right="1126" w:hanging="1"/>
        <w:jc w:val="left"/>
      </w:pPr>
      <w:r>
        <w:rPr/>
        <w:t>上海新开普志成于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日成立。 报告期内，上海新开普志成实现营业收入</w:t>
      </w:r>
      <w:r>
        <w:rPr>
          <w:rFonts w:ascii="Times New Roman" w:hAnsi="Times New Roman" w:cs="Times New Roman" w:eastAsia="Times New Roman" w:hint="default"/>
        </w:rPr>
        <w:t>52.77</w:t>
      </w:r>
      <w:r>
        <w:rPr/>
        <w:t>万元，实现净利润</w:t>
      </w:r>
      <w:r>
        <w:rPr>
          <w:rFonts w:ascii="Times New Roman" w:hAnsi="Times New Roman" w:cs="Times New Roman" w:eastAsia="Times New Roman" w:hint="default"/>
        </w:rPr>
        <w:t>-217.84</w:t>
      </w:r>
      <w:r>
        <w:rPr/>
        <w:t>万元。报告期影响公司利润</w:t>
      </w:r>
    </w:p>
    <w:p>
      <w:pPr>
        <w:pStyle w:val="BodyText"/>
        <w:spacing w:line="240" w:lineRule="auto" w:before="35"/>
        <w:ind w:right="1113"/>
        <w:jc w:val="left"/>
      </w:pPr>
      <w:r>
        <w:rPr>
          <w:rFonts w:ascii="Times New Roman" w:hAnsi="Times New Roman" w:cs="Times New Roman" w:eastAsia="Times New Roman" w:hint="default"/>
        </w:rPr>
        <w:t>-130.71</w:t>
      </w:r>
      <w:r>
        <w:rPr/>
        <w:t>万元。</w:t>
      </w:r>
    </w:p>
    <w:p>
      <w:pPr>
        <w:pStyle w:val="BodyText"/>
        <w:spacing w:line="386" w:lineRule="auto" w:before="177"/>
        <w:ind w:left="574" w:right="1125" w:hanging="1"/>
        <w:jc w:val="left"/>
      </w:pPr>
      <w:r>
        <w:rPr>
          <w:rFonts w:ascii="Times New Roman" w:hAnsi="Times New Roman" w:cs="Times New Roman" w:eastAsia="Times New Roman" w:hint="default"/>
        </w:rPr>
        <w:t>5</w:t>
      </w:r>
      <w:r>
        <w:rPr/>
        <w:t>、北京乐智科技有限公司 北京乐智是公司参股公司，注册资本</w:t>
      </w:r>
      <w:r>
        <w:rPr>
          <w:rFonts w:ascii="Times New Roman" w:hAnsi="Times New Roman" w:cs="Times New Roman" w:eastAsia="Times New Roman" w:hint="default"/>
        </w:rPr>
        <w:t>100.00</w:t>
      </w:r>
      <w:r>
        <w:rPr/>
        <w:t>万元，公司持有其</w:t>
      </w:r>
      <w:r>
        <w:rPr>
          <w:rFonts w:ascii="Times New Roman" w:hAnsi="Times New Roman" w:cs="Times New Roman" w:eastAsia="Times New Roman" w:hint="default"/>
        </w:rPr>
        <w:t>19.50%</w:t>
      </w:r>
      <w:r>
        <w:rPr/>
        <w:t>的股份。公司主要经营范围是：</w:t>
      </w:r>
    </w:p>
    <w:p>
      <w:pPr>
        <w:pStyle w:val="BodyText"/>
        <w:spacing w:line="408" w:lineRule="auto" w:before="35"/>
        <w:ind w:right="1021"/>
        <w:jc w:val="left"/>
      </w:pPr>
      <w:r>
        <w:rPr/>
        <w:t>技术开发、技术转让、技术咨询、技术服务、技术推广；计算机系统服务；软件开发；数据处理；企业管 理咨询；市场调查；经济贸易咨询；组织文化艺术交流活动（不含营业性演出）；产品设计；电脑动画设 </w:t>
      </w:r>
      <w:r>
        <w:rPr>
          <w:spacing w:val="-3"/>
        </w:rPr>
        <w:t>计；设计、制作、代理、发布广告；销售自行开发的产品。（企业依法自主选择经营项目，开展经营活动；</w:t>
      </w:r>
      <w:r>
        <w:rPr>
          <w:spacing w:val="-94"/>
        </w:rPr>
        <w:t> </w:t>
      </w:r>
      <w:r>
        <w:rPr>
          <w:spacing w:val="-94"/>
        </w:rPr>
      </w:r>
      <w:r>
        <w:rPr/>
        <w:t>依法须经批准的项目，经相关部门批准后依批准的内容开展经营活动；不得从事本市产业政策禁止和限制</w:t>
      </w:r>
      <w:r>
        <w:rPr/>
        <w:t> 类项目的经营活动。）</w:t>
      </w:r>
    </w:p>
    <w:p>
      <w:pPr>
        <w:pStyle w:val="BodyText"/>
        <w:spacing w:line="386" w:lineRule="auto"/>
        <w:ind w:left="574" w:right="1019" w:hanging="1"/>
        <w:jc w:val="left"/>
      </w:pPr>
      <w:r>
        <w:rPr>
          <w:spacing w:val="-1"/>
        </w:rPr>
        <w:t>报告期内，北京乐智实现营业收入</w:t>
      </w:r>
      <w:r>
        <w:rPr>
          <w:rFonts w:ascii="Times New Roman" w:hAnsi="Times New Roman" w:cs="Times New Roman" w:eastAsia="Times New Roman" w:hint="default"/>
          <w:spacing w:val="-1"/>
        </w:rPr>
        <w:t>0.97</w:t>
      </w:r>
      <w:r>
        <w:rPr>
          <w:spacing w:val="-1"/>
        </w:rPr>
        <w:t>万元，实现净利润</w:t>
      </w:r>
      <w:r>
        <w:rPr>
          <w:rFonts w:ascii="Times New Roman" w:hAnsi="Times New Roman" w:cs="Times New Roman" w:eastAsia="Times New Roman" w:hint="default"/>
          <w:spacing w:val="-1"/>
        </w:rPr>
        <w:t>-30.54</w:t>
      </w:r>
      <w:r>
        <w:rPr>
          <w:spacing w:val="-1"/>
        </w:rPr>
        <w:t>万元。报告期影响公司利润</w:t>
      </w:r>
      <w:r>
        <w:rPr>
          <w:rFonts w:ascii="Times New Roman" w:hAnsi="Times New Roman" w:cs="Times New Roman" w:eastAsia="Times New Roman" w:hint="default"/>
          <w:spacing w:val="-1"/>
        </w:rPr>
        <w:t>-5.95</w:t>
      </w:r>
      <w:r>
        <w:rPr>
          <w:spacing w:val="-1"/>
        </w:rPr>
        <w:t>万元。</w:t>
      </w:r>
      <w:r>
        <w:rPr>
          <w:spacing w:val="-69"/>
        </w:rPr>
        <w:t> </w:t>
      </w:r>
      <w:r>
        <w:rPr>
          <w:rFonts w:ascii="Times New Roman" w:hAnsi="Times New Roman" w:cs="Times New Roman" w:eastAsia="Times New Roman" w:hint="default"/>
        </w:rPr>
        <w:t>6</w:t>
      </w:r>
      <w:r>
        <w:rPr/>
        <w:t>、上海微令信息科技有限公司 </w:t>
      </w:r>
      <w:r>
        <w:rPr>
          <w:spacing w:val="-1"/>
        </w:rPr>
        <w:t>上海微令是公司参股公司，注册资本</w:t>
      </w:r>
      <w:r>
        <w:rPr>
          <w:rFonts w:ascii="Times New Roman" w:hAnsi="Times New Roman" w:cs="Times New Roman" w:eastAsia="Times New Roman" w:hint="default"/>
          <w:spacing w:val="-1"/>
        </w:rPr>
        <w:t>1,077.18</w:t>
      </w:r>
      <w:r>
        <w:rPr>
          <w:spacing w:val="-1"/>
        </w:rPr>
        <w:t>万元，公司持有其</w:t>
      </w:r>
      <w:r>
        <w:rPr>
          <w:rFonts w:ascii="Times New Roman" w:hAnsi="Times New Roman" w:cs="Times New Roman" w:eastAsia="Times New Roman" w:hint="default"/>
          <w:spacing w:val="-1"/>
        </w:rPr>
        <w:t>17.80%</w:t>
      </w:r>
      <w:r>
        <w:rPr>
          <w:spacing w:val="-1"/>
        </w:rPr>
        <w:t>的股份。公司主要经营范围是：</w:t>
      </w:r>
    </w:p>
    <w:p>
      <w:pPr>
        <w:spacing w:after="0" w:line="386"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29"/>
        <w:jc w:val="both"/>
      </w:pPr>
      <w:r>
        <w:rPr>
          <w:spacing w:val="-1"/>
        </w:rPr>
        <w:t>从事信息科技、网络科技、计算机科技领域内的技术开发、技术转让、技术咨询、技术服务；计算机及网</w:t>
      </w:r>
      <w:r>
        <w:rPr>
          <w:spacing w:val="-83"/>
        </w:rPr>
        <w:t> </w:t>
      </w:r>
      <w:r>
        <w:rPr>
          <w:spacing w:val="-83"/>
        </w:rPr>
      </w:r>
      <w:r>
        <w:rPr>
          <w:spacing w:val="-1"/>
        </w:rPr>
        <w:t>络设备的研究、开发、安装与维护；计算机系统集成、销售；设计、制作、发布、代理各类广告；计算机</w:t>
      </w:r>
      <w:r>
        <w:rPr>
          <w:spacing w:val="-86"/>
        </w:rPr>
        <w:t> </w:t>
      </w:r>
      <w:r>
        <w:rPr>
          <w:spacing w:val="-86"/>
        </w:rPr>
      </w:r>
      <w:r>
        <w:rPr>
          <w:spacing w:val="-1"/>
        </w:rPr>
        <w:t>软件的开发、销售；电脑网络工程；电子产品、数码产品、计算机及辅助设备（除计算机信息系统安全专</w:t>
      </w:r>
      <w:r>
        <w:rPr>
          <w:spacing w:val="-83"/>
        </w:rPr>
        <w:t> </w:t>
      </w:r>
      <w:r>
        <w:rPr>
          <w:spacing w:val="-83"/>
        </w:rPr>
      </w:r>
      <w:r>
        <w:rPr>
          <w:spacing w:val="-1"/>
        </w:rPr>
        <w:t>用产品）的销售；企业管理咨询；商务信息咨询；房屋建筑工程。（依法须经批准的项目，经相关部门批</w:t>
      </w:r>
      <w:r>
        <w:rPr>
          <w:spacing w:val="-85"/>
        </w:rPr>
        <w:t> </w:t>
      </w:r>
      <w:r>
        <w:rPr>
          <w:spacing w:val="-85"/>
        </w:rPr>
      </w:r>
      <w:r>
        <w:rPr/>
        <w:t>准后方可开展经营活动）</w:t>
      </w:r>
    </w:p>
    <w:p>
      <w:pPr>
        <w:pStyle w:val="BodyText"/>
        <w:spacing w:line="240" w:lineRule="auto"/>
        <w:ind w:left="573" w:right="1113"/>
        <w:jc w:val="left"/>
      </w:pPr>
      <w:r>
        <w:rPr/>
        <w:t>上海微令已足额计提减值。</w:t>
      </w:r>
    </w:p>
    <w:p>
      <w:pPr>
        <w:spacing w:line="240" w:lineRule="auto" w:before="10"/>
        <w:rPr>
          <w:rFonts w:ascii="宋体" w:hAnsi="宋体" w:cs="宋体" w:eastAsia="宋体" w:hint="default"/>
          <w:sz w:val="14"/>
          <w:szCs w:val="14"/>
        </w:rPr>
      </w:pPr>
    </w:p>
    <w:p>
      <w:pPr>
        <w:pStyle w:val="BodyText"/>
        <w:spacing w:line="386" w:lineRule="auto" w:before="0"/>
        <w:ind w:left="574" w:right="1125" w:hanging="1"/>
        <w:jc w:val="left"/>
      </w:pPr>
      <w:r>
        <w:rPr>
          <w:rFonts w:ascii="Times New Roman" w:hAnsi="Times New Roman" w:cs="Times New Roman" w:eastAsia="Times New Roman" w:hint="default"/>
        </w:rPr>
        <w:t>7</w:t>
      </w:r>
      <w:r>
        <w:rPr/>
        <w:t>、成都兰途网络科技有限公司 成都兰途是公司参股公司，注册资本</w:t>
      </w:r>
      <w:r>
        <w:rPr>
          <w:rFonts w:ascii="Times New Roman" w:hAnsi="Times New Roman" w:cs="Times New Roman" w:eastAsia="Times New Roman" w:hint="default"/>
        </w:rPr>
        <w:t>120.00</w:t>
      </w:r>
      <w:r>
        <w:rPr/>
        <w:t>万元，公司持有其</w:t>
      </w:r>
      <w:r>
        <w:rPr>
          <w:rFonts w:ascii="Times New Roman" w:hAnsi="Times New Roman" w:cs="Times New Roman" w:eastAsia="Times New Roman" w:hint="default"/>
        </w:rPr>
        <w:t>35.00%</w:t>
      </w:r>
      <w:r>
        <w:rPr/>
        <w:t>的股份。公司主要经营范围是：</w:t>
      </w:r>
    </w:p>
    <w:p>
      <w:pPr>
        <w:pStyle w:val="BodyText"/>
        <w:spacing w:line="408" w:lineRule="auto" w:before="35"/>
        <w:ind w:left="153" w:right="1091"/>
        <w:jc w:val="left"/>
      </w:pPr>
      <w:r>
        <w:rPr/>
        <w:t>开发、销售计算机软硬件；计算机系统集成；网络布线工程施工（凭资质许可证从事经营）；网页设计； 商务咨询（不含前置许可项目，涉及后置许可的凭许可证从事经营）。</w:t>
      </w:r>
    </w:p>
    <w:p>
      <w:pPr>
        <w:pStyle w:val="BodyText"/>
        <w:spacing w:line="386" w:lineRule="auto"/>
        <w:ind w:left="153" w:right="1129" w:firstLine="420"/>
        <w:jc w:val="both"/>
      </w:pPr>
      <w:r>
        <w:rPr/>
        <w:t>报告期内，成都兰途实现营业收入</w:t>
      </w:r>
      <w:r>
        <w:rPr>
          <w:rFonts w:ascii="Times New Roman" w:hAnsi="Times New Roman" w:cs="Times New Roman" w:eastAsia="Times New Roman" w:hint="default"/>
        </w:rPr>
        <w:t>588.47</w:t>
      </w:r>
      <w:r>
        <w:rPr/>
        <w:t>万元，实现净利润</w:t>
      </w:r>
      <w:r>
        <w:rPr>
          <w:rFonts w:ascii="Times New Roman" w:hAnsi="Times New Roman" w:cs="Times New Roman" w:eastAsia="Times New Roman" w:hint="default"/>
        </w:rPr>
        <w:t>-122.77</w:t>
      </w:r>
      <w:r>
        <w:rPr/>
        <w:t>万元。报告期影响公司利润</w:t>
      </w:r>
      <w:r>
        <w:rPr>
          <w:rFonts w:ascii="Times New Roman" w:hAnsi="Times New Roman" w:cs="Times New Roman" w:eastAsia="Times New Roman" w:hint="default"/>
        </w:rPr>
        <w:t>-42.97 </w:t>
      </w:r>
      <w:r>
        <w:rPr/>
        <w:t>万元。</w:t>
      </w:r>
    </w:p>
    <w:p>
      <w:pPr>
        <w:pStyle w:val="BodyText"/>
        <w:spacing w:line="386" w:lineRule="auto" w:before="65"/>
        <w:ind w:left="574" w:right="1113" w:hanging="1"/>
        <w:jc w:val="left"/>
      </w:pPr>
      <w:r>
        <w:rPr>
          <w:rFonts w:ascii="Times New Roman" w:hAnsi="Times New Roman" w:cs="Times New Roman" w:eastAsia="Times New Roman" w:hint="default"/>
        </w:rPr>
        <w:t>8</w:t>
      </w:r>
      <w:r>
        <w:rPr/>
        <w:t>、嘉兴丹诚开普股权投资合伙企业（有限合伙） </w:t>
      </w:r>
      <w:r>
        <w:rPr>
          <w:spacing w:val="-1"/>
        </w:rPr>
        <w:t>丹诚开普合伙企业是由公司与丹诚资管共同发起设立有限合伙企业，公司作为有限合伙人。合伙企业</w:t>
      </w:r>
    </w:p>
    <w:p>
      <w:pPr>
        <w:pStyle w:val="BodyText"/>
        <w:spacing w:line="408" w:lineRule="auto" w:before="65"/>
        <w:ind w:left="574" w:right="1755" w:hanging="420"/>
        <w:jc w:val="left"/>
      </w:pPr>
      <w:r>
        <w:rPr/>
        <w:t>主要经营范围是：股权投资及相关咨询服务、投资管理、社会经济咨询。 报告期内实现营业收入</w:t>
      </w:r>
      <w:r>
        <w:rPr>
          <w:rFonts w:ascii="Times New Roman" w:hAnsi="Times New Roman" w:cs="Times New Roman" w:eastAsia="Times New Roman" w:hint="default"/>
        </w:rPr>
        <w:t>0.00</w:t>
      </w:r>
      <w:r>
        <w:rPr/>
        <w:t>万元，实现净利润</w:t>
      </w:r>
      <w:r>
        <w:rPr>
          <w:rFonts w:ascii="Times New Roman" w:hAnsi="Times New Roman" w:cs="Times New Roman" w:eastAsia="Times New Roman" w:hint="default"/>
        </w:rPr>
        <w:t>-71.52</w:t>
      </w:r>
      <w:r>
        <w:rPr/>
        <w:t>万元。报告期为影响公司利润</w:t>
      </w:r>
      <w:r>
        <w:rPr>
          <w:rFonts w:ascii="Times New Roman" w:hAnsi="Times New Roman" w:cs="Times New Roman" w:eastAsia="Times New Roman" w:hint="default"/>
        </w:rPr>
        <w:t>-69.14</w:t>
      </w:r>
      <w:r>
        <w:rPr/>
        <w:t>万元。</w:t>
      </w:r>
    </w:p>
    <w:p>
      <w:pPr>
        <w:spacing w:line="240" w:lineRule="auto" w:before="5"/>
        <w:rPr>
          <w:rFonts w:ascii="宋体" w:hAnsi="宋体" w:cs="宋体" w:eastAsia="宋体" w:hint="default"/>
          <w:sz w:val="16"/>
          <w:szCs w:val="16"/>
        </w:rPr>
      </w:pPr>
    </w:p>
    <w:p>
      <w:pPr>
        <w:pStyle w:val="Heading2"/>
        <w:spacing w:line="240" w:lineRule="auto"/>
        <w:ind w:right="0"/>
        <w:jc w:val="both"/>
        <w:rPr>
          <w:b w:val="0"/>
          <w:bCs w:val="0"/>
        </w:rPr>
      </w:pPr>
      <w:r>
        <w:rPr/>
        <w:t>八、公司控制的结构化主体情况</w:t>
      </w:r>
      <w:r>
        <w:rPr>
          <w:b w:val="0"/>
          <w:bCs w:val="0"/>
        </w:rPr>
      </w:r>
    </w:p>
    <w:p>
      <w:pPr>
        <w:spacing w:line="240" w:lineRule="auto" w:before="7"/>
        <w:rPr>
          <w:rFonts w:ascii="宋体" w:hAnsi="宋体" w:cs="宋体" w:eastAsia="宋体" w:hint="default"/>
          <w:b/>
          <w:bCs/>
          <w:sz w:val="32"/>
          <w:szCs w:val="32"/>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2"/>
        <w:spacing w:line="240" w:lineRule="auto" w:before="155"/>
        <w:ind w:right="0"/>
        <w:jc w:val="both"/>
        <w:rPr>
          <w:b w:val="0"/>
          <w:bCs w:val="0"/>
        </w:rPr>
      </w:pPr>
      <w:r>
        <w:rPr/>
        <w:t>九、公司未来发展的展望</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576" w:right="1113"/>
        <w:jc w:val="left"/>
        <w:rPr>
          <w:b w:val="0"/>
          <w:bCs w:val="0"/>
        </w:rPr>
      </w:pPr>
      <w:r>
        <w:rPr/>
        <w:t>（一）行业发展趋势</w:t>
      </w:r>
      <w:r>
        <w:rPr>
          <w:b w:val="0"/>
          <w:bCs w:val="0"/>
        </w:rPr>
      </w:r>
    </w:p>
    <w:p>
      <w:pPr>
        <w:pStyle w:val="BodyText"/>
        <w:spacing w:line="386" w:lineRule="auto" w:before="115"/>
        <w:ind w:left="574" w:right="1113" w:hanging="1"/>
        <w:jc w:val="left"/>
      </w:pPr>
      <w:r>
        <w:rPr>
          <w:rFonts w:ascii="Times New Roman" w:hAnsi="Times New Roman" w:cs="Times New Roman" w:eastAsia="Times New Roman" w:hint="default"/>
          <w:b/>
          <w:bCs/>
        </w:rPr>
        <w:t>1</w:t>
      </w:r>
      <w:r>
        <w:rPr>
          <w:rFonts w:ascii="宋体" w:hAnsi="宋体" w:cs="宋体" w:eastAsia="宋体" w:hint="default"/>
          <w:b/>
          <w:bCs/>
        </w:rPr>
        <w:t>、公司所处行业</w:t>
      </w:r>
      <w:r>
        <w:rPr>
          <w:rFonts w:ascii="宋体" w:hAnsi="宋体" w:cs="宋体" w:eastAsia="宋体" w:hint="default"/>
          <w:b/>
          <w:bCs/>
          <w:spacing w:val="1"/>
          <w:w w:val="99"/>
        </w:rPr>
        <w:t> </w:t>
      </w:r>
      <w:r>
        <w:rPr/>
        <w:t>根据中国证监会颁布的《上市公司行业分类指引》（</w:t>
      </w:r>
      <w:r>
        <w:rPr>
          <w:rFonts w:ascii="Times New Roman" w:hAnsi="Times New Roman" w:cs="Times New Roman" w:eastAsia="Times New Roman" w:hint="default"/>
        </w:rPr>
        <w:t>2012</w:t>
      </w:r>
      <w:r>
        <w:rPr/>
        <w:t>年修订），公司所属行业为</w:t>
      </w:r>
      <w:r>
        <w:rPr>
          <w:rFonts w:ascii="Times New Roman" w:hAnsi="Times New Roman" w:cs="Times New Roman" w:eastAsia="Times New Roman" w:hint="default"/>
        </w:rPr>
        <w:t>“I65</w:t>
      </w:r>
      <w:r>
        <w:rPr/>
        <w:t>软件和信息</w:t>
      </w:r>
    </w:p>
    <w:p>
      <w:pPr>
        <w:pStyle w:val="BodyText"/>
        <w:spacing w:line="240" w:lineRule="auto" w:before="35"/>
        <w:ind w:right="0"/>
        <w:jc w:val="both"/>
      </w:pPr>
      <w:r>
        <w:rPr/>
        <w:t>技术服务业</w:t>
      </w:r>
      <w:r>
        <w:rPr>
          <w:rFonts w:ascii="Times New Roman" w:hAnsi="Times New Roman" w:cs="Times New Roman" w:eastAsia="Times New Roman" w:hint="default"/>
        </w:rPr>
        <w:t>”</w:t>
      </w:r>
      <w:r>
        <w:rPr/>
        <w:t>。</w:t>
      </w:r>
    </w:p>
    <w:p>
      <w:pPr>
        <w:pStyle w:val="BodyText"/>
        <w:spacing w:line="391" w:lineRule="auto" w:before="177"/>
        <w:ind w:left="153" w:right="1129" w:firstLine="420"/>
        <w:jc w:val="both"/>
      </w:pPr>
      <w:r>
        <w:rPr>
          <w:spacing w:val="-1"/>
        </w:rPr>
        <w:t>教育信息化是指在教育领域（教育管理、教育教学和教育科研）全面深入地运用现代信息技术来促进</w:t>
      </w:r>
      <w:r>
        <w:rPr/>
        <w:t> </w:t>
      </w:r>
      <w:r>
        <w:rPr>
          <w:spacing w:val="-2"/>
        </w:rPr>
        <w:t>教育改革与发展的过程。</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月，时任国务委员刘延东指出</w:t>
      </w:r>
      <w:r>
        <w:rPr>
          <w:rFonts w:ascii="Times New Roman" w:hAnsi="Times New Roman" w:cs="Times New Roman" w:eastAsia="Times New Roman" w:hint="default"/>
          <w:spacing w:val="-2"/>
        </w:rPr>
        <w:t>“</w:t>
      </w:r>
      <w:r>
        <w:rPr>
          <w:spacing w:val="-2"/>
        </w:rPr>
        <w:t>三通两平台</w:t>
      </w:r>
      <w:r>
        <w:rPr>
          <w:rFonts w:ascii="Times New Roman" w:hAnsi="Times New Roman" w:cs="Times New Roman" w:eastAsia="Times New Roman" w:hint="default"/>
          <w:spacing w:val="-2"/>
        </w:rPr>
        <w:t>”</w:t>
      </w:r>
      <w:r>
        <w:rPr>
          <w:spacing w:val="-2"/>
        </w:rPr>
        <w:t>为</w:t>
      </w:r>
      <w:r>
        <w:rPr>
          <w:rFonts w:ascii="Times New Roman" w:hAnsi="Times New Roman" w:cs="Times New Roman" w:eastAsia="Times New Roman" w:hint="default"/>
          <w:spacing w:val="-2"/>
        </w:rPr>
        <w:t>“</w:t>
      </w:r>
      <w:r>
        <w:rPr>
          <w:spacing w:val="-2"/>
        </w:rPr>
        <w:t>十二五</w:t>
      </w:r>
      <w:r>
        <w:rPr>
          <w:rFonts w:ascii="Times New Roman" w:hAnsi="Times New Roman" w:cs="Times New Roman" w:eastAsia="Times New Roman" w:hint="default"/>
          <w:spacing w:val="-2"/>
        </w:rPr>
        <w:t>”</w:t>
      </w:r>
      <w:r>
        <w:rPr>
          <w:spacing w:val="-2"/>
        </w:rPr>
        <w:t>期间教育信息化建</w:t>
      </w:r>
      <w:r>
        <w:rPr>
          <w:spacing w:val="-88"/>
        </w:rPr>
        <w:t> </w:t>
      </w:r>
      <w:r>
        <w:rPr>
          <w:spacing w:val="-1"/>
        </w:rPr>
        <w:t>设目标，教育信息化进入</w:t>
      </w:r>
      <w:r>
        <w:rPr>
          <w:rFonts w:ascii="Times New Roman" w:hAnsi="Times New Roman" w:cs="Times New Roman" w:eastAsia="Times New Roman" w:hint="default"/>
          <w:spacing w:val="-1"/>
        </w:rPr>
        <w:t>1.0</w:t>
      </w:r>
      <w:r>
        <w:rPr>
          <w:spacing w:val="-1"/>
        </w:rPr>
        <w:t>时代。</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月，教育部正式下发《教育信息化</w:t>
      </w:r>
      <w:r>
        <w:rPr>
          <w:rFonts w:ascii="Times New Roman" w:hAnsi="Times New Roman" w:cs="Times New Roman" w:eastAsia="Times New Roman" w:hint="default"/>
          <w:spacing w:val="-1"/>
        </w:rPr>
        <w:t>2.0</w:t>
      </w:r>
      <w:r>
        <w:rPr>
          <w:spacing w:val="-1"/>
        </w:rPr>
        <w:t>行动计划》，将教育信息</w:t>
      </w:r>
      <w:r>
        <w:rPr>
          <w:spacing w:val="-83"/>
        </w:rPr>
        <w:t> </w:t>
      </w:r>
      <w:r>
        <w:rPr>
          <w:spacing w:val="-83"/>
        </w:rPr>
      </w:r>
      <w:r>
        <w:rPr/>
        <w:t>化</w:t>
      </w:r>
      <w:r>
        <w:rPr>
          <w:rFonts w:ascii="Times New Roman" w:hAnsi="Times New Roman" w:cs="Times New Roman" w:eastAsia="Times New Roman" w:hint="default"/>
        </w:rPr>
        <w:t>2.0</w:t>
      </w:r>
      <w:r>
        <w:rPr/>
        <w:t>定位于</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教育</w:t>
      </w:r>
      <w:r>
        <w:rPr>
          <w:rFonts w:ascii="Times New Roman" w:hAnsi="Times New Roman" w:cs="Times New Roman" w:eastAsia="Times New Roman" w:hint="default"/>
        </w:rPr>
        <w:t>”</w:t>
      </w:r>
      <w:r>
        <w:rPr/>
        <w:t>的具体实施计划。要求</w:t>
      </w:r>
      <w:r>
        <w:rPr>
          <w:rFonts w:ascii="Times New Roman" w:hAnsi="Times New Roman" w:cs="Times New Roman" w:eastAsia="Times New Roman" w:hint="default"/>
        </w:rPr>
        <w:t>“</w:t>
      </w:r>
      <w:r>
        <w:rPr/>
        <w:t>到</w:t>
      </w:r>
      <w:r>
        <w:rPr>
          <w:rFonts w:ascii="Times New Roman" w:hAnsi="Times New Roman" w:cs="Times New Roman" w:eastAsia="Times New Roman" w:hint="default"/>
        </w:rPr>
        <w:t>2022</w:t>
      </w:r>
      <w:r>
        <w:rPr/>
        <w:t>年基本实现</w:t>
      </w:r>
      <w:r>
        <w:rPr>
          <w:rFonts w:ascii="Times New Roman" w:hAnsi="Times New Roman" w:cs="Times New Roman" w:eastAsia="Times New Roman" w:hint="default"/>
        </w:rPr>
        <w:t>‘</w:t>
      </w:r>
      <w:r>
        <w:rPr/>
        <w:t>三全两高一大</w:t>
      </w:r>
      <w:r>
        <w:rPr>
          <w:rFonts w:ascii="Times New Roman" w:hAnsi="Times New Roman" w:cs="Times New Roman" w:eastAsia="Times New Roman" w:hint="default"/>
        </w:rPr>
        <w:t>’</w:t>
      </w:r>
      <w:r>
        <w:rPr/>
        <w:t>的发展目标，即教学</w:t>
      </w:r>
      <w:r>
        <w:rPr>
          <w:spacing w:val="-98"/>
        </w:rPr>
        <w:t> </w:t>
      </w:r>
      <w:r>
        <w:rPr>
          <w:spacing w:val="-98"/>
        </w:rPr>
      </w:r>
      <w:r>
        <w:rPr>
          <w:spacing w:val="-1"/>
        </w:rPr>
        <w:t>应用覆盖全体教师、学习应用覆盖全体适龄学生、数字校园建设覆盖全体学校，信息化应用水平和师生信</w:t>
      </w:r>
    </w:p>
    <w:p>
      <w:pPr>
        <w:spacing w:after="0" w:line="391" w:lineRule="auto"/>
        <w:jc w:val="both"/>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386" w:lineRule="auto" w:before="35"/>
        <w:ind w:left="153" w:right="1113"/>
        <w:jc w:val="left"/>
      </w:pPr>
      <w:r>
        <w:rPr>
          <w:spacing w:val="-1"/>
        </w:rPr>
        <w:t>息素养普遍提高，建成</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教育</w:t>
      </w:r>
      <w:r>
        <w:rPr>
          <w:rFonts w:ascii="Times New Roman" w:hAnsi="Times New Roman" w:cs="Times New Roman" w:eastAsia="Times New Roman" w:hint="default"/>
          <w:spacing w:val="-1"/>
        </w:rPr>
        <w:t>’</w:t>
      </w:r>
      <w:r>
        <w:rPr>
          <w:spacing w:val="-1"/>
        </w:rPr>
        <w:t>大平台</w:t>
      </w:r>
      <w:r>
        <w:rPr>
          <w:rFonts w:ascii="Times New Roman" w:hAnsi="Times New Roman" w:cs="Times New Roman" w:eastAsia="Times New Roman" w:hint="default"/>
          <w:spacing w:val="-1"/>
        </w:rPr>
        <w:t>”</w:t>
      </w:r>
      <w:r>
        <w:rPr>
          <w:spacing w:val="-1"/>
        </w:rPr>
        <w:t>，在教育信息化</w:t>
      </w:r>
      <w:r>
        <w:rPr>
          <w:rFonts w:ascii="Times New Roman" w:hAnsi="Times New Roman" w:cs="Times New Roman" w:eastAsia="Times New Roman" w:hint="default"/>
          <w:spacing w:val="-1"/>
        </w:rPr>
        <w:t>1.0</w:t>
      </w:r>
      <w:r>
        <w:rPr>
          <w:spacing w:val="-1"/>
        </w:rPr>
        <w:t>的基础上提出了更高的目标，着力打造教</w:t>
      </w:r>
      <w:r>
        <w:rPr>
          <w:spacing w:val="-68"/>
        </w:rPr>
        <w:t> </w:t>
      </w:r>
      <w:r>
        <w:rPr>
          <w:spacing w:val="-68"/>
        </w:rPr>
      </w:r>
      <w:r>
        <w:rPr/>
        <w:t>育信息化生态。</w:t>
      </w:r>
    </w:p>
    <w:p>
      <w:pPr>
        <w:pStyle w:val="Heading3"/>
        <w:spacing w:line="240" w:lineRule="auto" w:before="65"/>
        <w:ind w:left="573" w:right="1113"/>
        <w:jc w:val="left"/>
        <w:rPr>
          <w:b w:val="0"/>
          <w:bCs w:val="0"/>
        </w:rPr>
      </w:pPr>
      <w:r>
        <w:rPr>
          <w:rFonts w:ascii="Times New Roman" w:hAnsi="Times New Roman" w:cs="Times New Roman" w:eastAsia="Times New Roman" w:hint="default"/>
        </w:rPr>
        <w:t>2</w:t>
      </w:r>
      <w:r>
        <w:rPr/>
        <w:t>、行业政策趋势</w:t>
      </w:r>
      <w:r>
        <w:rPr>
          <w:b w:val="0"/>
          <w:bCs w:val="0"/>
        </w:rPr>
      </w:r>
    </w:p>
    <w:p>
      <w:pPr>
        <w:pStyle w:val="BodyText"/>
        <w:spacing w:line="386" w:lineRule="auto" w:before="177"/>
        <w:ind w:left="153" w:right="1130" w:firstLine="42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日，国务院印发了《中国教育现代化</w:t>
      </w:r>
      <w:r>
        <w:rPr>
          <w:rFonts w:ascii="Times New Roman" w:hAnsi="Times New Roman" w:cs="Times New Roman" w:eastAsia="Times New Roman" w:hint="default"/>
        </w:rPr>
        <w:t>2035</w:t>
      </w:r>
      <w:r>
        <w:rPr/>
        <w:t>》，提出的十大战略任务之一就是要加快信息 </w:t>
      </w:r>
      <w:r>
        <w:rPr>
          <w:spacing w:val="13"/>
        </w:rPr>
        <w:t>化时代教育变革。全面建设智慧校园。同日，国务院办公厅下发了《加快推进教育现代化实施方案</w:t>
      </w:r>
    </w:p>
    <w:p>
      <w:pPr>
        <w:pStyle w:val="BodyText"/>
        <w:spacing w:line="240" w:lineRule="auto" w:before="65"/>
        <w:ind w:left="153" w:right="1113"/>
        <w:jc w:val="left"/>
      </w:pPr>
      <w:r>
        <w:rPr/>
        <w:t>（</w:t>
      </w:r>
      <w:r>
        <w:rPr>
          <w:rFonts w:ascii="Times New Roman" w:hAnsi="Times New Roman" w:cs="Times New Roman" w:eastAsia="Times New Roman" w:hint="default"/>
        </w:rPr>
        <w:t>2018-2022</w:t>
      </w:r>
      <w:r>
        <w:rPr/>
        <w:t>）》也提出以信息化手段服务教育全过程，加快推进智慧教育创新发展</w:t>
      </w:r>
    </w:p>
    <w:p>
      <w:pPr>
        <w:pStyle w:val="BodyText"/>
        <w:spacing w:line="398" w:lineRule="auto" w:before="177"/>
        <w:ind w:right="1131" w:firstLine="419"/>
        <w:jc w:val="both"/>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13</w:t>
      </w:r>
      <w:r>
        <w:rPr>
          <w:spacing w:val="-3"/>
        </w:rPr>
        <w:t>日，国务院印发了《国务院关于印发国家职业教育改革实施方案的通知》，提出，到</w:t>
      </w:r>
      <w:r>
        <w:rPr>
          <w:rFonts w:ascii="Times New Roman" w:hAnsi="Times New Roman" w:cs="Times New Roman" w:eastAsia="Times New Roman" w:hint="default"/>
          <w:spacing w:val="-3"/>
        </w:rPr>
        <w:t>2022</w:t>
      </w:r>
      <w:r>
        <w:rPr>
          <w:rFonts w:ascii="Times New Roman" w:hAnsi="Times New Roman" w:cs="Times New Roman" w:eastAsia="Times New Roman" w:hint="default"/>
        </w:rPr>
        <w:t> </w:t>
      </w:r>
      <w:r>
        <w:rPr>
          <w:spacing w:val="-1"/>
        </w:rPr>
        <w:t>年，企业参与职业教育的积极性有较大提升，培育数以万计的产教融合型企业，打造一批优秀职业教育培</w:t>
      </w:r>
      <w:r>
        <w:rPr>
          <w:spacing w:val="-83"/>
        </w:rPr>
        <w:t> </w:t>
      </w:r>
      <w:r>
        <w:rPr>
          <w:spacing w:val="-83"/>
        </w:rPr>
      </w:r>
      <w:r>
        <w:rPr/>
        <w:t>训评价组织，推动建设</w:t>
      </w:r>
      <w:r>
        <w:rPr>
          <w:rFonts w:ascii="Times New Roman" w:hAnsi="Times New Roman" w:cs="Times New Roman" w:eastAsia="Times New Roman" w:hint="default"/>
        </w:rPr>
        <w:t>300</w:t>
      </w:r>
      <w:r>
        <w:rPr/>
        <w:t>个具有辐射引领作用的高水平专业化产教融合实训基地。</w:t>
      </w:r>
    </w:p>
    <w:p>
      <w:pPr>
        <w:pStyle w:val="BodyText"/>
        <w:spacing w:line="398" w:lineRule="auto" w:before="24"/>
        <w:ind w:right="1129" w:firstLine="420"/>
        <w:jc w:val="both"/>
      </w:pPr>
      <w:r>
        <w:rPr>
          <w:spacing w:val="-1"/>
        </w:rPr>
        <w:t>为确保教育现代化目标任务的实现，《中国教育现代化</w:t>
      </w:r>
      <w:r>
        <w:rPr>
          <w:rFonts w:ascii="Times New Roman" w:hAnsi="Times New Roman" w:cs="Times New Roman" w:eastAsia="Times New Roman" w:hint="default"/>
          <w:spacing w:val="-1"/>
        </w:rPr>
        <w:t>2035</w:t>
      </w:r>
      <w:r>
        <w:rPr>
          <w:spacing w:val="-1"/>
        </w:rPr>
        <w:t>》还明确了在财政支持上的保障措施：完</w:t>
      </w:r>
      <w:r>
        <w:rPr/>
        <w:t> </w:t>
      </w:r>
      <w:r>
        <w:rPr>
          <w:spacing w:val="-1"/>
        </w:rPr>
        <w:t>善教育现代化投入支撑体制。健全保证财政教育投入持续稳定增长的长效机制，确保财政一般公共预算教</w:t>
      </w:r>
      <w:r>
        <w:rPr>
          <w:spacing w:val="-81"/>
        </w:rPr>
        <w:t> </w:t>
      </w:r>
      <w:r>
        <w:rPr>
          <w:spacing w:val="-81"/>
        </w:rPr>
      </w:r>
      <w:r>
        <w:rPr>
          <w:spacing w:val="-1"/>
        </w:rPr>
        <w:t>育支出逐年只增不减，确保按在校学生人数平均的一般公共预算教育支出逐年只增不减，保证国家财政性</w:t>
      </w:r>
      <w:r>
        <w:rPr>
          <w:spacing w:val="-81"/>
        </w:rPr>
        <w:t> </w:t>
      </w:r>
      <w:r>
        <w:rPr>
          <w:spacing w:val="-81"/>
        </w:rPr>
      </w:r>
      <w:r>
        <w:rPr>
          <w:spacing w:val="-3"/>
        </w:rPr>
        <w:t>教育经费支出占国内生产总值的比例一般不低于</w:t>
      </w:r>
      <w:r>
        <w:rPr>
          <w:rFonts w:ascii="Times New Roman" w:hAnsi="Times New Roman" w:cs="Times New Roman" w:eastAsia="Times New Roman" w:hint="default"/>
          <w:spacing w:val="-3"/>
        </w:rPr>
        <w:t>4%</w:t>
      </w:r>
      <w:r>
        <w:rPr>
          <w:spacing w:val="-3"/>
        </w:rPr>
        <w:t>。优化教育经费使用结构，全面实施绩效管理，建立健</w:t>
      </w:r>
      <w:r>
        <w:rPr>
          <w:spacing w:val="-60"/>
        </w:rPr>
        <w:t> </w:t>
      </w:r>
      <w:r>
        <w:rPr>
          <w:spacing w:val="-60"/>
        </w:rPr>
      </w:r>
      <w:r>
        <w:rPr/>
        <w:t>全全覆盖全过程全方位的教育经费监管体系，全面提高经费使用效益。</w:t>
      </w:r>
    </w:p>
    <w:p>
      <w:pPr>
        <w:pStyle w:val="BodyText"/>
        <w:spacing w:line="408" w:lineRule="auto" w:before="54"/>
        <w:ind w:right="1131" w:firstLine="420"/>
        <w:jc w:val="both"/>
      </w:pPr>
      <w:r>
        <w:rPr>
          <w:spacing w:val="-1"/>
        </w:rPr>
        <w:t>中国未来发展、中华民族伟大复兴，关键靠人才，基础在教育，教育信息化作为国家发展战略要素之</w:t>
      </w:r>
      <w:r>
        <w:rPr/>
        <w:t> 一，行业发展建设进入全新的快速发展阶段。</w:t>
      </w:r>
    </w:p>
    <w:p>
      <w:pPr>
        <w:pStyle w:val="Heading3"/>
        <w:spacing w:line="240" w:lineRule="auto" w:before="46"/>
        <w:ind w:left="574" w:right="1113"/>
        <w:jc w:val="left"/>
        <w:rPr>
          <w:b w:val="0"/>
          <w:bCs w:val="0"/>
        </w:rPr>
      </w:pPr>
      <w:r>
        <w:rPr/>
        <w:t>（二）</w:t>
      </w:r>
      <w:r>
        <w:rPr>
          <w:rFonts w:ascii="Times New Roman" w:hAnsi="Times New Roman" w:cs="Times New Roman" w:eastAsia="Times New Roman" w:hint="default"/>
        </w:rPr>
        <w:t>2020</w:t>
      </w:r>
      <w:r>
        <w:rPr/>
        <w:t>年度展望及经营规划</w:t>
      </w:r>
      <w:r>
        <w:rPr>
          <w:b w:val="0"/>
          <w:bCs w:val="0"/>
        </w:rPr>
      </w:r>
    </w:p>
    <w:p>
      <w:pPr>
        <w:pStyle w:val="BodyText"/>
        <w:spacing w:line="403" w:lineRule="auto" w:before="177"/>
        <w:ind w:right="1129" w:firstLine="420"/>
        <w:jc w:val="both"/>
      </w:pPr>
      <w:r>
        <w:rPr>
          <w:rFonts w:ascii="Times New Roman" w:hAnsi="Times New Roman" w:cs="Times New Roman" w:eastAsia="Times New Roman" w:hint="default"/>
          <w:spacing w:val="-1"/>
        </w:rPr>
        <w:t>2020</w:t>
      </w:r>
      <w:r>
        <w:rPr>
          <w:spacing w:val="-1"/>
        </w:rPr>
        <w:t>年，公司将通过智慧校园应用解决方案、智慧校园云平台整体解决方案及智慧政企应用解决方案</w:t>
      </w:r>
      <w:r>
        <w:rPr/>
        <w:t> </w:t>
      </w:r>
      <w:r>
        <w:rPr>
          <w:spacing w:val="-1"/>
        </w:rPr>
        <w:t>内涵拓展及应用迭代升级，向客户进行科技赋能，为客户提供产业互联网科技服务、物联网科技服务。与</w:t>
      </w:r>
      <w:r>
        <w:rPr>
          <w:spacing w:val="-82"/>
        </w:rPr>
        <w:t> </w:t>
      </w:r>
      <w:r>
        <w:rPr>
          <w:spacing w:val="-82"/>
        </w:rPr>
      </w:r>
      <w:r>
        <w:rPr>
          <w:spacing w:val="-1"/>
        </w:rPr>
        <w:t>此同时，公司将战略性地继续向智慧教育领域延伸，利用资源优势快速抢占市场，构建起这一领域的竞争</w:t>
      </w:r>
      <w:r>
        <w:rPr>
          <w:spacing w:val="-83"/>
        </w:rPr>
        <w:t> </w:t>
      </w:r>
      <w:r>
        <w:rPr>
          <w:spacing w:val="-83"/>
        </w:rPr>
      </w:r>
      <w:r>
        <w:rPr>
          <w:spacing w:val="-1"/>
        </w:rPr>
        <w:t>力。同时，携长期在校园内积累的技术、经验、能力，以机制创新和开放合作举措继续往其他行业的信息</w:t>
      </w:r>
      <w:r>
        <w:rPr>
          <w:spacing w:val="-82"/>
        </w:rPr>
        <w:t> </w:t>
      </w:r>
      <w:r>
        <w:rPr>
          <w:spacing w:val="-82"/>
        </w:rPr>
      </w:r>
      <w:r>
        <w:rPr/>
        <w:t>化领域覆盖，成为前沿新兴技术多元化的信息化智慧解决方案的提供商。</w:t>
      </w:r>
    </w:p>
    <w:p>
      <w:pPr>
        <w:pStyle w:val="Heading3"/>
        <w:spacing w:line="240" w:lineRule="auto" w:before="50"/>
        <w:ind w:left="574" w:right="1113"/>
        <w:jc w:val="left"/>
        <w:rPr>
          <w:b w:val="0"/>
          <w:bCs w:val="0"/>
        </w:rPr>
      </w:pPr>
      <w:r>
        <w:rPr>
          <w:rFonts w:ascii="Times New Roman" w:hAnsi="Times New Roman" w:cs="Times New Roman" w:eastAsia="Times New Roman" w:hint="default"/>
        </w:rPr>
        <w:t>1</w:t>
      </w:r>
      <w:r>
        <w:rPr/>
        <w:t>、抓住机遇，大力拓展智慧校园应用解决方案及智慧校园云平台整体解决方案建设</w:t>
      </w:r>
      <w:r>
        <w:rPr>
          <w:b w:val="0"/>
          <w:bCs w:val="0"/>
        </w:rPr>
      </w:r>
    </w:p>
    <w:p>
      <w:pPr>
        <w:pStyle w:val="BodyText"/>
        <w:spacing w:line="386" w:lineRule="auto" w:before="177"/>
        <w:ind w:right="1108" w:firstLine="420"/>
        <w:jc w:val="both"/>
      </w:pPr>
      <w:r>
        <w:rPr>
          <w:rFonts w:ascii="Times New Roman" w:hAnsi="Times New Roman" w:cs="Times New Roman" w:eastAsia="Times New Roman" w:hint="default"/>
        </w:rPr>
        <w:t>2020</w:t>
      </w:r>
      <w:r>
        <w:rPr/>
        <w:t>年，公司将全面推进双中台产品战略，大力响应教育行业综合信息化建设需求和行业指导政策， 通过组织中台和产品中台转型，加速推进全校园智慧校园解决方案、教育行业云智慧校园解决方案。</w:t>
      </w:r>
    </w:p>
    <w:p>
      <w:pPr>
        <w:pStyle w:val="BodyText"/>
        <w:spacing w:line="408" w:lineRule="auto" w:before="65"/>
        <w:ind w:right="1021" w:firstLine="420"/>
        <w:jc w:val="left"/>
      </w:pPr>
      <w:r>
        <w:rPr/>
        <w:t>通过组织机构变革，建立高校解决方案中心、中职解决方案中心、普教解决方案中心、教育行业云解 决方案中心四大中台组织，引领全国分公司及办事处开展价值营销体系服务。同时成立集团技术管理委员 会和共享技术团队，加大公共技术、基础平台技术研究，输出基于支付机构金融科技的聚合支付、基于区 </w:t>
      </w:r>
      <w:r>
        <w:rPr>
          <w:spacing w:val="-3"/>
        </w:rPr>
        <w:t>块链的交易账本、基于国密的双离线码软硬件技术、基于智能硬件开发平台、基于互联网架构的用户中心、</w:t>
      </w:r>
      <w:r>
        <w:rPr>
          <w:spacing w:val="-90"/>
        </w:rPr>
        <w:t> </w:t>
      </w:r>
      <w:r>
        <w:rPr>
          <w:spacing w:val="-90"/>
        </w:rPr>
      </w:r>
      <w:r>
        <w:rPr/>
        <w:t>基于物联网技术的物联运营中心、基于微服务技术框架开放产品中台架构、基于大数据处理技术的数据中</w:t>
      </w:r>
    </w:p>
    <w:p>
      <w:pPr>
        <w:spacing w:after="0" w:line="408"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386" w:lineRule="auto" w:before="35"/>
        <w:ind w:left="573" w:right="1113" w:hanging="420"/>
        <w:jc w:val="left"/>
      </w:pPr>
      <w:r>
        <w:rPr/>
        <w:t>台产品等智慧校园公共业务组件，追求基于卓越</w:t>
      </w:r>
      <w:r>
        <w:rPr>
          <w:rFonts w:ascii="Times New Roman" w:hAnsi="Times New Roman" w:cs="Times New Roman" w:eastAsia="Times New Roman" w:hint="default"/>
        </w:rPr>
        <w:t>ICT</w:t>
      </w:r>
      <w:r>
        <w:rPr/>
        <w:t>技术的智慧化校园解决方案设计和产品实现。 </w:t>
      </w:r>
      <w:r>
        <w:rPr>
          <w:spacing w:val="-1"/>
        </w:rPr>
        <w:t>基于智慧校园总体框架，以支付、核身、物联、能源、数据分析等场景为核心，遵循深化应用、融合</w:t>
      </w:r>
    </w:p>
    <w:p>
      <w:pPr>
        <w:pStyle w:val="BodyText"/>
        <w:spacing w:line="403" w:lineRule="auto" w:before="65"/>
        <w:ind w:left="153" w:right="1108"/>
        <w:jc w:val="both"/>
      </w:pPr>
      <w:r>
        <w:rPr/>
        <w:t>创新的理念，通过数据中台、业务中台、技术中台能力，持续拓展公司在智慧环境建设、智慧生活服务、 </w:t>
      </w:r>
      <w:r>
        <w:rPr>
          <w:spacing w:val="-1"/>
        </w:rPr>
        <w:t>智慧校务治理、数据辅助决策等业务领域的产品与服务深度，形成云服务为基础设施、技术中台与数据中</w:t>
      </w:r>
      <w:r>
        <w:rPr>
          <w:spacing w:val="-83"/>
        </w:rPr>
        <w:t> </w:t>
      </w:r>
      <w:r>
        <w:rPr>
          <w:spacing w:val="-83"/>
        </w:rPr>
      </w:r>
      <w:r>
        <w:rPr/>
        <w:t>台为基础平台、统筹人</w:t>
      </w:r>
      <w:r>
        <w:rPr>
          <w:rFonts w:ascii="Times New Roman" w:hAnsi="Times New Roman" w:cs="Times New Roman" w:eastAsia="Times New Roman" w:hint="default"/>
        </w:rPr>
        <w:t>&amp;</w:t>
      </w:r>
      <w:r>
        <w:rPr/>
        <w:t>物</w:t>
      </w:r>
      <w:r>
        <w:rPr>
          <w:rFonts w:ascii="Times New Roman" w:hAnsi="Times New Roman" w:cs="Times New Roman" w:eastAsia="Times New Roman" w:hint="default"/>
        </w:rPr>
        <w:t>&amp;</w:t>
      </w:r>
      <w:r>
        <w:rPr/>
        <w:t>业务的业务系统以及数据辅助决策系统的建设路径，支持学校自建、教育集</w:t>
      </w:r>
      <w:r>
        <w:rPr>
          <w:spacing w:val="-46"/>
        </w:rPr>
        <w:t> </w:t>
      </w:r>
      <w:r>
        <w:rPr>
          <w:spacing w:val="-46"/>
        </w:rPr>
      </w:r>
      <w:r>
        <w:rPr>
          <w:spacing w:val="-1"/>
        </w:rPr>
        <w:t>团私有云、区域教育云、银行金融云等多种构建模式，为学校输出面向人才培养、科学研究、校园管理决</w:t>
      </w:r>
      <w:r>
        <w:rPr>
          <w:spacing w:val="-83"/>
        </w:rPr>
        <w:t> </w:t>
      </w:r>
      <w:r>
        <w:rPr>
          <w:spacing w:val="-83"/>
        </w:rPr>
      </w:r>
      <w:r>
        <w:rPr/>
        <w:t>策、生活服务、社会服务、文化传承创新的智慧校园最佳实践方案，助力教育行业信息化发展。</w:t>
      </w:r>
    </w:p>
    <w:p>
      <w:pPr>
        <w:pStyle w:val="BodyText"/>
        <w:spacing w:line="398" w:lineRule="auto" w:before="50"/>
        <w:ind w:left="153" w:right="1128" w:firstLine="420"/>
        <w:jc w:val="both"/>
      </w:pPr>
      <w:r>
        <w:rPr>
          <w:spacing w:val="-1"/>
        </w:rPr>
        <w:t>在产品中台建设方面，公司提出智慧校园建设方法论，推进客户在智慧校园框架下，通过应用新技术</w:t>
      </w:r>
      <w:r>
        <w:rPr/>
        <w:t> </w:t>
      </w:r>
      <w:r>
        <w:rPr>
          <w:spacing w:val="-1"/>
        </w:rPr>
        <w:t>要素，按自身信息化建设现状分主题建设分场景上线，让智慧校园建设更简单。面向高校智慧校园业务融</w:t>
      </w:r>
      <w:r>
        <w:rPr>
          <w:spacing w:val="-83"/>
        </w:rPr>
        <w:t> </w:t>
      </w:r>
      <w:r>
        <w:rPr>
          <w:spacing w:val="-83"/>
        </w:rPr>
      </w:r>
      <w:r>
        <w:rPr>
          <w:spacing w:val="-2"/>
        </w:rPr>
        <w:t>合创新建设需求，用</w:t>
      </w:r>
      <w:r>
        <w:rPr>
          <w:rFonts w:ascii="Times New Roman" w:hAnsi="Times New Roman" w:cs="Times New Roman" w:eastAsia="Times New Roman" w:hint="default"/>
          <w:spacing w:val="-2"/>
        </w:rPr>
        <w:t>“</w:t>
      </w:r>
      <w:r>
        <w:rPr>
          <w:spacing w:val="-2"/>
        </w:rPr>
        <w:t>一朵私有云</w:t>
      </w:r>
      <w:r>
        <w:rPr>
          <w:rFonts w:ascii="Times New Roman" w:hAnsi="Times New Roman" w:cs="Times New Roman" w:eastAsia="Times New Roman" w:hint="default"/>
          <w:spacing w:val="-2"/>
        </w:rPr>
        <w:t>”+</w:t>
      </w:r>
      <w:r>
        <w:rPr>
          <w:spacing w:val="-2"/>
        </w:rPr>
        <w:t>技术中台</w:t>
      </w:r>
      <w:r>
        <w:rPr>
          <w:rFonts w:ascii="Times New Roman" w:hAnsi="Times New Roman" w:cs="Times New Roman" w:eastAsia="Times New Roman" w:hint="default"/>
          <w:spacing w:val="-2"/>
        </w:rPr>
        <w:t>*</w:t>
      </w:r>
      <w:r>
        <w:rPr>
          <w:spacing w:val="-2"/>
        </w:rPr>
        <w:t>业务中台</w:t>
      </w:r>
      <w:r>
        <w:rPr>
          <w:rFonts w:ascii="Times New Roman" w:hAnsi="Times New Roman" w:cs="Times New Roman" w:eastAsia="Times New Roman" w:hint="default"/>
          <w:spacing w:val="-2"/>
        </w:rPr>
        <w:t>+</w:t>
      </w:r>
      <w:r>
        <w:rPr>
          <w:spacing w:val="-2"/>
        </w:rPr>
        <w:t>人</w:t>
      </w:r>
      <w:r>
        <w:rPr>
          <w:rFonts w:ascii="Times New Roman" w:hAnsi="Times New Roman" w:cs="Times New Roman" w:eastAsia="Times New Roman" w:hint="default"/>
          <w:spacing w:val="-2"/>
        </w:rPr>
        <w:t>&amp;</w:t>
      </w:r>
      <w:r>
        <w:rPr>
          <w:spacing w:val="-2"/>
        </w:rPr>
        <w:t>业务</w:t>
      </w:r>
      <w:r>
        <w:rPr>
          <w:rFonts w:ascii="Times New Roman" w:hAnsi="Times New Roman" w:cs="Times New Roman" w:eastAsia="Times New Roman" w:hint="default"/>
          <w:spacing w:val="-2"/>
        </w:rPr>
        <w:t>&amp;</w:t>
      </w:r>
      <w:r>
        <w:rPr>
          <w:spacing w:val="-2"/>
        </w:rPr>
        <w:t>物数字桌面的</w:t>
      </w:r>
      <w:r>
        <w:rPr>
          <w:rFonts w:ascii="Times New Roman" w:hAnsi="Times New Roman" w:cs="Times New Roman" w:eastAsia="Times New Roman" w:hint="default"/>
          <w:spacing w:val="-2"/>
        </w:rPr>
        <w:t>“1+N</w:t>
      </w:r>
      <w:r>
        <w:rPr>
          <w:rFonts w:ascii="Times New Roman" w:hAnsi="Times New Roman" w:cs="Times New Roman" w:eastAsia="Times New Roman" w:hint="default"/>
          <w:spacing w:val="-2"/>
          <w:position w:val="10"/>
          <w:sz w:val="14"/>
          <w:szCs w:val="14"/>
        </w:rPr>
        <w:t>2</w:t>
      </w:r>
      <w:r>
        <w:rPr>
          <w:rFonts w:ascii="Times New Roman" w:hAnsi="Times New Roman" w:cs="Times New Roman" w:eastAsia="Times New Roman" w:hint="default"/>
          <w:spacing w:val="-2"/>
        </w:rPr>
        <w:t>+3”</w:t>
      </w:r>
      <w:r>
        <w:rPr>
          <w:spacing w:val="-2"/>
        </w:rPr>
        <w:t>建设方案，满足</w:t>
      </w:r>
      <w:r>
        <w:rPr>
          <w:spacing w:val="-62"/>
        </w:rPr>
        <w:t> </w:t>
      </w:r>
      <w:r>
        <w:rPr>
          <w:spacing w:val="-62"/>
        </w:rPr>
      </w:r>
      <w:r>
        <w:rPr>
          <w:spacing w:val="-1"/>
        </w:rPr>
        <w:t>客户综合信息化基础设施能力共享、业务广泛联动、可持续化迭代，边缘应用场景持续丰富的需求。面向</w:t>
      </w:r>
      <w:r>
        <w:rPr>
          <w:spacing w:val="-82"/>
        </w:rPr>
        <w:t> </w:t>
      </w:r>
      <w:r>
        <w:rPr>
          <w:spacing w:val="-82"/>
        </w:rPr>
      </w:r>
      <w:r>
        <w:rPr/>
        <w:t>中职客户，推进物联应用群</w:t>
      </w:r>
      <w:r>
        <w:rPr>
          <w:rFonts w:ascii="Times New Roman" w:hAnsi="Times New Roman" w:cs="Times New Roman" w:eastAsia="Times New Roman" w:hint="default"/>
        </w:rPr>
        <w:t>+</w:t>
      </w:r>
      <w:r>
        <w:rPr/>
        <w:t>互联网应用群</w:t>
      </w:r>
      <w:r>
        <w:rPr>
          <w:rFonts w:ascii="Times New Roman" w:hAnsi="Times New Roman" w:cs="Times New Roman" w:eastAsia="Times New Roman" w:hint="default"/>
        </w:rPr>
        <w:t>+</w:t>
      </w:r>
      <w:r>
        <w:rPr/>
        <w:t>教育厅局驾驶舱的</w:t>
      </w:r>
      <w:r>
        <w:rPr>
          <w:rFonts w:ascii="Times New Roman" w:hAnsi="Times New Roman" w:cs="Times New Roman" w:eastAsia="Times New Roman" w:hint="default"/>
        </w:rPr>
        <w:t>“2N+1”</w:t>
      </w:r>
      <w:r>
        <w:rPr/>
        <w:t>建设方案，满足客户</w:t>
      </w:r>
      <w:r>
        <w:rPr>
          <w:rFonts w:ascii="Times New Roman" w:hAnsi="Times New Roman" w:cs="Times New Roman" w:eastAsia="Times New Roman" w:hint="default"/>
        </w:rPr>
        <w:t>“</w:t>
      </w:r>
      <w:r>
        <w:rPr/>
        <w:t>以评促建，建</w:t>
      </w:r>
      <w:r>
        <w:rPr>
          <w:spacing w:val="-82"/>
        </w:rPr>
        <w:t> </w:t>
      </w:r>
      <w:r>
        <w:rPr>
          <w:spacing w:val="-82"/>
        </w:rPr>
      </w:r>
      <w:r>
        <w:rPr/>
        <w:t>好更要用好</w:t>
      </w:r>
      <w:r>
        <w:rPr>
          <w:rFonts w:ascii="Times New Roman" w:hAnsi="Times New Roman" w:cs="Times New Roman" w:eastAsia="Times New Roman" w:hint="default"/>
        </w:rPr>
        <w:t>”</w:t>
      </w:r>
      <w:r>
        <w:rPr/>
        <w:t>的需求。面向中学客户，推进物联平台</w:t>
      </w:r>
      <w:r>
        <w:rPr>
          <w:rFonts w:ascii="Times New Roman" w:hAnsi="Times New Roman" w:cs="Times New Roman" w:eastAsia="Times New Roman" w:hint="default"/>
        </w:rPr>
        <w:t>+</w:t>
      </w:r>
      <w:r>
        <w:rPr/>
        <w:t>互联平台</w:t>
      </w:r>
      <w:r>
        <w:rPr>
          <w:rFonts w:ascii="Times New Roman" w:hAnsi="Times New Roman" w:cs="Times New Roman" w:eastAsia="Times New Roman" w:hint="default"/>
        </w:rPr>
        <w:t>+</w:t>
      </w:r>
      <w:r>
        <w:rPr/>
        <w:t>数字化应用群</w:t>
      </w:r>
      <w:r>
        <w:rPr>
          <w:rFonts w:ascii="Times New Roman" w:hAnsi="Times New Roman" w:cs="Times New Roman" w:eastAsia="Times New Roman" w:hint="default"/>
        </w:rPr>
        <w:t>+</w:t>
      </w:r>
      <w:r>
        <w:rPr/>
        <w:t>一云多端的</w:t>
      </w:r>
      <w:r>
        <w:rPr>
          <w:rFonts w:ascii="Times New Roman" w:hAnsi="Times New Roman" w:cs="Times New Roman" w:eastAsia="Times New Roman" w:hint="default"/>
        </w:rPr>
        <w:t>“2+N+1”</w:t>
      </w:r>
      <w:r>
        <w:rPr/>
        <w:t>建设方</w:t>
      </w:r>
      <w:r>
        <w:rPr>
          <w:spacing w:val="1"/>
        </w:rPr>
        <w:t> </w:t>
      </w:r>
      <w:r>
        <w:rPr/>
        <w:t>案，满足广大中学</w:t>
      </w:r>
      <w:r>
        <w:rPr>
          <w:rFonts w:ascii="Times New Roman" w:hAnsi="Times New Roman" w:cs="Times New Roman" w:eastAsia="Times New Roman" w:hint="default"/>
        </w:rPr>
        <w:t>“</w:t>
      </w:r>
      <w:r>
        <w:rPr/>
        <w:t>健康安全，信息素养，以德树人</w:t>
      </w:r>
      <w:r>
        <w:rPr>
          <w:rFonts w:ascii="Times New Roman" w:hAnsi="Times New Roman" w:cs="Times New Roman" w:eastAsia="Times New Roman" w:hint="default"/>
        </w:rPr>
        <w:t>”</w:t>
      </w:r>
      <w:r>
        <w:rPr/>
        <w:t>的数字化需求，最终也可以为银行、教育集团、教育 </w:t>
      </w:r>
      <w:r>
        <w:rPr>
          <w:spacing w:val="-1"/>
        </w:rPr>
        <w:t>厅局、互联网厂商等合作共建，通过云平台或者云客户接入模式，满足教育行业客户多样化建设场景和合</w:t>
      </w:r>
      <w:r>
        <w:rPr>
          <w:spacing w:val="-83"/>
        </w:rPr>
        <w:t> </w:t>
      </w:r>
      <w:r>
        <w:rPr>
          <w:spacing w:val="-83"/>
        </w:rPr>
      </w:r>
      <w:r>
        <w:rPr/>
        <w:t>作方运营需求。</w:t>
      </w:r>
    </w:p>
    <w:p>
      <w:pPr>
        <w:pStyle w:val="BodyText"/>
        <w:spacing w:line="393" w:lineRule="auto" w:before="54"/>
        <w:ind w:left="153" w:right="1125" w:firstLine="42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月，公司、上海云鑫、完美数联签署了业务合作协议，全方位深化合作，携手打造校园新生 </w:t>
      </w:r>
      <w:r>
        <w:rPr>
          <w:spacing w:val="-1"/>
        </w:rPr>
        <w:t>态。自合作以来，公司基于其在教育行业的客户资源优势、应用场景优势、服务体系优势、物联网技术优</w:t>
      </w:r>
      <w:r>
        <w:rPr>
          <w:spacing w:val="-83"/>
        </w:rPr>
        <w:t> </w:t>
      </w:r>
      <w:r>
        <w:rPr>
          <w:spacing w:val="-83"/>
        </w:rPr>
      </w:r>
      <w:r>
        <w:rPr>
          <w:spacing w:val="-7"/>
        </w:rPr>
        <w:t>势等，助力蚂蚁金服在教育行业的快速拓展和应用场景落地，促进蚂蚁金服</w:t>
      </w:r>
      <w:r>
        <w:rPr>
          <w:rFonts w:ascii="Times New Roman" w:hAnsi="Times New Roman" w:cs="Times New Roman" w:eastAsia="Times New Roman" w:hint="default"/>
          <w:spacing w:val="-7"/>
        </w:rPr>
        <w:t>“</w:t>
      </w:r>
      <w:r>
        <w:rPr>
          <w:spacing w:val="-7"/>
        </w:rPr>
        <w:t>新生活、新成长、新服务</w:t>
      </w:r>
      <w:r>
        <w:rPr>
          <w:rFonts w:ascii="Times New Roman" w:hAnsi="Times New Roman" w:cs="Times New Roman" w:eastAsia="Times New Roman" w:hint="default"/>
          <w:spacing w:val="-7"/>
        </w:rPr>
        <w:t>”</w:t>
      </w:r>
      <w:r>
        <w:rPr>
          <w:spacing w:val="-7"/>
        </w:rPr>
        <w:t>的</w:t>
      </w:r>
      <w:r>
        <w:rPr>
          <w:rFonts w:ascii="Times New Roman" w:hAnsi="Times New Roman" w:cs="Times New Roman" w:eastAsia="Times New Roman" w:hint="default"/>
          <w:spacing w:val="-7"/>
        </w:rPr>
        <w:t>“</w:t>
      </w:r>
      <w:r>
        <w:rPr>
          <w:spacing w:val="-7"/>
        </w:rPr>
        <w:t>未</w:t>
      </w:r>
      <w:r>
        <w:rPr>
          <w:spacing w:val="-67"/>
        </w:rPr>
        <w:t> </w:t>
      </w:r>
      <w:r>
        <w:rPr/>
        <w:t>来校园</w:t>
      </w:r>
      <w:r>
        <w:rPr>
          <w:rFonts w:ascii="Times New Roman" w:hAnsi="Times New Roman" w:cs="Times New Roman" w:eastAsia="Times New Roman" w:hint="default"/>
        </w:rPr>
        <w:t>”</w:t>
      </w:r>
      <w:r>
        <w:rPr/>
        <w:t>快速实现。同时，蚂蚁金服基于其互联网资源、运营经验及产业技术优势向公司赋能，助力公司</w:t>
      </w:r>
      <w:r>
        <w:rPr>
          <w:spacing w:val="-23"/>
        </w:rPr>
        <w:t> </w:t>
      </w:r>
      <w:r>
        <w:rPr>
          <w:spacing w:val="-23"/>
        </w:rPr>
      </w:r>
      <w:r>
        <w:rPr>
          <w:spacing w:val="-1"/>
        </w:rPr>
        <w:t>提升智慧校园、智慧教育产品和服务能力，以及公司产业互联网平台、</w:t>
      </w:r>
      <w:r>
        <w:rPr>
          <w:rFonts w:ascii="Times New Roman" w:hAnsi="Times New Roman" w:cs="Times New Roman" w:eastAsia="Times New Roman" w:hint="default"/>
          <w:spacing w:val="-1"/>
        </w:rPr>
        <w:t>SaaS</w:t>
      </w:r>
      <w:r>
        <w:rPr>
          <w:spacing w:val="-1"/>
        </w:rPr>
        <w:t>服务及智能终端系列产品的创</w:t>
      </w:r>
      <w:r>
        <w:rPr>
          <w:spacing w:val="-82"/>
        </w:rPr>
        <w:t> </w:t>
      </w:r>
      <w:r>
        <w:rPr>
          <w:spacing w:val="-1"/>
        </w:rPr>
        <w:t>新能力和运营能力，帮助公司快速转型教育产业互联网、物联网科技服务公司。未来，双方将进一步深化</w:t>
      </w:r>
      <w:r>
        <w:rPr>
          <w:spacing w:val="-82"/>
        </w:rPr>
        <w:t> </w:t>
      </w:r>
      <w:r>
        <w:rPr>
          <w:spacing w:val="-82"/>
        </w:rPr>
      </w:r>
      <w:r>
        <w:rPr/>
        <w:t>合作，资源共享，协同发展。</w:t>
      </w:r>
    </w:p>
    <w:p>
      <w:pPr>
        <w:pStyle w:val="Heading3"/>
        <w:spacing w:line="240" w:lineRule="auto" w:before="59"/>
        <w:ind w:left="573" w:right="1113"/>
        <w:jc w:val="left"/>
        <w:rPr>
          <w:b w:val="0"/>
          <w:bCs w:val="0"/>
        </w:rPr>
      </w:pPr>
      <w:r>
        <w:rPr>
          <w:rFonts w:ascii="Times New Roman" w:hAnsi="Times New Roman" w:cs="Times New Roman" w:eastAsia="Times New Roman" w:hint="default"/>
        </w:rPr>
        <w:t>2</w:t>
      </w:r>
      <w:r>
        <w:rPr/>
        <w:t>、科技赋能教育，优化沉浸式教学体验</w:t>
      </w:r>
      <w:r>
        <w:rPr>
          <w:b w:val="0"/>
          <w:bCs w:val="0"/>
        </w:rPr>
      </w:r>
    </w:p>
    <w:p>
      <w:pPr>
        <w:pStyle w:val="BodyText"/>
        <w:spacing w:line="393" w:lineRule="auto" w:before="177"/>
        <w:ind w:left="153" w:right="1130" w:firstLine="420"/>
        <w:jc w:val="both"/>
      </w:pPr>
      <w:r>
        <w:rPr>
          <w:rFonts w:ascii="Times New Roman" w:hAnsi="Times New Roman" w:cs="Times New Roman" w:eastAsia="Times New Roman" w:hint="default"/>
          <w:spacing w:val="-1"/>
        </w:rPr>
        <w:t>2020</w:t>
      </w:r>
      <w:r>
        <w:rPr>
          <w:spacing w:val="-1"/>
        </w:rPr>
        <w:t>年度，公司将抓住高校新增专业建设的机会，借助公司已积累的数据科学与大数据技术、虚拟现</w:t>
      </w:r>
      <w:r>
        <w:rPr/>
        <w:t> </w:t>
      </w:r>
      <w:r>
        <w:rPr>
          <w:spacing w:val="-1"/>
        </w:rPr>
        <w:t>实应用技术专业实验室建设能力以及</w:t>
      </w:r>
      <w:r>
        <w:rPr>
          <w:rFonts w:ascii="Times New Roman" w:hAnsi="Times New Roman" w:cs="Times New Roman" w:eastAsia="Times New Roman" w:hint="default"/>
          <w:spacing w:val="-1"/>
        </w:rPr>
        <w:t>IT</w:t>
      </w:r>
      <w:r>
        <w:rPr>
          <w:spacing w:val="-1"/>
        </w:rPr>
        <w:t>职业教育服务能力，继续拓展计算机科学（系统能力方向）人工智</w:t>
      </w:r>
      <w:r>
        <w:rPr>
          <w:spacing w:val="-71"/>
        </w:rPr>
        <w:t> </w:t>
      </w:r>
      <w:r>
        <w:rPr>
          <w:spacing w:val="-71"/>
        </w:rPr>
      </w:r>
      <w:r>
        <w:rPr>
          <w:spacing w:val="-1"/>
        </w:rPr>
        <w:t>能、智能科学与技术、机器人工程等专业实验室产品，通过全国销售体系协同，为更多高校提供实验室产</w:t>
      </w:r>
      <w:r>
        <w:rPr>
          <w:spacing w:val="-82"/>
        </w:rPr>
        <w:t> </w:t>
      </w:r>
      <w:r>
        <w:rPr>
          <w:spacing w:val="-82"/>
        </w:rPr>
      </w:r>
      <w:r>
        <w:rPr/>
        <w:t>品、教学课程案例资源、培训服务为一体的专业建设解决方案。</w:t>
      </w:r>
    </w:p>
    <w:p>
      <w:pPr>
        <w:pStyle w:val="BodyText"/>
        <w:spacing w:line="386" w:lineRule="auto" w:before="59"/>
        <w:ind w:left="153" w:right="1084" w:firstLine="420"/>
        <w:jc w:val="both"/>
      </w:pPr>
      <w:r>
        <w:rPr/>
        <w:t>公司响应</w:t>
      </w:r>
      <w:r>
        <w:rPr>
          <w:rFonts w:ascii="Times New Roman" w:hAnsi="Times New Roman" w:cs="Times New Roman" w:eastAsia="Times New Roman" w:hint="default"/>
        </w:rPr>
        <w:t>5G+</w:t>
      </w:r>
      <w:r>
        <w:rPr/>
        <w:t>智慧教育示范项目建设号召，结合教育科技</w:t>
      </w:r>
      <w:r>
        <w:rPr>
          <w:rFonts w:ascii="Times New Roman" w:hAnsi="Times New Roman" w:cs="Times New Roman" w:eastAsia="Times New Roman" w:hint="default"/>
        </w:rPr>
        <w:t>webVR</w:t>
      </w:r>
      <w:r>
        <w:rPr/>
        <w:t>技术与公司智慧校园整体解决方案优 势，进一步升级校园云平台解决方案，助力高校构建校级</w:t>
      </w:r>
      <w:r>
        <w:rPr>
          <w:rFonts w:ascii="Times New Roman" w:hAnsi="Times New Roman" w:cs="Times New Roman" w:eastAsia="Times New Roman" w:hint="default"/>
        </w:rPr>
        <w:t>5G+WebVR</w:t>
      </w:r>
      <w:r>
        <w:rPr/>
        <w:t>私有云平台，打造</w:t>
      </w:r>
      <w:r>
        <w:rPr>
          <w:rFonts w:ascii="Times New Roman" w:hAnsi="Times New Roman" w:cs="Times New Roman" w:eastAsia="Times New Roman" w:hint="default"/>
        </w:rPr>
        <w:t>webVR</w:t>
      </w:r>
      <w:r>
        <w:rPr/>
        <w:t>展示中心、</w:t>
      </w:r>
    </w:p>
    <w:p>
      <w:pPr>
        <w:spacing w:after="0" w:line="386" w:lineRule="auto"/>
        <w:jc w:val="both"/>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400" w:lineRule="auto" w:before="35"/>
        <w:ind w:right="1129" w:hanging="1"/>
        <w:jc w:val="both"/>
      </w:pPr>
      <w:r>
        <w:rPr>
          <w:rFonts w:ascii="Times New Roman" w:hAnsi="Times New Roman" w:cs="Times New Roman" w:eastAsia="Times New Roman" w:hint="default"/>
        </w:rPr>
        <w:t>VR</w:t>
      </w:r>
      <w:r>
        <w:rPr/>
        <w:t>仿真教学中心、虚拟现实技术实验室、</w:t>
      </w:r>
      <w:r>
        <w:rPr>
          <w:rFonts w:ascii="Times New Roman" w:hAnsi="Times New Roman" w:cs="Times New Roman" w:eastAsia="Times New Roman" w:hint="default"/>
        </w:rPr>
        <w:t>VR</w:t>
      </w:r>
      <w:r>
        <w:rPr/>
        <w:t>直播平台、</w:t>
      </w:r>
      <w:r>
        <w:rPr>
          <w:rFonts w:ascii="Times New Roman" w:hAnsi="Times New Roman" w:cs="Times New Roman" w:eastAsia="Times New Roman" w:hint="default"/>
        </w:rPr>
        <w:t>webVR</w:t>
      </w:r>
      <w:r>
        <w:rPr/>
        <w:t>快速开发平台等应用，为打造</w:t>
      </w:r>
      <w:r>
        <w:rPr>
          <w:rFonts w:ascii="Times New Roman" w:hAnsi="Times New Roman" w:cs="Times New Roman" w:eastAsia="Times New Roman" w:hint="default"/>
        </w:rPr>
        <w:t>5G+webVR</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spacing w:val="-1"/>
        </w:rPr>
        <w:t>沉浸式教学方式提供一站式解决方案。同时公司将继续密切关注高校专业发展动向和用户需求，牢牢把握</w:t>
      </w:r>
      <w:r>
        <w:rPr>
          <w:spacing w:val="-82"/>
        </w:rPr>
        <w:t> </w:t>
      </w:r>
      <w:r>
        <w:rPr>
          <w:spacing w:val="-82"/>
        </w:rPr>
      </w:r>
      <w:r>
        <w:rPr>
          <w:spacing w:val="-1"/>
        </w:rPr>
        <w:t>信息技术、智能制造相关专业教学实训设备的发展趋势，积极做好新产品研发和技术储备工作，完善人才</w:t>
      </w:r>
      <w:r>
        <w:rPr>
          <w:spacing w:val="-84"/>
        </w:rPr>
        <w:t> </w:t>
      </w:r>
      <w:r>
        <w:rPr>
          <w:spacing w:val="-84"/>
        </w:rPr>
      </w:r>
      <w:r>
        <w:rPr/>
        <w:t>梯队建设，为产品的不断升级和创新提供强有力的支撑。</w:t>
      </w:r>
    </w:p>
    <w:p>
      <w:pPr>
        <w:spacing w:line="386" w:lineRule="auto" w:before="52"/>
        <w:ind w:left="574" w:right="1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完美校园</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服务升级，打造多应用、多服务的双边型平台</w:t>
      </w:r>
      <w:r>
        <w:rPr>
          <w:rFonts w:ascii="宋体" w:hAnsi="宋体" w:cs="宋体" w:eastAsia="宋体" w:hint="default"/>
          <w:b/>
          <w:bCs/>
          <w:w w:val="99"/>
          <w:sz w:val="21"/>
          <w:szCs w:val="21"/>
        </w:rPr>
        <w:t> </w:t>
      </w:r>
      <w:r>
        <w:rPr>
          <w:rFonts w:ascii="宋体" w:hAnsi="宋体" w:cs="宋体" w:eastAsia="宋体" w:hint="default"/>
          <w:sz w:val="21"/>
          <w:szCs w:val="21"/>
        </w:rPr>
        <w:t>公司自</w:t>
      </w:r>
      <w:r>
        <w:rPr>
          <w:rFonts w:ascii="Times New Roman" w:hAnsi="Times New Roman" w:cs="Times New Roman" w:eastAsia="Times New Roman" w:hint="default"/>
          <w:sz w:val="21"/>
          <w:szCs w:val="21"/>
        </w:rPr>
        <w:t>2014</w:t>
      </w:r>
      <w:r>
        <w:rPr>
          <w:rFonts w:ascii="宋体" w:hAnsi="宋体" w:cs="宋体" w:eastAsia="宋体" w:hint="default"/>
          <w:sz w:val="21"/>
          <w:szCs w:val="21"/>
        </w:rPr>
        <w:t>年推出针对大学生的移动互联网产品</w:t>
      </w:r>
      <w:r>
        <w:rPr>
          <w:rFonts w:ascii="Times New Roman" w:hAnsi="Times New Roman" w:cs="Times New Roman" w:eastAsia="Times New Roman" w:hint="default"/>
          <w:sz w:val="21"/>
          <w:szCs w:val="21"/>
        </w:rPr>
        <w:t>“</w:t>
      </w:r>
      <w:r>
        <w:rPr>
          <w:rFonts w:ascii="宋体" w:hAnsi="宋体" w:cs="宋体" w:eastAsia="宋体" w:hint="default"/>
          <w:sz w:val="21"/>
          <w:szCs w:val="21"/>
        </w:rPr>
        <w:t>完美校园</w:t>
      </w:r>
      <w:r>
        <w:rPr>
          <w:rFonts w:ascii="Times New Roman" w:hAnsi="Times New Roman" w:cs="Times New Roman" w:eastAsia="Times New Roman" w:hint="default"/>
          <w:sz w:val="21"/>
          <w:szCs w:val="21"/>
        </w:rPr>
        <w:t>”</w:t>
      </w:r>
      <w:r>
        <w:rPr>
          <w:rFonts w:ascii="宋体" w:hAnsi="宋体" w:cs="宋体" w:eastAsia="宋体" w:hint="default"/>
          <w:sz w:val="21"/>
          <w:szCs w:val="21"/>
        </w:rPr>
        <w:t>后，创新服务覆盖院校数量和大学生人数</w:t>
      </w:r>
    </w:p>
    <w:p>
      <w:pPr>
        <w:pStyle w:val="BodyText"/>
        <w:spacing w:line="398" w:lineRule="auto" w:before="35"/>
        <w:ind w:right="1025"/>
        <w:jc w:val="both"/>
      </w:pPr>
      <w:r>
        <w:rPr/>
        <w:t>每年均快速增长。近年来，</w:t>
      </w:r>
      <w:r>
        <w:rPr>
          <w:rFonts w:ascii="Times New Roman" w:hAnsi="Times New Roman" w:cs="Times New Roman" w:eastAsia="Times New Roman" w:hint="default"/>
        </w:rPr>
        <w:t>“</w:t>
      </w:r>
      <w:r>
        <w:rPr/>
        <w:t>完美校园</w:t>
      </w:r>
      <w:r>
        <w:rPr>
          <w:rFonts w:ascii="Times New Roman" w:hAnsi="Times New Roman" w:cs="Times New Roman" w:eastAsia="Times New Roman" w:hint="default"/>
        </w:rPr>
        <w:t>”</w:t>
      </w:r>
      <w:r>
        <w:rPr/>
        <w:t>持续深化服务学生的学习生活、校园生活、教育培训、实习就业、 社区服务等方面，助力高校提供更优质的生活管理、教学管理、人才成长管理服务，帮助大学生提升校园 </w:t>
      </w:r>
      <w:r>
        <w:rPr>
          <w:spacing w:val="-3"/>
        </w:rPr>
        <w:t>生活质量、提升就业能力和素质，为高校、企业与社会提供有效的连接平台，成为高校信息化生态共建者。</w:t>
      </w:r>
    </w:p>
    <w:p>
      <w:pPr>
        <w:pStyle w:val="BodyText"/>
        <w:spacing w:line="398" w:lineRule="auto" w:before="54"/>
        <w:ind w:left="153" w:right="1022" w:firstLine="420"/>
        <w:jc w:val="left"/>
      </w:pPr>
      <w:r>
        <w:rPr>
          <w:rFonts w:ascii="Times New Roman" w:hAnsi="Times New Roman" w:cs="Times New Roman" w:eastAsia="Times New Roman" w:hint="default"/>
        </w:rPr>
        <w:t>2020</w:t>
      </w:r>
      <w:r>
        <w:rPr/>
        <w:t>年，完美数联将与持续围绕聚合内容、聚合支付、精准用户服务等业务开展人才成长各项服务升 级，成为链接企业、金融机构、社会产品及增值服务、第三方互联网服务机构及内容服务商与高校、学生 的多应用、多服务的双边型平台。未来，完美数联将继续与阿里系生态企业紧密合作，将完美校园与支付 宝链接，提供多样化的服务，基于</w:t>
      </w:r>
      <w:r>
        <w:rPr>
          <w:rFonts w:ascii="Times New Roman" w:hAnsi="Times New Roman" w:cs="Times New Roman" w:eastAsia="Times New Roman" w:hint="default"/>
        </w:rPr>
        <w:t>“</w:t>
      </w:r>
      <w:r>
        <w:rPr/>
        <w:t>完美校园</w:t>
      </w:r>
      <w:r>
        <w:rPr>
          <w:rFonts w:ascii="Times New Roman" w:hAnsi="Times New Roman" w:cs="Times New Roman" w:eastAsia="Times New Roman" w:hint="default"/>
        </w:rPr>
        <w:t>”</w:t>
      </w:r>
      <w:r>
        <w:rPr/>
        <w:t>产品线积累的移动支付服务、</w:t>
      </w:r>
      <w:r>
        <w:rPr>
          <w:rFonts w:ascii="Times New Roman" w:hAnsi="Times New Roman" w:cs="Times New Roman" w:eastAsia="Times New Roman" w:hint="default"/>
        </w:rPr>
        <w:t>SaaS</w:t>
      </w:r>
      <w:r>
        <w:rPr/>
        <w:t>服务、人才服务，进行</w:t>
      </w:r>
      <w:r>
        <w:rPr>
          <w:rFonts w:ascii="Times New Roman" w:hAnsi="Times New Roman" w:cs="Times New Roman" w:eastAsia="Times New Roman" w:hint="default"/>
        </w:rPr>
        <w:t>B</w:t>
      </w:r>
      <w:r>
        <w:rPr>
          <w:rFonts w:ascii="Times New Roman" w:hAnsi="Times New Roman" w:cs="Times New Roman" w:eastAsia="Times New Roman" w:hint="default"/>
          <w:spacing w:val="5"/>
        </w:rPr>
        <w:t> </w:t>
      </w:r>
      <w:r>
        <w:rPr/>
        <w:t>端、</w:t>
      </w:r>
      <w:r>
        <w:rPr>
          <w:rFonts w:ascii="Times New Roman" w:hAnsi="Times New Roman" w:cs="Times New Roman" w:eastAsia="Times New Roman" w:hint="default"/>
        </w:rPr>
        <w:t>C</w:t>
      </w:r>
      <w:r>
        <w:rPr/>
        <w:t>端的整合营销，实现变现。同时，通过整合行业生态，使</w:t>
      </w:r>
      <w:r>
        <w:rPr>
          <w:rFonts w:ascii="Times New Roman" w:hAnsi="Times New Roman" w:cs="Times New Roman" w:eastAsia="Times New Roman" w:hint="default"/>
        </w:rPr>
        <w:t>“</w:t>
      </w:r>
      <w:r>
        <w:rPr/>
        <w:t>完美校园</w:t>
      </w:r>
      <w:r>
        <w:rPr>
          <w:rFonts w:ascii="Times New Roman" w:hAnsi="Times New Roman" w:cs="Times New Roman" w:eastAsia="Times New Roman" w:hint="default"/>
        </w:rPr>
        <w:t>”</w:t>
      </w:r>
      <w:r>
        <w:rPr/>
        <w:t>成为中国高校大学生官方综合</w:t>
      </w:r>
      <w:r>
        <w:rPr>
          <w:spacing w:val="-53"/>
        </w:rPr>
        <w:t> </w:t>
      </w:r>
      <w:r>
        <w:rPr>
          <w:spacing w:val="-3"/>
        </w:rPr>
        <w:t>服务入口和著名品牌。同时，完美数联将整合业务资源优势，完善产品和技术体系，服务于学生成长过程，</w:t>
      </w:r>
      <w:r>
        <w:rPr>
          <w:spacing w:val="-96"/>
        </w:rPr>
        <w:t> </w:t>
      </w:r>
      <w:r>
        <w:rPr>
          <w:spacing w:val="-96"/>
        </w:rPr>
      </w:r>
      <w:r>
        <w:rPr/>
        <w:t>成为学生立德、树人、成长及人才服务商。完美数联还将整合股东优势，深耕产业互联网，向各类校园输</w:t>
      </w:r>
      <w:r>
        <w:rPr/>
        <w:t> </w:t>
      </w:r>
      <w:r>
        <w:rPr>
          <w:spacing w:val="-3"/>
        </w:rPr>
        <w:t>出先进、安全、可靠的场景化服务及信息化解决方案，夯实数字化场景数据，成为教育信息化综合运营商。</w:t>
      </w:r>
    </w:p>
    <w:p>
      <w:pPr>
        <w:spacing w:line="386" w:lineRule="auto" w:before="54"/>
        <w:ind w:left="573" w:right="111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、智慧校园和智慧政企生态发展业务</w:t>
      </w:r>
      <w:r>
        <w:rPr>
          <w:rFonts w:ascii="宋体" w:hAnsi="宋体" w:cs="宋体" w:eastAsia="宋体" w:hint="default"/>
          <w:b/>
          <w:bCs/>
          <w:w w:val="99"/>
          <w:sz w:val="21"/>
          <w:szCs w:val="21"/>
        </w:rPr>
        <w:t> </w:t>
      </w:r>
      <w:r>
        <w:rPr>
          <w:rFonts w:ascii="宋体" w:hAnsi="宋体" w:cs="宋体" w:eastAsia="宋体" w:hint="default"/>
          <w:spacing w:val="-1"/>
          <w:sz w:val="21"/>
          <w:szCs w:val="21"/>
        </w:rPr>
        <w:t>公司与阿里系蚂蚁金服的深度合作后，未来基于生态发展战略，公司将在企业端充分利用阿里的人脸</w:t>
      </w:r>
    </w:p>
    <w:p>
      <w:pPr>
        <w:pStyle w:val="BodyText"/>
        <w:spacing w:line="408" w:lineRule="auto" w:before="65"/>
        <w:ind w:left="153" w:right="1130"/>
        <w:jc w:val="both"/>
      </w:pPr>
      <w:r>
        <w:rPr>
          <w:spacing w:val="-1"/>
        </w:rPr>
        <w:t>识别技术进行行业全应用扩展；在移动端充分与钉钉融合，在移动办公、企业信息流建设等方面在高端企</w:t>
      </w:r>
      <w:r>
        <w:rPr>
          <w:spacing w:val="-83"/>
        </w:rPr>
        <w:t> </w:t>
      </w:r>
      <w:r>
        <w:rPr>
          <w:spacing w:val="-83"/>
        </w:rPr>
      </w:r>
      <w:r>
        <w:rPr>
          <w:spacing w:val="-1"/>
        </w:rPr>
        <w:t>业等进行重点合作；结合公司在校园的人才战略，企业将充分打通高校、就业、信息化三位一体的生态融</w:t>
      </w:r>
      <w:r>
        <w:rPr>
          <w:spacing w:val="-82"/>
        </w:rPr>
        <w:t> </w:t>
      </w:r>
      <w:r>
        <w:rPr>
          <w:spacing w:val="-82"/>
        </w:rPr>
      </w:r>
      <w:r>
        <w:rPr/>
        <w:t>合。</w:t>
      </w:r>
    </w:p>
    <w:p>
      <w:pPr>
        <w:spacing w:line="386" w:lineRule="auto" w:before="46"/>
        <w:ind w:left="574" w:right="1123"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、在产品研发、激励机制、人才成长机制上，不断提升公司的综合竞争力</w:t>
      </w:r>
      <w:r>
        <w:rPr>
          <w:rFonts w:ascii="宋体" w:hAnsi="宋体" w:cs="宋体" w:eastAsia="宋体" w:hint="default"/>
          <w:b/>
          <w:bCs/>
          <w:w w:val="99"/>
          <w:sz w:val="21"/>
          <w:szCs w:val="21"/>
        </w:rPr>
        <w:t> </w:t>
      </w:r>
      <w:r>
        <w:rPr>
          <w:rFonts w:ascii="宋体" w:hAnsi="宋体" w:cs="宋体" w:eastAsia="宋体" w:hint="default"/>
          <w:spacing w:val="-1"/>
          <w:sz w:val="21"/>
          <w:szCs w:val="21"/>
        </w:rPr>
        <w:t>公司将紧跟人脸识别、</w:t>
      </w:r>
      <w:r>
        <w:rPr>
          <w:rFonts w:ascii="Times New Roman" w:hAnsi="Times New Roman" w:cs="Times New Roman" w:eastAsia="Times New Roman" w:hint="default"/>
          <w:spacing w:val="-1"/>
          <w:sz w:val="21"/>
          <w:szCs w:val="21"/>
        </w:rPr>
        <w:t>AI</w:t>
      </w:r>
      <w:r>
        <w:rPr>
          <w:rFonts w:ascii="宋体" w:hAnsi="宋体" w:cs="宋体" w:eastAsia="宋体" w:hint="default"/>
          <w:spacing w:val="-1"/>
          <w:sz w:val="21"/>
          <w:szCs w:val="21"/>
        </w:rPr>
        <w:t>、区块链、无人零售等技术趋势的潮流，进行科学的产品规划，以满足客户</w:t>
      </w:r>
    </w:p>
    <w:p>
      <w:pPr>
        <w:pStyle w:val="BodyText"/>
        <w:spacing w:line="396" w:lineRule="auto" w:before="35"/>
        <w:ind w:left="153" w:right="1022"/>
        <w:jc w:val="left"/>
      </w:pPr>
      <w:r>
        <w:rPr/>
        <w:t>不断变动和升级的要求，为公司的下一轮增长做好准备。</w:t>
      </w:r>
      <w:r>
        <w:rPr>
          <w:rFonts w:ascii="Times New Roman" w:hAnsi="Times New Roman" w:cs="Times New Roman" w:eastAsia="Times New Roman" w:hint="default"/>
        </w:rPr>
        <w:t>2019</w:t>
      </w:r>
      <w:r>
        <w:rPr/>
        <w:t>年公司在上海设置了软件研究院，将以智慧 型人才培养、智慧型科学研究、智慧型管理决策、智慧型生活服务为目标，通过开放的服务管理框架、快 </w:t>
      </w:r>
      <w:r>
        <w:rPr>
          <w:spacing w:val="-3"/>
        </w:rPr>
        <w:t>速的迭代开发能力、强大的大数据管理能力、安全的监控运维能力、扎实的基础教育产业互联网（云服务）</w:t>
      </w:r>
      <w:r>
        <w:rPr>
          <w:spacing w:val="-96"/>
        </w:rPr>
        <w:t> </w:t>
      </w:r>
      <w:r>
        <w:rPr>
          <w:spacing w:val="-96"/>
        </w:rPr>
      </w:r>
      <w:r>
        <w:rPr>
          <w:spacing w:val="-3"/>
        </w:rPr>
        <w:t>服务能力等智慧校园核心技术能力，即基于</w:t>
      </w:r>
      <w:r>
        <w:rPr>
          <w:rFonts w:ascii="Times New Roman" w:hAnsi="Times New Roman" w:cs="Times New Roman" w:eastAsia="Times New Roman" w:hint="default"/>
          <w:spacing w:val="-3"/>
        </w:rPr>
        <w:t>“</w:t>
      </w:r>
      <w:r>
        <w:rPr>
          <w:spacing w:val="-3"/>
        </w:rPr>
        <w:t>教育信息化</w:t>
      </w:r>
      <w:r>
        <w:rPr>
          <w:rFonts w:ascii="Times New Roman" w:hAnsi="Times New Roman" w:cs="Times New Roman" w:eastAsia="Times New Roman" w:hint="default"/>
          <w:spacing w:val="-3"/>
        </w:rPr>
        <w:t>2.0”</w:t>
      </w:r>
      <w:r>
        <w:rPr>
          <w:spacing w:val="-3"/>
        </w:rPr>
        <w:t>的智慧校园平台，全方位构建</w:t>
      </w:r>
      <w:r>
        <w:rPr>
          <w:rFonts w:ascii="Times New Roman" w:hAnsi="Times New Roman" w:cs="Times New Roman" w:eastAsia="Times New Roman" w:hint="default"/>
          <w:spacing w:val="-3"/>
        </w:rPr>
        <w:t>“</w:t>
      </w:r>
      <w:r>
        <w:rPr>
          <w:spacing w:val="-3"/>
        </w:rPr>
        <w:t>微服务</w:t>
      </w:r>
      <w:r>
        <w:rPr>
          <w:rFonts w:ascii="Times New Roman" w:hAnsi="Times New Roman" w:cs="Times New Roman" w:eastAsia="Times New Roman" w:hint="default"/>
          <w:spacing w:val="-3"/>
        </w:rPr>
        <w:t>+</w:t>
      </w:r>
      <w:r>
        <w:rPr>
          <w:spacing w:val="-3"/>
        </w:rPr>
        <w:t>大平台</w:t>
      </w:r>
      <w:r>
        <w:rPr>
          <w:rFonts w:ascii="Times New Roman" w:hAnsi="Times New Roman" w:cs="Times New Roman" w:eastAsia="Times New Roman" w:hint="default"/>
          <w:spacing w:val="-3"/>
        </w:rPr>
        <w:t>”</w:t>
      </w:r>
      <w:r>
        <w:rPr>
          <w:rFonts w:ascii="Times New Roman" w:hAnsi="Times New Roman" w:cs="Times New Roman" w:eastAsia="Times New Roman" w:hint="default"/>
        </w:rPr>
        <w:t> </w:t>
      </w:r>
      <w:r>
        <w:rPr/>
        <w:t>的校园运行新模型。同时，公司将不断完善内部的激励机制和监督机制，通过建立企业大学</w:t>
      </w:r>
      <w:r>
        <w:rPr>
          <w:rFonts w:ascii="Times New Roman" w:hAnsi="Times New Roman" w:cs="Times New Roman" w:eastAsia="Times New Roman" w:hint="default"/>
        </w:rPr>
        <w:t>—</w:t>
      </w:r>
      <w:r>
        <w:rPr/>
        <w:t>新开普商学 院等方式加强人才队伍建设，提升公司治理水平，实现规范与发展的同步。此外，公司将加快行业并购步</w:t>
      </w:r>
    </w:p>
    <w:p>
      <w:pPr>
        <w:spacing w:after="0" w:line="396"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240" w:lineRule="auto" w:before="35"/>
        <w:ind w:right="0"/>
        <w:jc w:val="both"/>
      </w:pPr>
      <w:r>
        <w:rPr/>
        <w:t>伐，通过机会把握和风险规避，不断提升公司的综合竞争力和盈利水平。</w:t>
      </w:r>
    </w:p>
    <w:p>
      <w:pPr>
        <w:spacing w:line="240" w:lineRule="auto" w:before="10"/>
        <w:rPr>
          <w:rFonts w:ascii="宋体" w:hAnsi="宋体" w:cs="宋体" w:eastAsia="宋体" w:hint="default"/>
          <w:sz w:val="14"/>
          <w:szCs w:val="14"/>
        </w:rPr>
      </w:pPr>
    </w:p>
    <w:p>
      <w:pPr>
        <w:spacing w:line="398" w:lineRule="auto" w:before="0"/>
        <w:ind w:left="573" w:right="1113" w:firstLine="0"/>
        <w:jc w:val="left"/>
        <w:rPr>
          <w:rFonts w:ascii="宋体" w:hAnsi="宋体" w:cs="宋体" w:eastAsia="宋体" w:hint="default"/>
          <w:sz w:val="21"/>
          <w:szCs w:val="21"/>
        </w:rPr>
      </w:pPr>
      <w:r>
        <w:rPr>
          <w:rFonts w:ascii="宋体" w:hAnsi="宋体" w:cs="宋体" w:eastAsia="宋体" w:hint="default"/>
          <w:b/>
          <w:bCs/>
          <w:sz w:val="21"/>
          <w:szCs w:val="21"/>
        </w:rPr>
        <w:t>（三）对公司未来发展战略和经营目标的实现产生不利影响的风险因素分析</w:t>
      </w:r>
      <w:r>
        <w:rPr>
          <w:rFonts w:ascii="宋体" w:hAnsi="宋体" w:cs="宋体" w:eastAsia="宋体" w:hint="default"/>
          <w:b/>
          <w:bCs/>
          <w:spacing w:val="1"/>
          <w:w w:val="99"/>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、移动互联网业务运营风险</w:t>
      </w:r>
      <w:r>
        <w:rPr>
          <w:rFonts w:ascii="宋体" w:hAnsi="宋体" w:cs="宋体" w:eastAsia="宋体" w:hint="default"/>
          <w:b/>
          <w:bCs/>
          <w:w w:val="99"/>
          <w:sz w:val="21"/>
          <w:szCs w:val="21"/>
        </w:rPr>
        <w:t> </w:t>
      </w:r>
      <w:r>
        <w:rPr>
          <w:rFonts w:ascii="宋体" w:hAnsi="宋体" w:cs="宋体" w:eastAsia="宋体" w:hint="default"/>
          <w:spacing w:val="-1"/>
          <w:sz w:val="21"/>
          <w:szCs w:val="21"/>
        </w:rPr>
        <w:t>当前，移动互联网产业蓬勃发展，成功的产品和服务模式不断向其它产业领域延伸渗透，智能一卡通</w:t>
      </w:r>
    </w:p>
    <w:p>
      <w:pPr>
        <w:pStyle w:val="BodyText"/>
        <w:spacing w:line="403" w:lineRule="auto" w:before="54"/>
        <w:ind w:left="153" w:right="1128"/>
        <w:jc w:val="both"/>
      </w:pPr>
      <w:r>
        <w:rPr>
          <w:spacing w:val="-1"/>
        </w:rPr>
        <w:t>行业也开始融入移动互联网元素，呈现出巨大的市场潜力。传统智能一卡通企业主要向学校、企业等客户</w:t>
      </w:r>
      <w:r>
        <w:rPr>
          <w:spacing w:val="-83"/>
        </w:rPr>
        <w:t> </w:t>
      </w:r>
      <w:r>
        <w:rPr>
          <w:spacing w:val="-83"/>
        </w:rPr>
      </w:r>
      <w:r>
        <w:rPr>
          <w:spacing w:val="-1"/>
        </w:rPr>
        <w:t>提供智能一卡通系统及相关软硬件产品的研发设计、系统集成和售后服务，缺乏直接面向大众消费者的自</w:t>
      </w:r>
      <w:r>
        <w:rPr>
          <w:spacing w:val="-81"/>
        </w:rPr>
        <w:t> </w:t>
      </w:r>
      <w:r>
        <w:rPr>
          <w:spacing w:val="-81"/>
        </w:rPr>
      </w:r>
      <w:r>
        <w:rPr>
          <w:spacing w:val="-2"/>
        </w:rPr>
        <w:t>有系统</w:t>
      </w:r>
      <w:r>
        <w:rPr>
          <w:rFonts w:ascii="Times New Roman" w:hAnsi="Times New Roman" w:cs="Times New Roman" w:eastAsia="Times New Roman" w:hint="default"/>
          <w:spacing w:val="-2"/>
        </w:rPr>
        <w:t>/</w:t>
      </w:r>
      <w:r>
        <w:rPr>
          <w:spacing w:val="-2"/>
        </w:rPr>
        <w:t>平台的推广和运营经验，技术、渠道和商业模式与移动互联网行业也相差较大。公司移动互联网运</w:t>
      </w:r>
      <w:r>
        <w:rPr>
          <w:spacing w:val="-92"/>
        </w:rPr>
        <w:t> </w:t>
      </w:r>
      <w:r>
        <w:rPr>
          <w:spacing w:val="-92"/>
        </w:rPr>
      </w:r>
      <w:r>
        <w:rPr>
          <w:spacing w:val="-1"/>
        </w:rPr>
        <w:t>营经验和成熟盈利模式的缺乏将对与移动互联网的深度融合，以及借助移动互联网进一步拓展行业发展空</w:t>
      </w:r>
      <w:r>
        <w:rPr>
          <w:spacing w:val="-81"/>
        </w:rPr>
        <w:t> </w:t>
      </w:r>
      <w:r>
        <w:rPr>
          <w:spacing w:val="-81"/>
        </w:rPr>
      </w:r>
      <w:r>
        <w:rPr/>
        <w:t>间造成不利影响。</w:t>
      </w:r>
    </w:p>
    <w:p>
      <w:pPr>
        <w:pStyle w:val="BodyText"/>
        <w:spacing w:line="408" w:lineRule="auto" w:before="50"/>
        <w:ind w:left="153" w:right="1022" w:firstLine="420"/>
        <w:jc w:val="left"/>
      </w:pPr>
      <w:r>
        <w:rPr/>
        <w:t>应对措施：公司将深入把握移动互联网发展规律，为提升企业运营能力奠定坚实的基础。其次，提高 企业平台运营和内容运营的能力，以推出适应客户需求的应用为切入点，迅速扩大用户规模，聚集合作伙 伴，要提高对合作伙伴和合作平台的管理能力，制定统一的标准和接口，搭建开放的平台。同时，在内容 </w:t>
      </w:r>
      <w:r>
        <w:rPr>
          <w:spacing w:val="-3"/>
        </w:rPr>
        <w:t>运营上，通过客户使用应用服务的数据和信息，把握客户消费行为和消费特征，不断丰富和完善应用服务，</w:t>
      </w:r>
      <w:r>
        <w:rPr>
          <w:spacing w:val="-90"/>
        </w:rPr>
        <w:t> </w:t>
      </w:r>
      <w:r>
        <w:rPr>
          <w:spacing w:val="-90"/>
        </w:rPr>
      </w:r>
      <w:r>
        <w:rPr/>
        <w:t>及时更新服务内容。通过引进、内部培养等方式，快速建立一支适应移动互联网时代的新型人才队伍，积</w:t>
      </w:r>
      <w:r>
        <w:rPr/>
        <w:t> 极引进成功的互联网高级运营管理人才，提高企业拓展新兴业务市场的战略经营能力、运营管理能力。另 外，公司将借鉴互联网企业成功做法，注重细节，坚持客户导向，注重运营的有效性和精确性，实现创新 超越。</w:t>
      </w:r>
    </w:p>
    <w:p>
      <w:pPr>
        <w:spacing w:line="386" w:lineRule="auto" w:before="46"/>
        <w:ind w:left="573" w:right="103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、职业教育服务业务运营风险</w:t>
      </w:r>
      <w:r>
        <w:rPr>
          <w:rFonts w:ascii="宋体" w:hAnsi="宋体" w:cs="宋体" w:eastAsia="宋体" w:hint="default"/>
          <w:b/>
          <w:bCs/>
          <w:spacing w:val="1"/>
          <w:w w:val="99"/>
          <w:sz w:val="21"/>
          <w:szCs w:val="21"/>
        </w:rPr>
        <w:t> </w:t>
      </w:r>
      <w:r>
        <w:rPr>
          <w:rFonts w:ascii="宋体" w:hAnsi="宋体" w:cs="宋体" w:eastAsia="宋体" w:hint="default"/>
          <w:sz w:val="21"/>
          <w:szCs w:val="21"/>
        </w:rPr>
        <w:t>公司自成立以来，一直致力于开发以智能卡及</w:t>
      </w:r>
      <w:r>
        <w:rPr>
          <w:rFonts w:ascii="Times New Roman" w:hAnsi="Times New Roman" w:cs="Times New Roman" w:eastAsia="Times New Roman" w:hint="default"/>
          <w:sz w:val="21"/>
          <w:szCs w:val="21"/>
        </w:rPr>
        <w:t>RFID</w:t>
      </w:r>
      <w:r>
        <w:rPr>
          <w:rFonts w:ascii="宋体" w:hAnsi="宋体" w:cs="宋体" w:eastAsia="宋体" w:hint="default"/>
          <w:sz w:val="21"/>
          <w:szCs w:val="21"/>
        </w:rPr>
        <w:t>技术为基础的各类行业信息一体化应用解决方案，</w:t>
      </w:r>
    </w:p>
    <w:p>
      <w:pPr>
        <w:pStyle w:val="BodyText"/>
        <w:spacing w:line="403" w:lineRule="auto" w:before="35"/>
        <w:ind w:left="153" w:right="1131"/>
        <w:jc w:val="both"/>
      </w:pPr>
      <w:r>
        <w:rPr>
          <w:spacing w:val="-1"/>
        </w:rPr>
        <w:t>从事智能一卡通系统的平台软件、应用软件及各类智能卡终端的研发、生产、集成、销售和服务，并快速</w:t>
      </w:r>
      <w:r>
        <w:rPr>
          <w:spacing w:val="-83"/>
        </w:rPr>
        <w:t> </w:t>
      </w:r>
      <w:r>
        <w:rPr>
          <w:spacing w:val="-83"/>
        </w:rPr>
      </w:r>
      <w:r>
        <w:rPr>
          <w:spacing w:val="-1"/>
        </w:rPr>
        <w:t>推进移动互联网和移动支付在智能一卡通行业中的普及，促进以大数据、移动互联以及智能终端为核心的</w:t>
      </w:r>
      <w:r>
        <w:rPr>
          <w:spacing w:val="-81"/>
        </w:rPr>
        <w:t> </w:t>
      </w:r>
      <w:r>
        <w:rPr>
          <w:spacing w:val="-81"/>
        </w:rPr>
      </w:r>
      <w:r>
        <w:rPr>
          <w:rFonts w:ascii="Times New Roman" w:hAnsi="Times New Roman" w:cs="Times New Roman" w:eastAsia="Times New Roman" w:hint="default"/>
          <w:spacing w:val="-1"/>
        </w:rPr>
        <w:t>O2O</w:t>
      </w:r>
      <w:r>
        <w:rPr>
          <w:spacing w:val="-1"/>
        </w:rPr>
        <w:t>闭环模式的整合与发展。长期的研发服务以及高校客户资源为公司开展职业教育业务提供了充足的技</w:t>
      </w:r>
      <w:r>
        <w:rPr>
          <w:spacing w:val="-71"/>
        </w:rPr>
        <w:t> </w:t>
      </w:r>
      <w:r>
        <w:rPr>
          <w:spacing w:val="-71"/>
        </w:rPr>
      </w:r>
      <w:r>
        <w:rPr>
          <w:spacing w:val="-1"/>
        </w:rPr>
        <w:t>术、人才和客户支持，但作为公司之新业务，职业教育之运营方式、盈利模式与其现有智能一卡通业务完</w:t>
      </w:r>
      <w:r>
        <w:rPr>
          <w:spacing w:val="-82"/>
        </w:rPr>
        <w:t> </w:t>
      </w:r>
      <w:r>
        <w:rPr>
          <w:spacing w:val="-82"/>
        </w:rPr>
      </w:r>
      <w:r>
        <w:rPr/>
        <w:t>全不同，公司面临一定的业务运营风险。</w:t>
      </w:r>
    </w:p>
    <w:p>
      <w:pPr>
        <w:pStyle w:val="BodyText"/>
        <w:spacing w:line="403" w:lineRule="auto" w:before="50"/>
        <w:ind w:left="153" w:right="1022" w:firstLine="420"/>
        <w:jc w:val="left"/>
      </w:pPr>
      <w:r>
        <w:rPr/>
        <w:t>应对措施：公司长期从事智能一卡通和其他校园信息化产品的研究、开发和项目实施，在技术上储备 </w:t>
      </w:r>
      <w:r>
        <w:rPr>
          <w:spacing w:val="-3"/>
        </w:rPr>
        <w:t>了大量成熟的基础构件，各类</w:t>
      </w:r>
      <w:r>
        <w:rPr>
          <w:rFonts w:ascii="Times New Roman" w:hAnsi="Times New Roman" w:cs="Times New Roman" w:eastAsia="Times New Roman" w:hint="default"/>
          <w:spacing w:val="-3"/>
        </w:rPr>
        <w:t>IT</w:t>
      </w:r>
      <w:r>
        <w:rPr>
          <w:spacing w:val="-3"/>
        </w:rPr>
        <w:t>新技术上均有相应的原产品、控件、源代码以及知识库、方法库和方案库。</w:t>
      </w:r>
      <w:r>
        <w:rPr>
          <w:spacing w:val="-78"/>
        </w:rPr>
        <w:t> </w:t>
      </w:r>
      <w:r>
        <w:rPr>
          <w:spacing w:val="-78"/>
        </w:rPr>
      </w:r>
      <w:r>
        <w:rPr/>
        <w:t>在此过程中，公司积累了新一代信息技术全产业链的研发技术储备，并梳理出围绕信息技术产品各个服务</w:t>
      </w:r>
      <w:r>
        <w:rPr/>
        <w:t> 环节的配套岗位技能，同时也积累了全球百余家的信息技术原厂的合作经验。在前沿技术方面，公司开展 </w:t>
      </w:r>
      <w:r>
        <w:rPr>
          <w:spacing w:val="-3"/>
        </w:rPr>
        <w:t>过大量的课题研究，在云计算、大数据、移动互联网等方面均有一定积累。公司还不断引进新的技术力量，</w:t>
      </w:r>
      <w:r>
        <w:rPr>
          <w:spacing w:val="-96"/>
        </w:rPr>
        <w:t> </w:t>
      </w:r>
      <w:r>
        <w:rPr>
          <w:spacing w:val="-96"/>
        </w:rPr>
      </w:r>
      <w:r>
        <w:rPr/>
        <w:t>充实到公司研发队伍中，形成新旧技术交替互补的技术储备模式。</w:t>
      </w:r>
    </w:p>
    <w:p>
      <w:pPr>
        <w:spacing w:after="0" w:line="403"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386" w:lineRule="auto" w:before="35"/>
        <w:ind w:left="574" w:right="1113"/>
        <w:jc w:val="left"/>
      </w:pPr>
      <w:r>
        <w:rPr>
          <w:rFonts w:ascii="Times New Roman" w:hAnsi="Times New Roman" w:cs="Times New Roman" w:eastAsia="Times New Roman" w:hint="default"/>
          <w:b/>
          <w:bCs/>
        </w:rPr>
        <w:t>3</w:t>
      </w:r>
      <w:r>
        <w:rPr>
          <w:rFonts w:ascii="宋体" w:hAnsi="宋体" w:cs="宋体" w:eastAsia="宋体" w:hint="default"/>
          <w:b/>
          <w:bCs/>
        </w:rPr>
        <w:t>、研发风险</w:t>
      </w:r>
      <w:r>
        <w:rPr>
          <w:rFonts w:ascii="宋体" w:hAnsi="宋体" w:cs="宋体" w:eastAsia="宋体" w:hint="default"/>
          <w:b/>
          <w:bCs/>
          <w:spacing w:val="1"/>
          <w:w w:val="99"/>
        </w:rPr>
        <w:t> </w:t>
      </w:r>
      <w:r>
        <w:rPr>
          <w:spacing w:val="-1"/>
        </w:rPr>
        <w:t>由于信息技术行业整体发展速度较快，各类信息技术呈现出更新速度快、应用领域不断深入和拓展的</w:t>
      </w:r>
    </w:p>
    <w:p>
      <w:pPr>
        <w:pStyle w:val="BodyText"/>
        <w:spacing w:line="408" w:lineRule="auto" w:before="65"/>
        <w:ind w:right="1131"/>
        <w:jc w:val="both"/>
      </w:pPr>
      <w:r>
        <w:rPr>
          <w:spacing w:val="-1"/>
        </w:rPr>
        <w:t>发展态势，因此，公司需要不断进行新技术、新产品的研发和升级。虽然公司拥有强大的自主研发和技术</w:t>
      </w:r>
      <w:r>
        <w:rPr>
          <w:spacing w:val="-82"/>
        </w:rPr>
        <w:t> </w:t>
      </w:r>
      <w:r>
        <w:rPr>
          <w:spacing w:val="-82"/>
        </w:rPr>
      </w:r>
      <w:r>
        <w:rPr>
          <w:spacing w:val="-1"/>
        </w:rPr>
        <w:t>创新能力，但如果未来不能准确把握信息技术、产品及市场的发展趋势并持续研发出符合市场需求的新产</w:t>
      </w:r>
      <w:r>
        <w:rPr>
          <w:spacing w:val="-81"/>
        </w:rPr>
        <w:t> </w:t>
      </w:r>
      <w:r>
        <w:rPr>
          <w:spacing w:val="-81"/>
        </w:rPr>
      </w:r>
      <w:r>
        <w:rPr/>
        <w:t>品，将会在一定程度上削弱公司的竞争优势，对公司的持续盈利能力造成不利影响。</w:t>
      </w:r>
    </w:p>
    <w:p>
      <w:pPr>
        <w:pStyle w:val="BodyText"/>
        <w:spacing w:line="408" w:lineRule="auto"/>
        <w:ind w:left="153" w:right="1108" w:firstLine="420"/>
        <w:jc w:val="both"/>
      </w:pPr>
      <w:r>
        <w:rPr>
          <w:spacing w:val="-1"/>
        </w:rPr>
        <w:t>应对措施：公司在产品研发中心为主的研发体系下，将积极推进面向营销中心提供所负责产品线的产</w:t>
      </w:r>
      <w:r>
        <w:rPr/>
        <w:t> 品解决方案及产品销售支持和培训的功能整合，通过产品事业部，保障产品竞争力、可靠性及经济效益， </w:t>
      </w:r>
      <w:r>
        <w:rPr>
          <w:spacing w:val="-1"/>
        </w:rPr>
        <w:t>并向其他产品事业部提供产品、开发支持与保障。同时，将加大研发管理体系的投入，提高研发创新体系</w:t>
      </w:r>
      <w:r>
        <w:rPr>
          <w:spacing w:val="-82"/>
        </w:rPr>
        <w:t> </w:t>
      </w:r>
      <w:r>
        <w:rPr>
          <w:spacing w:val="-82"/>
        </w:rPr>
      </w:r>
      <w:r>
        <w:rPr>
          <w:spacing w:val="-1"/>
        </w:rPr>
        <w:t>管理水平。通过产品研发流程体系再造，深化研发体系，建立和固化相关的制度和流程，进一步完善和规</w:t>
      </w:r>
      <w:r>
        <w:rPr>
          <w:spacing w:val="-82"/>
        </w:rPr>
        <w:t> </w:t>
      </w:r>
      <w:r>
        <w:rPr>
          <w:spacing w:val="-82"/>
        </w:rPr>
      </w:r>
      <w:r>
        <w:rPr>
          <w:spacing w:val="-1"/>
        </w:rPr>
        <w:t>范化研发过程管理。同时对于电子硬件产品，进行质量体系再造，在产品研发流程中规范和加强质量可靠</w:t>
      </w:r>
      <w:r>
        <w:rPr>
          <w:spacing w:val="-83"/>
        </w:rPr>
        <w:t> </w:t>
      </w:r>
      <w:r>
        <w:rPr>
          <w:spacing w:val="-83"/>
        </w:rPr>
      </w:r>
      <w:r>
        <w:rPr/>
        <w:t>性的设计和管理，通过这两项研发体系的改造和提升，实现提高产品研发效率、提高产品的质量可靠性。</w:t>
      </w:r>
    </w:p>
    <w:p>
      <w:pPr>
        <w:pStyle w:val="BodyText"/>
        <w:spacing w:line="386" w:lineRule="auto"/>
        <w:ind w:left="574" w:right="1113"/>
        <w:jc w:val="left"/>
      </w:pPr>
      <w:r>
        <w:rPr>
          <w:rFonts w:ascii="Times New Roman" w:hAnsi="Times New Roman" w:cs="Times New Roman" w:eastAsia="Times New Roman" w:hint="default"/>
          <w:b/>
          <w:bCs/>
        </w:rPr>
        <w:t>4</w:t>
      </w:r>
      <w:r>
        <w:rPr>
          <w:rFonts w:ascii="宋体" w:hAnsi="宋体" w:cs="宋体" w:eastAsia="宋体" w:hint="default"/>
          <w:b/>
          <w:bCs/>
        </w:rPr>
        <w:t>、管理风险</w:t>
      </w:r>
      <w:r>
        <w:rPr>
          <w:rFonts w:ascii="宋体" w:hAnsi="宋体" w:cs="宋体" w:eastAsia="宋体" w:hint="default"/>
          <w:b/>
          <w:bCs/>
          <w:spacing w:val="1"/>
          <w:w w:val="99"/>
        </w:rPr>
        <w:t> </w:t>
      </w:r>
      <w:r>
        <w:rPr>
          <w:spacing w:val="-1"/>
        </w:rPr>
        <w:t>随着公司资产规模及经营规模将逐步扩大，公司人员亦将相应增加，组织结构和管理体系可能趋于复</w:t>
      </w:r>
    </w:p>
    <w:p>
      <w:pPr>
        <w:pStyle w:val="BodyText"/>
        <w:spacing w:line="408" w:lineRule="auto" w:before="65"/>
        <w:ind w:right="1108"/>
        <w:jc w:val="both"/>
      </w:pPr>
      <w:r>
        <w:rPr>
          <w:spacing w:val="-1"/>
        </w:rPr>
        <w:t>杂化，公司的经营决策、风险控制的难度大为增加，对公司管理团队的管理水平及驾驭经营风险的能力带</w:t>
      </w:r>
      <w:r>
        <w:rPr>
          <w:spacing w:val="-83"/>
        </w:rPr>
        <w:t> </w:t>
      </w:r>
      <w:r>
        <w:rPr>
          <w:spacing w:val="-83"/>
        </w:rPr>
      </w:r>
      <w:r>
        <w:rPr/>
        <w:t>来一定程度的挑战，对公司的内部控制、运营组织、营销服务等各方面都提出了更高的要求，对在管理、 </w:t>
      </w:r>
      <w:r>
        <w:rPr>
          <w:spacing w:val="-1"/>
        </w:rPr>
        <w:t>技术、营销、业务等方面的中高级人才的需求也将日益增加。若公司的技术管理、营销管理、质量控制等</w:t>
      </w:r>
      <w:r>
        <w:rPr>
          <w:spacing w:val="-83"/>
        </w:rPr>
        <w:t> </w:t>
      </w:r>
      <w:r>
        <w:rPr>
          <w:spacing w:val="-83"/>
        </w:rPr>
      </w:r>
      <w:r>
        <w:rPr>
          <w:spacing w:val="-1"/>
        </w:rPr>
        <w:t>能力不能适应公司规模迅速扩张的要求，人才培养、组织模式和管理制度不能进一步健全和完善，将会导</w:t>
      </w:r>
      <w:r>
        <w:rPr>
          <w:spacing w:val="-83"/>
        </w:rPr>
        <w:t> </w:t>
      </w:r>
      <w:r>
        <w:rPr>
          <w:spacing w:val="-83"/>
        </w:rPr>
      </w:r>
      <w:r>
        <w:rPr/>
        <w:t>致相应的管理风险。</w:t>
      </w:r>
    </w:p>
    <w:p>
      <w:pPr>
        <w:pStyle w:val="BodyText"/>
        <w:spacing w:line="408" w:lineRule="auto"/>
        <w:ind w:left="153" w:right="1130" w:firstLine="420"/>
        <w:jc w:val="both"/>
      </w:pPr>
      <w:r>
        <w:rPr>
          <w:spacing w:val="-1"/>
        </w:rPr>
        <w:t>应对措施：公司将持续完善法人治理结构及内控制度，规范公司运作体系，提高核心管理团队的管理</w:t>
      </w:r>
      <w:r>
        <w:rPr/>
        <w:t> </w:t>
      </w:r>
      <w:r>
        <w:rPr>
          <w:spacing w:val="-1"/>
        </w:rPr>
        <w:t>素质和决策能力，并聘请专业的管理咨询公司和行业专家，进一步完善公司的管理体系，以满足公司业务</w:t>
      </w:r>
      <w:r>
        <w:rPr>
          <w:spacing w:val="-83"/>
        </w:rPr>
        <w:t> </w:t>
      </w:r>
      <w:r>
        <w:rPr>
          <w:spacing w:val="-83"/>
        </w:rPr>
      </w:r>
      <w:r>
        <w:rPr/>
        <w:t>快速发展的需要。</w:t>
      </w:r>
    </w:p>
    <w:p>
      <w:pPr>
        <w:pStyle w:val="Heading3"/>
        <w:spacing w:line="240" w:lineRule="auto" w:before="46"/>
        <w:ind w:left="573" w:right="1113"/>
        <w:jc w:val="left"/>
        <w:rPr>
          <w:b w:val="0"/>
          <w:bCs w:val="0"/>
        </w:rPr>
      </w:pPr>
      <w:r>
        <w:rPr>
          <w:rFonts w:ascii="Times New Roman" w:hAnsi="Times New Roman" w:cs="Times New Roman" w:eastAsia="Times New Roman" w:hint="default"/>
        </w:rPr>
        <w:t>5</w:t>
      </w:r>
      <w:r>
        <w:rPr/>
        <w:t>、收购整合的风险</w:t>
      </w:r>
      <w:r>
        <w:rPr>
          <w:b w:val="0"/>
          <w:bCs w:val="0"/>
        </w:rPr>
      </w:r>
    </w:p>
    <w:p>
      <w:pPr>
        <w:pStyle w:val="BodyText"/>
        <w:spacing w:line="400" w:lineRule="auto" w:before="177"/>
        <w:ind w:right="1129" w:firstLine="420"/>
        <w:jc w:val="both"/>
      </w:pPr>
      <w:r>
        <w:rPr>
          <w:rFonts w:ascii="Times New Roman" w:hAnsi="Times New Roman" w:cs="Times New Roman" w:eastAsia="Times New Roman" w:hint="default"/>
          <w:spacing w:val="-1"/>
        </w:rPr>
        <w:t>2015</w:t>
      </w:r>
      <w:r>
        <w:rPr>
          <w:spacing w:val="-1"/>
        </w:rPr>
        <w:t>年至今，公司收购完成了对迪科远望、上海树维的收购以及对北京乐智、成都兰途、希嘉教育等</w:t>
      </w:r>
      <w:r>
        <w:rPr/>
        <w:t> </w:t>
      </w:r>
      <w:r>
        <w:rPr>
          <w:spacing w:val="-1"/>
        </w:rPr>
        <w:t>公司的战略投资，公司的资产规模和渠道覆盖均大幅增加，公司与标的公司在企业文化、经营管理、业务</w:t>
      </w:r>
      <w:r>
        <w:rPr>
          <w:spacing w:val="-82"/>
        </w:rPr>
        <w:t> </w:t>
      </w:r>
      <w:r>
        <w:rPr>
          <w:spacing w:val="-82"/>
        </w:rPr>
      </w:r>
      <w:r>
        <w:rPr>
          <w:spacing w:val="-1"/>
        </w:rPr>
        <w:t>拓展等方面能否顺利实现整合存在不确定性，若公司未能及时制定并实施与之相适应的整合措施，可能存</w:t>
      </w:r>
      <w:r>
        <w:rPr>
          <w:spacing w:val="-81"/>
        </w:rPr>
        <w:t> </w:t>
      </w:r>
      <w:r>
        <w:rPr>
          <w:spacing w:val="-81"/>
        </w:rPr>
      </w:r>
      <w:r>
        <w:rPr/>
        <w:t>在无法达到预期整合效应的风险。</w:t>
      </w:r>
    </w:p>
    <w:p>
      <w:pPr>
        <w:pStyle w:val="BodyText"/>
        <w:spacing w:line="408" w:lineRule="auto" w:before="52"/>
        <w:ind w:right="1131" w:firstLine="420"/>
        <w:jc w:val="both"/>
      </w:pPr>
      <w:r>
        <w:rPr>
          <w:spacing w:val="-1"/>
        </w:rPr>
        <w:t>应对措施：公司将从文化融合、管理优化、战略协同等方面着手，打造深度融合、发展共赢的投资管</w:t>
      </w:r>
      <w:r>
        <w:rPr/>
        <w:t> 理体系，实现子公司的良性发展，充分发挥产业链整合效应。</w:t>
      </w:r>
    </w:p>
    <w:p>
      <w:pPr>
        <w:pStyle w:val="BodyText"/>
        <w:spacing w:line="386" w:lineRule="auto"/>
        <w:ind w:left="574" w:right="1113" w:hanging="1"/>
        <w:jc w:val="left"/>
      </w:pPr>
      <w:r>
        <w:rPr>
          <w:rFonts w:ascii="Times New Roman" w:hAnsi="Times New Roman" w:cs="Times New Roman" w:eastAsia="Times New Roman" w:hint="default"/>
          <w:b/>
          <w:bCs/>
        </w:rPr>
        <w:t>6</w:t>
      </w:r>
      <w:r>
        <w:rPr>
          <w:rFonts w:ascii="宋体" w:hAnsi="宋体" w:cs="宋体" w:eastAsia="宋体" w:hint="default"/>
          <w:b/>
          <w:bCs/>
        </w:rPr>
        <w:t>、商誉减值的风险</w:t>
      </w:r>
      <w:r>
        <w:rPr>
          <w:rFonts w:ascii="宋体" w:hAnsi="宋体" w:cs="宋体" w:eastAsia="宋体" w:hint="default"/>
          <w:b/>
          <w:bCs/>
          <w:spacing w:val="1"/>
          <w:w w:val="99"/>
        </w:rPr>
        <w:t> </w:t>
      </w:r>
      <w:r>
        <w:rPr>
          <w:spacing w:val="-1"/>
        </w:rPr>
        <w:t>根据企业会计准则，非同一控制下的企业合并中，购买方对合并成本大于合并中取得的被购买方可辨</w:t>
      </w:r>
    </w:p>
    <w:p>
      <w:pPr>
        <w:spacing w:after="0" w:line="386"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398" w:lineRule="auto" w:before="35"/>
        <w:ind w:left="153" w:right="1127"/>
        <w:jc w:val="both"/>
      </w:pPr>
      <w:r>
        <w:rPr>
          <w:spacing w:val="-5"/>
        </w:rPr>
        <w:t>认净资产公允价值份额的差额，应当确认为商誉，该等商誉需要在未来每个会计年度末进行减值测试。</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spacing w:val="-1"/>
        </w:rPr>
        <w:t>年公司并购重组确认了较大额度的商誉，若标的公司未来经营中不能较好地实现收益，则收购标的资产所</w:t>
      </w:r>
      <w:r>
        <w:rPr>
          <w:spacing w:val="-81"/>
        </w:rPr>
        <w:t> </w:t>
      </w:r>
      <w:r>
        <w:rPr>
          <w:spacing w:val="-81"/>
        </w:rPr>
      </w:r>
      <w:r>
        <w:rPr/>
        <w:t>形成的商誉将会有减值风险，从而对公司经营业绩产生不利影响。</w:t>
      </w:r>
    </w:p>
    <w:p>
      <w:pPr>
        <w:pStyle w:val="BodyText"/>
        <w:spacing w:line="386" w:lineRule="auto" w:before="54"/>
        <w:ind w:left="153" w:right="1126" w:firstLine="420"/>
        <w:jc w:val="both"/>
      </w:pPr>
      <w:r>
        <w:rPr/>
        <w:t>应对措施：公司主要强化以下三个方面：（</w:t>
      </w:r>
      <w:r>
        <w:rPr>
          <w:rFonts w:ascii="Times New Roman" w:hAnsi="Times New Roman" w:cs="Times New Roman" w:eastAsia="Times New Roman" w:hint="default"/>
        </w:rPr>
        <w:t>1</w:t>
      </w:r>
      <w:r>
        <w:rPr/>
        <w:t>）本着谨慎性原则，加强投资决策的科学性和合理性，</w:t>
      </w:r>
      <w:r>
        <w:rPr>
          <w:spacing w:val="2"/>
        </w:rPr>
        <w:t> </w:t>
      </w:r>
      <w:r>
        <w:rPr/>
        <w:t>理性评估标的公司的盈利预测，降低投资风险；（</w:t>
      </w:r>
      <w:r>
        <w:rPr>
          <w:rFonts w:ascii="Times New Roman" w:hAnsi="Times New Roman" w:cs="Times New Roman" w:eastAsia="Times New Roman" w:hint="default"/>
        </w:rPr>
        <w:t>2</w:t>
      </w:r>
      <w:r>
        <w:rPr/>
        <w:t>）积极开展投后的管理及整合措施，加强打造深度融</w:t>
      </w:r>
      <w:r>
        <w:rPr>
          <w:spacing w:val="-34"/>
        </w:rPr>
        <w:t> </w:t>
      </w:r>
      <w:r>
        <w:rPr>
          <w:spacing w:val="-34"/>
        </w:rPr>
      </w:r>
      <w:r>
        <w:rPr/>
        <w:t>合、发展共赢的投资管理体系，对投资子公司持续输出增值服务，实现子公司的良性发展；（</w:t>
      </w:r>
      <w:r>
        <w:rPr>
          <w:rFonts w:ascii="Times New Roman" w:hAnsi="Times New Roman" w:cs="Times New Roman" w:eastAsia="Times New Roman" w:hint="default"/>
        </w:rPr>
        <w:t>3</w:t>
      </w:r>
      <w:r>
        <w:rPr/>
        <w:t>）通过制</w:t>
      </w:r>
      <w:r>
        <w:rPr>
          <w:spacing w:val="-34"/>
        </w:rPr>
        <w:t> </w:t>
      </w:r>
      <w:r>
        <w:rPr>
          <w:spacing w:val="-34"/>
        </w:rPr>
      </w:r>
      <w:r>
        <w:rPr/>
        <w:t>定利润补偿或资产减值补偿等措施，以最大程度降低因商誉减值对公司经营业绩造成的影响。</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7"/>
        <w:rPr>
          <w:rFonts w:ascii="宋体" w:hAnsi="宋体" w:cs="宋体" w:eastAsia="宋体" w:hint="default"/>
          <w:b/>
          <w:bCs/>
          <w:sz w:val="32"/>
          <w:szCs w:val="32"/>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7"/>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21"/>
              <w:jc w:val="righ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21"/>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3"/>
                <w:sz w:val="18"/>
                <w:szCs w:val="18"/>
              </w:rPr>
              <w:t> </w:t>
            </w:r>
            <w:hyperlink r:id="rId20">
              <w:r>
                <w:rPr>
                  <w:rFonts w:ascii="Times New Roman" w:hAnsi="Times New Roman" w:cs="Times New Roman" w:eastAsia="Times New Roman" w:hint="default"/>
                  <w:sz w:val="18"/>
                  <w:szCs w:val="18"/>
                </w:rPr>
                <w:t>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21"/>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3"/>
                <w:sz w:val="18"/>
                <w:szCs w:val="18"/>
              </w:rPr>
              <w:t> </w:t>
            </w:r>
            <w:hyperlink r:id="rId20">
              <w:r>
                <w:rPr>
                  <w:rFonts w:ascii="Times New Roman" w:hAnsi="Times New Roman" w:cs="Times New Roman" w:eastAsia="Times New Roman" w:hint="default"/>
                  <w:sz w:val="18"/>
                  <w:szCs w:val="18"/>
                </w:rPr>
                <w:t>www.cninfo.com.cn</w:t>
              </w:r>
            </w:hyperlink>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21"/>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3"/>
                <w:sz w:val="18"/>
                <w:szCs w:val="18"/>
              </w:rPr>
              <w:t> </w:t>
            </w:r>
            <w:hyperlink r:id="rId20">
              <w:r>
                <w:rPr>
                  <w:rFonts w:ascii="Times New Roman" w:hAnsi="Times New Roman" w:cs="Times New Roman" w:eastAsia="Times New Roman" w:hint="default"/>
                  <w:sz w:val="18"/>
                  <w:szCs w:val="18"/>
                </w:rPr>
                <w:t>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322"/>
        <w:jc w:val="center"/>
        <w:rPr>
          <w:b w:val="0"/>
          <w:bCs w:val="0"/>
        </w:rPr>
      </w:pPr>
      <w:bookmarkStart w:name="_TOC_250008" w:id="5"/>
      <w:r>
        <w:rPr/>
        <w:t>第五节重要事项</w:t>
      </w:r>
      <w:bookmarkEnd w:id="5"/>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1113"/>
        <w:jc w:val="left"/>
        <w:rPr>
          <w:b w:val="0"/>
          <w:bCs w:val="0"/>
        </w:rPr>
      </w:pPr>
      <w:r>
        <w:rPr/>
        <w:t>一、公司普通股利润分配及资本公积金转增股本情况</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line="240" w:lineRule="auto" w:before="12"/>
        <w:rPr>
          <w:rFonts w:ascii="宋体" w:hAnsi="宋体" w:cs="宋体" w:eastAsia="宋体" w:hint="default"/>
          <w:sz w:val="20"/>
          <w:szCs w:val="20"/>
        </w:rPr>
      </w:pPr>
    </w:p>
    <w:p>
      <w:pPr>
        <w:spacing w:before="0"/>
        <w:ind w:left="153"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7"/>
          <w:szCs w:val="17"/>
        </w:rPr>
      </w:pPr>
    </w:p>
    <w:p>
      <w:pPr>
        <w:pStyle w:val="BodyText"/>
        <w:spacing w:line="408" w:lineRule="auto" w:before="0"/>
        <w:ind w:right="1131" w:firstLine="420"/>
        <w:jc w:val="both"/>
      </w:pPr>
      <w:r>
        <w:rPr>
          <w:spacing w:val="-1"/>
        </w:rPr>
        <w:t>（一）公司重视对投资者的合理投资回报，根据自身的财务结构、盈利能力和未来的投资、融资发展</w:t>
      </w:r>
      <w:r>
        <w:rPr/>
        <w:t> 规划实施积极的利润分配办法，保持利润分配政策的持续性和稳定性。</w:t>
      </w:r>
    </w:p>
    <w:p>
      <w:pPr>
        <w:pStyle w:val="BodyText"/>
        <w:spacing w:line="240" w:lineRule="auto"/>
        <w:ind w:left="573" w:right="1113"/>
        <w:jc w:val="left"/>
      </w:pPr>
      <w:r>
        <w:rPr/>
        <w:t>公司利润分配政策如下：</w:t>
      </w:r>
    </w:p>
    <w:p>
      <w:pPr>
        <w:spacing w:line="240" w:lineRule="auto" w:before="10"/>
        <w:rPr>
          <w:rFonts w:ascii="宋体" w:hAnsi="宋体" w:cs="宋体" w:eastAsia="宋体" w:hint="default"/>
          <w:sz w:val="14"/>
          <w:szCs w:val="14"/>
        </w:rPr>
      </w:pPr>
    </w:p>
    <w:p>
      <w:pPr>
        <w:pStyle w:val="BodyText"/>
        <w:spacing w:line="386" w:lineRule="auto" w:before="0"/>
        <w:ind w:left="153" w:right="1129" w:firstLine="420"/>
        <w:jc w:val="both"/>
      </w:pPr>
      <w:r>
        <w:rPr>
          <w:rFonts w:ascii="Times New Roman" w:hAnsi="Times New Roman" w:cs="Times New Roman" w:eastAsia="Times New Roman" w:hint="default"/>
        </w:rPr>
        <w:t>“</w:t>
      </w:r>
      <w:r>
        <w:rPr/>
        <w:t>公司的利润分配政策应重视对投资者的合理投资回报，利润分配政策将保持连续性和稳定性。公司</w:t>
      </w:r>
      <w:r>
        <w:rPr>
          <w:spacing w:val="2"/>
        </w:rPr>
        <w:t> </w:t>
      </w:r>
      <w:r>
        <w:rPr/>
        <w:t>的利润分配不得超过累计可分配利润的范围，不得损害公司持续经营能力。</w:t>
      </w:r>
    </w:p>
    <w:p>
      <w:pPr>
        <w:pStyle w:val="BodyText"/>
        <w:spacing w:line="240" w:lineRule="auto" w:before="65"/>
        <w:ind w:left="573" w:right="1113"/>
        <w:jc w:val="left"/>
      </w:pPr>
      <w:r>
        <w:rPr/>
        <w:t>公司的利润分配政策为：</w:t>
      </w:r>
    </w:p>
    <w:p>
      <w:pPr>
        <w:spacing w:line="240" w:lineRule="auto" w:before="10"/>
        <w:rPr>
          <w:rFonts w:ascii="宋体" w:hAnsi="宋体" w:cs="宋体" w:eastAsia="宋体" w:hint="default"/>
          <w:sz w:val="14"/>
          <w:szCs w:val="14"/>
        </w:rPr>
      </w:pPr>
    </w:p>
    <w:p>
      <w:pPr>
        <w:pStyle w:val="BodyText"/>
        <w:spacing w:line="240" w:lineRule="auto" w:before="0"/>
        <w:ind w:left="573" w:right="1113"/>
        <w:jc w:val="left"/>
      </w:pPr>
      <w:r>
        <w:rPr/>
        <w:t>（一）公司可以采取现金或者股票股利方式分配股利，可以进行中期现金分红；</w:t>
      </w:r>
    </w:p>
    <w:p>
      <w:pPr>
        <w:spacing w:line="240" w:lineRule="auto" w:before="10"/>
        <w:rPr>
          <w:rFonts w:ascii="宋体" w:hAnsi="宋体" w:cs="宋体" w:eastAsia="宋体" w:hint="default"/>
          <w:sz w:val="14"/>
          <w:szCs w:val="14"/>
        </w:rPr>
      </w:pPr>
    </w:p>
    <w:p>
      <w:pPr>
        <w:pStyle w:val="BodyText"/>
        <w:spacing w:line="398" w:lineRule="auto" w:before="0"/>
        <w:ind w:left="153" w:right="1131" w:firstLine="420"/>
        <w:jc w:val="both"/>
      </w:pPr>
      <w:r>
        <w:rPr>
          <w:spacing w:val="-1"/>
        </w:rPr>
        <w:t>（二）在满足公司正常生产经营的资金需求的前提下，公司每年以现金方式分配的利润不少于当年实</w:t>
      </w:r>
      <w:r>
        <w:rPr/>
        <w:t> 现的可分配利润的</w:t>
      </w:r>
      <w:r>
        <w:rPr>
          <w:rFonts w:ascii="Times New Roman" w:hAnsi="Times New Roman" w:cs="Times New Roman" w:eastAsia="Times New Roman" w:hint="default"/>
        </w:rPr>
        <w:t>10%</w:t>
      </w:r>
      <w:r>
        <w:rPr/>
        <w:t>；对于公司当年的利润分配计划，公司董事会应当在定期报告中披露当年未分配利</w:t>
      </w:r>
      <w:r>
        <w:rPr>
          <w:spacing w:val="-98"/>
        </w:rPr>
        <w:t> </w:t>
      </w:r>
      <w:r>
        <w:rPr>
          <w:spacing w:val="-98"/>
        </w:rPr>
      </w:r>
      <w:r>
        <w:rPr/>
        <w:t>润的使用计划、安排或原则。</w:t>
      </w:r>
    </w:p>
    <w:p>
      <w:pPr>
        <w:pStyle w:val="BodyText"/>
        <w:spacing w:line="400" w:lineRule="auto" w:before="54"/>
        <w:ind w:right="1129" w:firstLine="420"/>
        <w:jc w:val="both"/>
      </w:pPr>
      <w:r>
        <w:rPr/>
        <w:t>公司董事会未做出年度现金利润分配预案或年度现金利润分配比例不足</w:t>
      </w:r>
      <w:r>
        <w:rPr>
          <w:rFonts w:ascii="Times New Roman" w:hAnsi="Times New Roman" w:cs="Times New Roman" w:eastAsia="Times New Roman" w:hint="default"/>
        </w:rPr>
        <w:t>10%</w:t>
      </w:r>
      <w:r>
        <w:rPr/>
        <w:t>的，应当在定期报告中披 </w:t>
      </w:r>
      <w:r>
        <w:rPr>
          <w:spacing w:val="-1"/>
        </w:rPr>
        <w:t>露原因、公司留存资金的使用计划和安排，该等年度现金利润分配方案须经董事会审议、监事会审核后提</w:t>
      </w:r>
      <w:r>
        <w:rPr>
          <w:spacing w:val="-83"/>
        </w:rPr>
        <w:t> </w:t>
      </w:r>
      <w:r>
        <w:rPr>
          <w:spacing w:val="-83"/>
        </w:rPr>
      </w:r>
      <w:r>
        <w:rPr>
          <w:spacing w:val="-1"/>
        </w:rPr>
        <w:t>交股东大会审议；股东大会审议该等年度现金利润分配方案时，公司应当提供网络投票表决方式为公众股</w:t>
      </w:r>
      <w:r>
        <w:rPr>
          <w:spacing w:val="-81"/>
        </w:rPr>
        <w:t> </w:t>
      </w:r>
      <w:r>
        <w:rPr>
          <w:spacing w:val="-81"/>
        </w:rPr>
      </w:r>
      <w:r>
        <w:rPr/>
        <w:t>东参加股东大会提供便利；对于该等年度现金利润分配方案，独立董事应当发表独立意见；</w:t>
      </w:r>
    </w:p>
    <w:p>
      <w:pPr>
        <w:pStyle w:val="BodyText"/>
        <w:spacing w:line="408" w:lineRule="auto" w:before="52"/>
        <w:ind w:right="1131" w:firstLine="420"/>
        <w:jc w:val="both"/>
      </w:pPr>
      <w:r>
        <w:rPr>
          <w:spacing w:val="-1"/>
        </w:rPr>
        <w:t>（三）具备现金分红条件的，应当采用现金分红进行利润分配。若公司营业收入快速增长，并且董事</w:t>
      </w:r>
      <w:r>
        <w:rPr/>
        <w:t> </w:t>
      </w:r>
      <w:r>
        <w:rPr>
          <w:spacing w:val="-1"/>
        </w:rPr>
        <w:t>会认为公司股票价格与公司股本规模不匹配时，可以在满足上述现金股利分配之余，提出实施股票股利分</w:t>
      </w:r>
      <w:r>
        <w:rPr>
          <w:spacing w:val="-81"/>
        </w:rPr>
        <w:t> </w:t>
      </w:r>
      <w:r>
        <w:rPr>
          <w:spacing w:val="-81"/>
        </w:rPr>
      </w:r>
      <w:r>
        <w:rPr>
          <w:spacing w:val="-1"/>
        </w:rPr>
        <w:t>配预案，具体方案需经公司董事会审议后提交公司股东大会批准。采用股票股利进行利润分配的，应当具</w:t>
      </w:r>
      <w:r>
        <w:rPr>
          <w:spacing w:val="-83"/>
        </w:rPr>
        <w:t> </w:t>
      </w:r>
      <w:r>
        <w:rPr>
          <w:spacing w:val="-83"/>
        </w:rPr>
      </w:r>
      <w:r>
        <w:rPr/>
        <w:t>有公司成长性、每股净资产的摊薄等真实合理因素。</w:t>
      </w:r>
    </w:p>
    <w:p>
      <w:pPr>
        <w:pStyle w:val="BodyText"/>
        <w:spacing w:line="408" w:lineRule="auto"/>
        <w:ind w:right="1130" w:firstLine="420"/>
        <w:jc w:val="both"/>
      </w:pPr>
      <w:r>
        <w:rPr>
          <w:spacing w:val="-1"/>
        </w:rPr>
        <w:t>公司董事会应当综合考虑所处行业特点、发展阶段、自身经营模式、盈利水平以及是否有重大资金支</w:t>
      </w:r>
      <w:r>
        <w:rPr/>
        <w:t> 出安排等因素，区分下列情形，并按照本章程规定的程序，提出差异化的现金分红政策：</w:t>
      </w:r>
    </w:p>
    <w:p>
      <w:pPr>
        <w:pStyle w:val="BodyText"/>
        <w:spacing w:line="386" w:lineRule="auto"/>
        <w:ind w:right="1127" w:firstLine="420"/>
        <w:jc w:val="both"/>
      </w:pPr>
      <w:r>
        <w:rPr>
          <w:rFonts w:ascii="Times New Roman" w:hAnsi="Times New Roman" w:cs="Times New Roman" w:eastAsia="Times New Roman" w:hint="default"/>
        </w:rPr>
        <w:t>1</w:t>
      </w:r>
      <w:r>
        <w:rPr/>
        <w:t>、公司发展阶段属成熟期且无重大资金支出安排的，进行利润分配时，现金分红在本次利润分配中</w:t>
      </w:r>
      <w:r>
        <w:rPr>
          <w:spacing w:val="2"/>
        </w:rPr>
        <w:t> </w:t>
      </w:r>
      <w:r>
        <w:rPr/>
        <w:t>所占比例最低应达到</w:t>
      </w:r>
      <w:r>
        <w:rPr>
          <w:rFonts w:ascii="Times New Roman" w:hAnsi="Times New Roman" w:cs="Times New Roman" w:eastAsia="Times New Roman" w:hint="default"/>
        </w:rPr>
        <w:t>80%</w:t>
      </w:r>
      <w:r>
        <w:rPr/>
        <w:t>；</w:t>
      </w:r>
    </w:p>
    <w:p>
      <w:pPr>
        <w:pStyle w:val="BodyText"/>
        <w:spacing w:line="240" w:lineRule="auto" w:before="35"/>
        <w:ind w:left="574" w:right="1113"/>
        <w:jc w:val="left"/>
      </w:pPr>
      <w:r>
        <w:rPr>
          <w:rFonts w:ascii="Times New Roman" w:hAnsi="Times New Roman" w:cs="Times New Roman" w:eastAsia="Times New Roman" w:hint="default"/>
        </w:rPr>
        <w:t>2</w:t>
      </w:r>
      <w:r>
        <w:rPr/>
        <w:t>、公司发展阶段属成熟期且有重大资金支出安排的，进行利润分配时，现金分红在本次利润分配中</w:t>
      </w:r>
    </w:p>
    <w:p>
      <w:pPr>
        <w:spacing w:after="0" w:line="240"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240" w:lineRule="auto" w:before="35"/>
        <w:ind w:right="0"/>
        <w:jc w:val="both"/>
      </w:pPr>
      <w:r>
        <w:rPr/>
        <w:t>所占比例最低应达到</w:t>
      </w:r>
      <w:r>
        <w:rPr>
          <w:rFonts w:ascii="Times New Roman" w:hAnsi="Times New Roman" w:cs="Times New Roman" w:eastAsia="Times New Roman" w:hint="default"/>
        </w:rPr>
        <w:t>40%</w:t>
      </w:r>
      <w:r>
        <w:rPr/>
        <w:t>；</w:t>
      </w:r>
    </w:p>
    <w:p>
      <w:pPr>
        <w:pStyle w:val="BodyText"/>
        <w:spacing w:line="386" w:lineRule="auto" w:before="177"/>
        <w:ind w:left="153" w:right="1127" w:firstLine="420"/>
        <w:jc w:val="both"/>
      </w:pPr>
      <w:r>
        <w:rPr>
          <w:rFonts w:ascii="Times New Roman" w:hAnsi="Times New Roman" w:cs="Times New Roman" w:eastAsia="Times New Roman" w:hint="default"/>
        </w:rPr>
        <w:t>3</w:t>
      </w:r>
      <w:r>
        <w:rPr/>
        <w:t>、公司发展阶段属成长期且有重大资金支出安排的，进行利润分配时，现金分红在本次利润分配中</w:t>
      </w:r>
      <w:r>
        <w:rPr>
          <w:spacing w:val="2"/>
        </w:rPr>
        <w:t> </w:t>
      </w:r>
      <w:r>
        <w:rPr/>
        <w:t>所占比例最低应达到</w:t>
      </w:r>
      <w:r>
        <w:rPr>
          <w:rFonts w:ascii="Times New Roman" w:hAnsi="Times New Roman" w:cs="Times New Roman" w:eastAsia="Times New Roman" w:hint="default"/>
        </w:rPr>
        <w:t>20%</w:t>
      </w:r>
      <w:r>
        <w:rPr/>
        <w:t>；</w:t>
      </w:r>
    </w:p>
    <w:p>
      <w:pPr>
        <w:pStyle w:val="BodyText"/>
        <w:spacing w:line="408" w:lineRule="auto" w:before="35"/>
        <w:ind w:left="573" w:right="1113"/>
        <w:jc w:val="left"/>
      </w:pPr>
      <w:r>
        <w:rPr/>
        <w:t>公司发展阶段不易区分但有重大资金支出安排的，可以按照前项规定处理。 </w:t>
      </w:r>
      <w:r>
        <w:rPr>
          <w:spacing w:val="-1"/>
        </w:rPr>
        <w:t>公司的利润分配政策经董事会审议、监事会审核后，报股东大会表决通过。公司制定各期利润分配的</w:t>
      </w:r>
    </w:p>
    <w:p>
      <w:pPr>
        <w:pStyle w:val="BodyText"/>
        <w:spacing w:line="408" w:lineRule="auto"/>
        <w:ind w:left="153" w:right="1131"/>
        <w:jc w:val="both"/>
      </w:pPr>
      <w:r>
        <w:rPr>
          <w:spacing w:val="-1"/>
        </w:rPr>
        <w:t>具体规划和计划安排，以及调整规划或计划安排时，应按照有关法律、行政法规、部门规章及本章程的规</w:t>
      </w:r>
      <w:r>
        <w:rPr>
          <w:spacing w:val="-82"/>
        </w:rPr>
        <w:t> </w:t>
      </w:r>
      <w:r>
        <w:rPr>
          <w:spacing w:val="-82"/>
        </w:rPr>
      </w:r>
      <w:r>
        <w:rPr>
          <w:spacing w:val="-1"/>
        </w:rPr>
        <w:t>定，并充分听取独立董事、外部监事和公众股东的意见；公司在制定现金分红具体方案时，董事会应当认</w:t>
      </w:r>
      <w:r>
        <w:rPr>
          <w:spacing w:val="-82"/>
        </w:rPr>
        <w:t> </w:t>
      </w:r>
      <w:r>
        <w:rPr>
          <w:spacing w:val="-82"/>
        </w:rPr>
      </w:r>
      <w:r>
        <w:rPr>
          <w:spacing w:val="-1"/>
        </w:rPr>
        <w:t>真研究和论证公司现金分红的时机、条件和最低比例、调整的条件及其决策程序要求等事宜，独立董事应</w:t>
      </w:r>
      <w:r>
        <w:rPr>
          <w:spacing w:val="-83"/>
        </w:rPr>
        <w:t> </w:t>
      </w:r>
      <w:r>
        <w:rPr>
          <w:spacing w:val="-83"/>
        </w:rPr>
      </w:r>
      <w:r>
        <w:rPr>
          <w:spacing w:val="-1"/>
        </w:rPr>
        <w:t>当发表明确意见。独立董事可以征集中小股东的意见，提出分红提案，并直接提交董事会审议。股东大会</w:t>
      </w:r>
      <w:r>
        <w:rPr>
          <w:spacing w:val="-82"/>
        </w:rPr>
        <w:t> </w:t>
      </w:r>
      <w:r>
        <w:rPr>
          <w:spacing w:val="-82"/>
        </w:rPr>
      </w:r>
      <w:r>
        <w:rPr>
          <w:spacing w:val="-1"/>
        </w:rPr>
        <w:t>对现金分红具体方案进行审议前，公司应当通过多种渠道主动与股东特别是中小股东进行沟通和交流，充</w:t>
      </w:r>
      <w:r>
        <w:rPr>
          <w:spacing w:val="-81"/>
        </w:rPr>
        <w:t> </w:t>
      </w:r>
      <w:r>
        <w:rPr>
          <w:spacing w:val="-81"/>
        </w:rPr>
      </w:r>
      <w:r>
        <w:rPr/>
        <w:t>分听取中小股东的意见和诉求，及时答复中小股东关心的问题。</w:t>
      </w:r>
    </w:p>
    <w:p>
      <w:pPr>
        <w:pStyle w:val="BodyText"/>
        <w:spacing w:line="405" w:lineRule="auto"/>
        <w:ind w:left="153" w:right="1122" w:firstLine="420"/>
        <w:jc w:val="both"/>
      </w:pPr>
      <w:r>
        <w:rPr>
          <w:spacing w:val="-1"/>
        </w:rPr>
        <w:t>公司应当严格执行公司章程确定的现金分红政策以及股东大会审议批准的现金分红具体方案。确有必</w:t>
      </w:r>
      <w:r>
        <w:rPr/>
        <w:t> </w:t>
      </w:r>
      <w:r>
        <w:rPr>
          <w:spacing w:val="3"/>
        </w:rPr>
        <w:t>要对公司章程确定的利润分配政策特别是现金分红政策进行调整或者变更的，应以股东权益保护为出发</w:t>
      </w:r>
      <w:r>
        <w:rPr>
          <w:spacing w:val="-78"/>
        </w:rPr>
        <w:t> </w:t>
      </w:r>
      <w:r>
        <w:rPr>
          <w:spacing w:val="-78"/>
        </w:rPr>
      </w:r>
      <w:r>
        <w:rPr>
          <w:spacing w:val="-1"/>
        </w:rPr>
        <w:t>点，由公司董事会、监事会进行研究论证并在股东大会提案中详细论证和说明原因，经调整的利润分配政</w:t>
      </w:r>
      <w:r>
        <w:rPr>
          <w:spacing w:val="-83"/>
        </w:rPr>
        <w:t> </w:t>
      </w:r>
      <w:r>
        <w:rPr>
          <w:spacing w:val="-83"/>
        </w:rPr>
      </w:r>
      <w:r>
        <w:rPr>
          <w:spacing w:val="-1"/>
        </w:rPr>
        <w:t>策应当符合有关法律、行政法规、部门规章及本章程的规定并须经董事会审议、监事会审核后提交股东大</w:t>
      </w:r>
      <w:r>
        <w:rPr>
          <w:spacing w:val="-83"/>
        </w:rPr>
        <w:t> </w:t>
      </w:r>
      <w:r>
        <w:rPr>
          <w:spacing w:val="-83"/>
        </w:rPr>
      </w:r>
      <w:r>
        <w:rPr>
          <w:spacing w:val="-2"/>
        </w:rPr>
        <w:t>会审议，并经出席股东大会的股东所持表决权的</w:t>
      </w:r>
      <w:r>
        <w:rPr>
          <w:rFonts w:ascii="Times New Roman" w:hAnsi="Times New Roman" w:cs="Times New Roman" w:eastAsia="Times New Roman" w:hint="default"/>
          <w:spacing w:val="-2"/>
        </w:rPr>
        <w:t>2/3</w:t>
      </w:r>
      <w:r>
        <w:rPr>
          <w:spacing w:val="-2"/>
        </w:rPr>
        <w:t>以上通过。股东大会审议该等议案时，公司应当提供网</w:t>
      </w:r>
      <w:r>
        <w:rPr>
          <w:spacing w:val="-92"/>
        </w:rPr>
        <w:t> </w:t>
      </w:r>
      <w:r>
        <w:rPr>
          <w:spacing w:val="-92"/>
        </w:rPr>
      </w:r>
      <w:r>
        <w:rPr>
          <w:spacing w:val="-1"/>
        </w:rPr>
        <w:t>络投票表决方式为公众股东参加股东大会提供便利。对于公司利润分配政策的调整或者变更事项，独立董</w:t>
      </w:r>
      <w:r>
        <w:rPr>
          <w:spacing w:val="-81"/>
        </w:rPr>
        <w:t> </w:t>
      </w:r>
      <w:r>
        <w:rPr>
          <w:spacing w:val="-81"/>
        </w:rPr>
      </w:r>
      <w:r>
        <w:rPr/>
        <w:t>事应当发表独立意见。</w:t>
      </w:r>
    </w:p>
    <w:p>
      <w:pPr>
        <w:pStyle w:val="BodyText"/>
        <w:spacing w:line="408" w:lineRule="auto" w:before="48"/>
        <w:ind w:left="153" w:right="1131" w:firstLine="420"/>
        <w:jc w:val="both"/>
        <w:rPr>
          <w:rFonts w:ascii="Times New Roman" w:hAnsi="Times New Roman" w:cs="Times New Roman" w:eastAsia="Times New Roman" w:hint="default"/>
        </w:rPr>
      </w:pPr>
      <w:r>
        <w:rPr>
          <w:spacing w:val="-1"/>
        </w:rPr>
        <w:t>公司制定分红回报规划应当着眼于公司的长远和可持续发展，在综合分析企业经营发展实际、股东要</w:t>
      </w:r>
      <w:r>
        <w:rPr/>
        <w:t> </w:t>
      </w:r>
      <w:r>
        <w:rPr>
          <w:spacing w:val="-3"/>
        </w:rPr>
        <w:t>求和意愿、社会资金成本、外部融资环境等因素的基础上，建立对投资者持续、稳定、科学的回报机制。</w:t>
      </w:r>
      <w:r>
        <w:rPr>
          <w:rFonts w:ascii="Times New Roman" w:hAnsi="Times New Roman" w:cs="Times New Roman" w:eastAsia="Times New Roman" w:hint="default"/>
          <w:spacing w:val="-3"/>
        </w:rPr>
        <w:t>”</w:t>
      </w:r>
    </w:p>
    <w:p>
      <w:pPr>
        <w:pStyle w:val="BodyText"/>
        <w:spacing w:line="408" w:lineRule="auto" w:before="14"/>
        <w:ind w:left="573" w:right="1113"/>
        <w:jc w:val="left"/>
      </w:pPr>
      <w:r>
        <w:rPr/>
        <w:t>（二）报告期内公司分红派息执行情况 </w:t>
      </w:r>
      <w:r>
        <w:rPr>
          <w:spacing w:val="8"/>
        </w:rPr>
        <w:t>经立信会计师事务所（特殊普通合伙）审计：公司</w:t>
      </w:r>
      <w:r>
        <w:rPr>
          <w:rFonts w:ascii="Times New Roman" w:hAnsi="Times New Roman" w:cs="Times New Roman" w:eastAsia="Times New Roman" w:hint="default"/>
          <w:spacing w:val="8"/>
        </w:rPr>
        <w:t>2018</w:t>
      </w:r>
      <w:r>
        <w:rPr>
          <w:spacing w:val="8"/>
        </w:rPr>
        <w:t>年度实现归属于上市公司股东的净利润为</w:t>
      </w:r>
    </w:p>
    <w:p>
      <w:pPr>
        <w:pStyle w:val="BodyText"/>
        <w:spacing w:line="386" w:lineRule="auto" w:before="14"/>
        <w:ind w:left="574" w:right="1124" w:hanging="421"/>
        <w:jc w:val="left"/>
      </w:pPr>
      <w:r>
        <w:rPr>
          <w:rFonts w:ascii="Times New Roman" w:hAnsi="Times New Roman" w:cs="Times New Roman" w:eastAsia="Times New Roman" w:hint="default"/>
        </w:rPr>
        <w:t>96,112,608.43</w:t>
      </w:r>
      <w:r>
        <w:rPr/>
        <w:t>元，母公司实现的净利润为</w:t>
      </w:r>
      <w:r>
        <w:rPr>
          <w:rFonts w:ascii="Times New Roman" w:hAnsi="Times New Roman" w:cs="Times New Roman" w:eastAsia="Times New Roman" w:hint="default"/>
        </w:rPr>
        <w:t>55,763,813.81</w:t>
      </w:r>
      <w:r>
        <w:rPr/>
        <w:t>元。 </w:t>
      </w:r>
      <w:r>
        <w:rPr>
          <w:spacing w:val="-1"/>
        </w:rPr>
        <w:t>根据《公司章程》的有关规定，母公司应当提取利润的</w:t>
      </w:r>
      <w:r>
        <w:rPr>
          <w:rFonts w:ascii="Times New Roman" w:hAnsi="Times New Roman" w:cs="Times New Roman" w:eastAsia="Times New Roman" w:hint="default"/>
          <w:spacing w:val="-1"/>
        </w:rPr>
        <w:t>10%</w:t>
      </w:r>
      <w:r>
        <w:rPr>
          <w:spacing w:val="-1"/>
        </w:rPr>
        <w:t>，即</w:t>
      </w:r>
      <w:r>
        <w:rPr>
          <w:rFonts w:ascii="Times New Roman" w:hAnsi="Times New Roman" w:cs="Times New Roman" w:eastAsia="Times New Roman" w:hint="default"/>
          <w:spacing w:val="-1"/>
        </w:rPr>
        <w:t>5,576,381.38</w:t>
      </w:r>
      <w:r>
        <w:rPr>
          <w:spacing w:val="-1"/>
        </w:rPr>
        <w:t>元作为法定公积金。截至</w:t>
      </w:r>
    </w:p>
    <w:p>
      <w:pPr>
        <w:pStyle w:val="BodyText"/>
        <w:spacing w:line="386" w:lineRule="auto" w:before="35"/>
        <w:ind w:left="574" w:right="1113" w:hanging="42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日，母公司可供分配的利润为</w:t>
      </w:r>
      <w:r>
        <w:rPr>
          <w:rFonts w:ascii="Times New Roman" w:hAnsi="Times New Roman" w:cs="Times New Roman" w:eastAsia="Times New Roman" w:hint="default"/>
        </w:rPr>
        <w:t>312,793,415.15</w:t>
      </w:r>
      <w:r>
        <w:rPr/>
        <w:t>元，资本公积余额为</w:t>
      </w:r>
      <w:r>
        <w:rPr>
          <w:rFonts w:ascii="Times New Roman" w:hAnsi="Times New Roman" w:cs="Times New Roman" w:eastAsia="Times New Roman" w:hint="default"/>
        </w:rPr>
        <w:t>479,950,978.98</w:t>
      </w:r>
      <w:r>
        <w:rPr/>
        <w:t>元。 </w:t>
      </w:r>
      <w:r>
        <w:rPr>
          <w:spacing w:val="-1"/>
        </w:rPr>
        <w:t>考虑到公司业务持续发展，且经营现金流同步增长，在符合利润分配原则、保证公司正常经营和长远</w:t>
      </w:r>
    </w:p>
    <w:p>
      <w:pPr>
        <w:pStyle w:val="BodyText"/>
        <w:spacing w:line="393" w:lineRule="auto" w:before="65"/>
        <w:ind w:right="1108"/>
        <w:jc w:val="both"/>
      </w:pPr>
      <w:r>
        <w:rPr/>
        <w:t>发展的前提下，为了更好的兼顾股东的即期利益和长远利益，使公司的价值能够更加公允、客观的体现， </w:t>
      </w:r>
      <w:r>
        <w:rPr>
          <w:spacing w:val="-1"/>
        </w:rPr>
        <w:t>从长远角度回报投资者，使全体股东分享公司成长的经营成果，</w:t>
      </w:r>
      <w:r>
        <w:rPr>
          <w:rFonts w:ascii="Times New Roman" w:hAnsi="Times New Roman" w:cs="Times New Roman" w:eastAsia="Times New Roman" w:hint="default"/>
          <w:spacing w:val="-1"/>
        </w:rPr>
        <w:t>2018</w:t>
      </w:r>
      <w:r>
        <w:rPr>
          <w:spacing w:val="-1"/>
        </w:rPr>
        <w:t>年度公司利润分配预案如下：以截止</w:t>
      </w:r>
      <w:r>
        <w:rPr>
          <w:spacing w:val="-83"/>
        </w:rPr>
        <w:t> </w:t>
      </w:r>
      <w:r>
        <w:rPr>
          <w:spacing w:val="-83"/>
        </w:rPr>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481,092,495</w:t>
      </w:r>
      <w:r>
        <w:rPr>
          <w:spacing w:val="-2"/>
        </w:rPr>
        <w:t>股为基数，向全体股东每</w:t>
      </w:r>
      <w:r>
        <w:rPr>
          <w:rFonts w:ascii="Times New Roman" w:hAnsi="Times New Roman" w:cs="Times New Roman" w:eastAsia="Times New Roman" w:hint="default"/>
          <w:spacing w:val="-2"/>
        </w:rPr>
        <w:t>10</w:t>
      </w:r>
      <w:r>
        <w:rPr>
          <w:spacing w:val="-2"/>
        </w:rPr>
        <w:t>股派发现金</w:t>
      </w:r>
      <w:r>
        <w:rPr>
          <w:rFonts w:ascii="Times New Roman" w:hAnsi="Times New Roman" w:cs="Times New Roman" w:eastAsia="Times New Roman" w:hint="default"/>
          <w:spacing w:val="-2"/>
        </w:rPr>
        <w:t>0.4</w:t>
      </w:r>
      <w:r>
        <w:rPr>
          <w:spacing w:val="-2"/>
        </w:rPr>
        <w:t>元人民币（含税），合计</w:t>
      </w:r>
      <w:r>
        <w:rPr>
          <w:spacing w:val="-82"/>
        </w:rPr>
        <w:t> </w:t>
      </w:r>
      <w:r>
        <w:rPr>
          <w:spacing w:val="-82"/>
        </w:rPr>
      </w:r>
      <w:r>
        <w:rPr/>
        <w:t>派发现金股利为人民币</w:t>
      </w:r>
      <w:r>
        <w:rPr>
          <w:rFonts w:ascii="Times New Roman" w:hAnsi="Times New Roman" w:cs="Times New Roman" w:eastAsia="Times New Roman" w:hint="default"/>
        </w:rPr>
        <w:t>19,243,699.80</w:t>
      </w:r>
      <w:r>
        <w:rPr/>
        <w:t>元（含税）。</w:t>
      </w:r>
    </w:p>
    <w:p>
      <w:pPr>
        <w:spacing w:after="0" w:line="393" w:lineRule="auto"/>
        <w:jc w:val="both"/>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400" w:lineRule="auto" w:before="35"/>
        <w:ind w:left="153" w:right="993" w:firstLine="420"/>
        <w:jc w:val="left"/>
      </w:pPr>
      <w:r>
        <w:rPr/>
        <w:t>公司第四届董事会第二十二次会议及第四届监事会第二十次会议审议通过，公司独立董事发表了同意 </w:t>
      </w:r>
      <w:r>
        <w:rPr>
          <w:spacing w:val="-1"/>
        </w:rPr>
        <w:t>的独立意见。公司</w:t>
      </w:r>
      <w:r>
        <w:rPr>
          <w:rFonts w:ascii="Times New Roman" w:hAnsi="Times New Roman" w:cs="Times New Roman" w:eastAsia="Times New Roman" w:hint="default"/>
          <w:spacing w:val="-1"/>
        </w:rPr>
        <w:t>2018</w:t>
      </w:r>
      <w:r>
        <w:rPr>
          <w:spacing w:val="-1"/>
        </w:rPr>
        <w:t>年度利润分配预案已经由</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19</w:t>
      </w:r>
      <w:r>
        <w:rPr>
          <w:spacing w:val="-1"/>
        </w:rPr>
        <w:t>日召开的公司</w:t>
      </w:r>
      <w:r>
        <w:rPr>
          <w:rFonts w:ascii="Times New Roman" w:hAnsi="Times New Roman" w:cs="Times New Roman" w:eastAsia="Times New Roman" w:hint="default"/>
          <w:spacing w:val="-1"/>
        </w:rPr>
        <w:t>2018</w:t>
      </w:r>
      <w:r>
        <w:rPr>
          <w:spacing w:val="-1"/>
        </w:rPr>
        <w:t>年年度股东大会审议通过。</w:t>
      </w:r>
      <w:r>
        <w:rPr>
          <w:spacing w:val="-85"/>
        </w:rPr>
        <w:t> </w:t>
      </w:r>
      <w:r>
        <w:rPr>
          <w:spacing w:val="-85"/>
        </w:rPr>
      </w:r>
      <w:r>
        <w:rPr/>
        <w:t>本次股东大会公司采用了现场投票与网络投票相结合的方式，为中小股东提供了充分表达意见和诉求的便</w:t>
      </w:r>
      <w:r>
        <w:rPr/>
        <w:t> 利机会，维护了中小股东的合法权益。</w:t>
      </w:r>
    </w:p>
    <w:p>
      <w:pPr>
        <w:pStyle w:val="BodyText"/>
        <w:spacing w:line="240" w:lineRule="auto" w:before="52"/>
        <w:ind w:left="573" w:right="993"/>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日，公司在《巨潮资讯网》上刊登了《</w:t>
      </w:r>
      <w:r>
        <w:rPr>
          <w:rFonts w:ascii="Times New Roman" w:hAnsi="Times New Roman" w:cs="Times New Roman" w:eastAsia="Times New Roman" w:hint="default"/>
        </w:rPr>
        <w:t>2018</w:t>
      </w:r>
      <w:r>
        <w:rPr/>
        <w:t>年年度权益分派实施公告》，截至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p>
    <w:p>
      <w:pPr>
        <w:pStyle w:val="BodyText"/>
        <w:spacing w:line="240" w:lineRule="auto" w:before="177"/>
        <w:ind w:right="1113"/>
        <w:jc w:val="left"/>
      </w:pPr>
      <w:r>
        <w:rPr>
          <w:rFonts w:ascii="Times New Roman" w:hAnsi="Times New Roman" w:cs="Times New Roman" w:eastAsia="Times New Roman" w:hint="default"/>
        </w:rPr>
        <w:t>18</w:t>
      </w:r>
      <w:r>
        <w:rPr/>
        <w:t>日，公司</w:t>
      </w:r>
      <w:r>
        <w:rPr>
          <w:rFonts w:ascii="Times New Roman" w:hAnsi="Times New Roman" w:cs="Times New Roman" w:eastAsia="Times New Roman" w:hint="default"/>
        </w:rPr>
        <w:t>2018</w:t>
      </w:r>
      <w:r>
        <w:rPr/>
        <w:t>年年度权益分派已实施完毕。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before="44"/>
        <w:ind w:left="0" w:right="1139" w:firstLine="0"/>
        <w:jc w:val="right"/>
        <w:rPr>
          <w:rFonts w:ascii="宋体" w:hAnsi="宋体" w:cs="宋体" w:eastAsia="宋体" w:hint="default"/>
          <w:sz w:val="18"/>
          <w:szCs w:val="18"/>
        </w:rPr>
      </w:pPr>
      <w:r>
        <w:rPr/>
        <w:pict>
          <v:shape style="position:absolute;margin-left:56.459999pt;margin-top:-221.648026pt;width:479.1pt;height:390.8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4"/>
                    <w:gridCol w:w="4783"/>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317"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3"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18" w:firstLine="360"/>
                          <w:jc w:val="both"/>
                          <w:rPr>
                            <w:rFonts w:ascii="宋体" w:hAnsi="宋体" w:cs="宋体" w:eastAsia="宋体" w:hint="default"/>
                            <w:sz w:val="18"/>
                            <w:szCs w:val="18"/>
                          </w:rPr>
                        </w:pPr>
                        <w:r>
                          <w:rPr>
                            <w:rFonts w:ascii="宋体" w:hAnsi="宋体" w:cs="宋体" w:eastAsia="宋体" w:hint="default"/>
                            <w:sz w:val="18"/>
                            <w:szCs w:val="18"/>
                          </w:rPr>
                          <w:t>报告期内，公司严格按照《公司章程》的相关利润分配</w:t>
                        </w:r>
                        <w:r>
                          <w:rPr>
                            <w:rFonts w:ascii="宋体" w:hAnsi="宋体" w:cs="宋体" w:eastAsia="宋体" w:hint="default"/>
                            <w:spacing w:val="2"/>
                            <w:sz w:val="18"/>
                            <w:szCs w:val="18"/>
                          </w:rPr>
                          <w:t> </w:t>
                        </w:r>
                        <w:r>
                          <w:rPr>
                            <w:rFonts w:ascii="宋体" w:hAnsi="宋体" w:cs="宋体" w:eastAsia="宋体" w:hint="default"/>
                            <w:sz w:val="18"/>
                            <w:szCs w:val="18"/>
                          </w:rPr>
                          <w:t>政策和审议程序实施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pacing w:val="-3"/>
                            <w:sz w:val="18"/>
                            <w:szCs w:val="18"/>
                          </w:rPr>
                          <w:t>年度利润分配方案，并在规定时间</w:t>
                        </w:r>
                        <w:r>
                          <w:rPr>
                            <w:rFonts w:ascii="宋体" w:hAnsi="宋体" w:cs="宋体" w:eastAsia="宋体" w:hint="default"/>
                            <w:sz w:val="18"/>
                            <w:szCs w:val="18"/>
                          </w:rPr>
                          <w:t> 内实施了权益分派。</w:t>
                        </w:r>
                      </w:p>
                    </w:tc>
                  </w:tr>
                  <w:tr>
                    <w:trPr>
                      <w:trHeight w:val="39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3" w:type="dxa"/>
                        <w:vMerge/>
                        <w:tcBorders>
                          <w:left w:val="single" w:sz="4" w:space="0" w:color="000000"/>
                          <w:right w:val="single" w:sz="4" w:space="0" w:color="000000"/>
                        </w:tcBorders>
                      </w:tcPr>
                      <w:p>
                        <w:pPr/>
                      </w:p>
                    </w:tc>
                  </w:tr>
                  <w:tr>
                    <w:trPr>
                      <w:trHeight w:val="317"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3" w:type="dxa"/>
                        <w:vMerge/>
                        <w:tcBorders>
                          <w:left w:val="single" w:sz="4" w:space="0" w:color="000000"/>
                          <w:bottom w:val="single" w:sz="4" w:space="0" w:color="000000"/>
                          <w:right w:val="single" w:sz="4" w:space="0" w:color="000000"/>
                        </w:tcBorders>
                      </w:tcPr>
                      <w:p>
                        <w:pP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《公司章程》中规定的分红标准和分红比例明确清晰。</w:t>
                        </w:r>
                      </w:p>
                    </w:tc>
                  </w:tr>
                  <w:tr>
                    <w:trPr>
                      <w:trHeight w:val="317"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3"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19" w:firstLine="36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年度利润分配方案经由董事会、监事会审议通</w:t>
                        </w:r>
                        <w:r>
                          <w:rPr>
                            <w:rFonts w:ascii="宋体" w:hAnsi="宋体" w:cs="宋体" w:eastAsia="宋体" w:hint="default"/>
                            <w:sz w:val="18"/>
                            <w:szCs w:val="18"/>
                          </w:rPr>
                          <w:t> 过后提交股东大会审议，独立董事发表了独立意见，相关决</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策程序和机制完备。</w:t>
                        </w:r>
                      </w:p>
                    </w:tc>
                  </w:tr>
                  <w:tr>
                    <w:trPr>
                      <w:trHeight w:val="39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3" w:type="dxa"/>
                        <w:vMerge/>
                        <w:tcBorders>
                          <w:left w:val="single" w:sz="4" w:space="0" w:color="000000"/>
                          <w:right w:val="single" w:sz="4" w:space="0" w:color="000000"/>
                        </w:tcBorders>
                      </w:tcPr>
                      <w:p>
                        <w:pPr/>
                      </w:p>
                    </w:tc>
                  </w:tr>
                  <w:tr>
                    <w:trPr>
                      <w:trHeight w:val="317"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3" w:type="dxa"/>
                        <w:vMerge/>
                        <w:tcBorders>
                          <w:left w:val="single" w:sz="4" w:space="0" w:color="000000"/>
                          <w:bottom w:val="single" w:sz="4" w:space="0" w:color="000000"/>
                          <w:right w:val="single" w:sz="4" w:space="0" w:color="000000"/>
                        </w:tcBorders>
                      </w:tcPr>
                      <w:p>
                        <w:pPr/>
                      </w:p>
                    </w:tc>
                  </w:tr>
                  <w:tr>
                    <w:trPr>
                      <w:trHeight w:val="941"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3"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19" w:firstLine="360"/>
                          <w:jc w:val="left"/>
                          <w:rPr>
                            <w:rFonts w:ascii="宋体" w:hAnsi="宋体" w:cs="宋体" w:eastAsia="宋体" w:hint="default"/>
                            <w:sz w:val="18"/>
                            <w:szCs w:val="18"/>
                          </w:rPr>
                        </w:pPr>
                        <w:r>
                          <w:rPr>
                            <w:rFonts w:ascii="宋体" w:hAnsi="宋体" w:cs="宋体" w:eastAsia="宋体" w:hint="default"/>
                            <w:sz w:val="18"/>
                            <w:szCs w:val="18"/>
                          </w:rPr>
                          <w:t>公司独立董事认为公司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年度利润分配预案符合公司 实际情况，符合公司实际开展业务和未来发展的需要，没有</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违反《公司法》和《公司章程》的有关规定，未损害公司股</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东尤其是中小股东的利益，有利于公司的正常经营和健康发</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展，有利于公司的价值更加公允、客观地体现，同时能为投</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资者提供更多的保障，从长远角度回报投资者，具备合法性</w:t>
                        </w:r>
                        <w:r>
                          <w:rPr>
                            <w:rFonts w:ascii="宋体" w:hAnsi="宋体" w:cs="宋体" w:eastAsia="宋体" w:hint="default"/>
                            <w:sz w:val="18"/>
                            <w:szCs w:val="18"/>
                          </w:rPr>
                          <w:t> 合规性、合理性。</w:t>
                        </w:r>
                      </w:p>
                    </w:tc>
                  </w:tr>
                  <w:tr>
                    <w:trPr>
                      <w:trHeight w:val="39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3" w:type="dxa"/>
                        <w:vMerge/>
                        <w:tcBorders>
                          <w:left w:val="single" w:sz="4" w:space="0" w:color="000000"/>
                          <w:right w:val="single" w:sz="4" w:space="0" w:color="000000"/>
                        </w:tcBorders>
                      </w:tcPr>
                      <w:p>
                        <w:pPr/>
                      </w:p>
                    </w:tc>
                  </w:tr>
                  <w:tr>
                    <w:trPr>
                      <w:trHeight w:val="941"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3" w:type="dxa"/>
                        <w:vMerge/>
                        <w:tcBorders>
                          <w:left w:val="single" w:sz="4" w:space="0" w:color="000000"/>
                          <w:bottom w:val="single" w:sz="4" w:space="0" w:color="000000"/>
                          <w:right w:val="single" w:sz="4" w:space="0" w:color="000000"/>
                        </w:tcBorders>
                      </w:tcPr>
                      <w:p>
                        <w:pPr/>
                      </w:p>
                    </w:tc>
                  </w:tr>
                  <w:tr>
                    <w:trPr>
                      <w:trHeight w:val="629"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3"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18" w:firstLine="360"/>
                          <w:jc w:val="both"/>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w:t>
                        </w:r>
                        <w:r>
                          <w:rPr>
                            <w:rFonts w:ascii="宋体" w:hAnsi="宋体" w:cs="宋体" w:eastAsia="宋体" w:hint="default"/>
                            <w:spacing w:val="2"/>
                            <w:sz w:val="18"/>
                            <w:szCs w:val="18"/>
                          </w:rPr>
                          <w:t> </w:t>
                        </w:r>
                        <w:r>
                          <w:rPr>
                            <w:rFonts w:ascii="宋体" w:hAnsi="宋体" w:cs="宋体" w:eastAsia="宋体" w:hint="default"/>
                            <w:sz w:val="18"/>
                            <w:szCs w:val="18"/>
                          </w:rPr>
                          <w:t>益是否得到了充分保护：公司在召开修订利润分配政策及审</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议</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年度利润分配方案的股东大会时，采取现场投票与网 络投票相结合的表决方式，为中小投资者参与本次决策提供</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了充分的便利。公司利润分配决策程序和机制完备，充分考</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虑了广大投资者的合理诉求，其合法权益得到了充分保护。</w:t>
                        </w:r>
                      </w:p>
                    </w:tc>
                  </w:tr>
                  <w:tr>
                    <w:trPr>
                      <w:trHeight w:val="704"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3" w:type="dxa"/>
                        <w:vMerge/>
                        <w:tcBorders>
                          <w:left w:val="single" w:sz="4" w:space="0" w:color="000000"/>
                          <w:right w:val="single" w:sz="4" w:space="0" w:color="000000"/>
                        </w:tcBorders>
                      </w:tcPr>
                      <w:p>
                        <w:pPr/>
                      </w:p>
                    </w:tc>
                  </w:tr>
                  <w:tr>
                    <w:trPr>
                      <w:trHeight w:val="629"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3" w:type="dxa"/>
                        <w:vMerge/>
                        <w:tcBorders>
                          <w:left w:val="single" w:sz="4" w:space="0" w:color="000000"/>
                          <w:bottom w:val="single" w:sz="4" w:space="0" w:color="000000"/>
                          <w:right w:val="single" w:sz="4" w:space="0" w:color="000000"/>
                        </w:tcBorders>
                      </w:tcPr>
                      <w:p>
                        <w:pP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240" w:lineRule="auto" w:before="12"/>
        <w:rPr>
          <w:rFonts w:ascii="宋体" w:hAnsi="宋体" w:cs="宋体" w:eastAsia="宋体" w:hint="default"/>
          <w:sz w:val="20"/>
          <w:szCs w:val="20"/>
        </w:rPr>
      </w:pPr>
    </w:p>
    <w:p>
      <w:pPr>
        <w:spacing w:line="504" w:lineRule="auto" w:before="0"/>
        <w:ind w:left="154" w:right="42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本年度利润分配及资本公积金转增股本情况</w:t>
      </w:r>
    </w:p>
    <w:tbl>
      <w:tblPr>
        <w:tblW w:w="0" w:type="auto"/>
        <w:jc w:val="left"/>
        <w:tblInd w:w="14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18"/>
                <w:szCs w:val="18"/>
              </w:rPr>
            </w:pPr>
            <w:r>
              <w:rPr>
                <w:rFonts w:ascii="Times New Roman"/>
                <w:sz w:val="18"/>
              </w:rPr>
              <w:t>0.6</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0"/>
        <w:rPr>
          <w:rFonts w:ascii="宋体" w:hAnsi="宋体" w:cs="宋体" w:eastAsia="宋体" w:hint="default"/>
          <w:sz w:val="20"/>
          <w:szCs w:val="20"/>
        </w:rPr>
      </w:pPr>
      <w:r>
        <w:rPr/>
        <w:pict>
          <v:shape style="position:absolute;margin-left:218.640915pt;margin-top:112.68pt;width:316.2pt;height:19.650pt;mso-position-horizontal-relative:page;mso-position-vertical-relative:page;z-index:-159937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（元）</w:t>
                  </w: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before="44"/>
        <w:ind w:left="0" w:right="1156" w:firstLine="0"/>
        <w:jc w:val="right"/>
        <w:rPr>
          <w:rFonts w:ascii="宋体" w:hAnsi="宋体" w:cs="宋体" w:eastAsia="宋体" w:hint="default"/>
          <w:sz w:val="18"/>
          <w:szCs w:val="18"/>
        </w:rPr>
      </w:pPr>
      <w:r>
        <w:rPr/>
        <w:pict>
          <v:shape style="position:absolute;margin-left:56.459999pt;margin-top:-197.348007pt;width:480.25pt;height:330.3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18"/>
                    <w:gridCol w:w="5850"/>
                  </w:tblGrid>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481,092,495</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28,865,549.70</w:t>
                        </w:r>
                      </w:p>
                    </w:tc>
                  </w:tr>
                  <w:tr>
                    <w:trPr>
                      <w:trHeight w:val="402" w:hRule="exact"/>
                    </w:trPr>
                    <w:tc>
                      <w:tcPr>
                        <w:tcW w:w="3718"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w:t>
                        </w:r>
                      </w:p>
                    </w:tc>
                    <w:tc>
                      <w:tcPr>
                        <w:tcW w:w="5850"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28,865,549.70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419,689,295.00</w:t>
                        </w:r>
                      </w:p>
                    </w:tc>
                  </w:tr>
                  <w:tr>
                    <w:trPr>
                      <w:trHeight w:val="714"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666"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经立信会计师事务所（特殊普通合伙）审计：公司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年度实现归属于上市公司股东的净利润为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157,690,483.05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母公司实现的净利润为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137,780,796.72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1"/>
                          <w:ind w:left="382" w:right="0"/>
                          <w:jc w:val="left"/>
                          <w:rPr>
                            <w:rFonts w:ascii="宋体" w:hAnsi="宋体" w:cs="宋体" w:eastAsia="宋体" w:hint="default"/>
                            <w:sz w:val="18"/>
                            <w:szCs w:val="18"/>
                          </w:rPr>
                        </w:pPr>
                        <w:r>
                          <w:rPr>
                            <w:rFonts w:ascii="宋体" w:hAnsi="宋体" w:cs="宋体" w:eastAsia="宋体" w:hint="default"/>
                            <w:sz w:val="18"/>
                            <w:szCs w:val="18"/>
                          </w:rPr>
                          <w:t>根据《公司章程》的有关规定，母公司应当提取利润的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13,778,079.67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元作为法定盈余公积金。截至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338" w:lineRule="auto" w:before="64"/>
                          <w:ind w:left="382" w:right="-5"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日，母公司可供分配的利润为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419,689,295.00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元，资本公积余额为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479,950,978.98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考虑到公司业务持续发展，且经营现金流同步增长，在符合利润分配原则、保证公司正常经营和长远发展的前提下，</w:t>
                        </w:r>
                      </w:p>
                      <w:p>
                        <w:pPr>
                          <w:pStyle w:val="TableParagraph"/>
                          <w:spacing w:line="316" w:lineRule="auto" w:before="2"/>
                          <w:ind w:left="22" w:right="21"/>
                          <w:jc w:val="left"/>
                          <w:rPr>
                            <w:rFonts w:ascii="宋体" w:hAnsi="宋体" w:cs="宋体" w:eastAsia="宋体" w:hint="default"/>
                            <w:sz w:val="18"/>
                            <w:szCs w:val="18"/>
                          </w:rPr>
                        </w:pPr>
                        <w:r>
                          <w:rPr>
                            <w:rFonts w:ascii="宋体" w:hAnsi="宋体" w:cs="宋体" w:eastAsia="宋体" w:hint="default"/>
                            <w:spacing w:val="-1"/>
                            <w:sz w:val="18"/>
                            <w:szCs w:val="18"/>
                          </w:rPr>
                          <w:t>为了更好的兼顾股东的即期利益和长远利益，使公司的价值能够更加公允、客观的体现，从长远角度回报投资者，使全体</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股东分享公司成长的经营成果，</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年度公司利润分配预案如下：以截止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日公司总股本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481,092,495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股为</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
                            <w:sz w:val="18"/>
                            <w:szCs w:val="18"/>
                          </w:rPr>
                          <w:t>派</w:t>
                        </w:r>
                        <w:r>
                          <w:rPr>
                            <w:rFonts w:ascii="宋体" w:hAnsi="宋体" w:cs="宋体" w:eastAsia="宋体" w:hint="default"/>
                            <w:sz w:val="18"/>
                            <w:szCs w:val="18"/>
                          </w:rPr>
                          <w:t>发现金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元人民币（含税</w:t>
                        </w:r>
                        <w:r>
                          <w:rPr>
                            <w:rFonts w:ascii="宋体" w:hAnsi="宋体" w:cs="宋体" w:eastAsia="宋体" w:hint="default"/>
                            <w:spacing w:val="-90"/>
                            <w:sz w:val="18"/>
                            <w:szCs w:val="18"/>
                          </w:rPr>
                          <w:t>）</w:t>
                        </w:r>
                        <w:r>
                          <w:rPr>
                            <w:rFonts w:ascii="宋体" w:hAnsi="宋体" w:cs="宋体" w:eastAsia="宋体" w:hint="default"/>
                            <w:sz w:val="18"/>
                            <w:szCs w:val="18"/>
                          </w:rPr>
                          <w:t>，合计派发现金股利为人民币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28,865,54</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年（包括本报告期）的普通股股利分配方案（预案）资本公积金转增股本方案（预案）情况</w:t>
      </w:r>
    </w:p>
    <w:p>
      <w:pPr>
        <w:pStyle w:val="BodyText"/>
        <w:spacing w:line="240" w:lineRule="auto" w:before="155"/>
        <w:ind w:left="574" w:right="1113"/>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年度利润分配方案</w:t>
      </w:r>
    </w:p>
    <w:p>
      <w:pPr>
        <w:pStyle w:val="BodyText"/>
        <w:spacing w:line="240" w:lineRule="auto" w:before="177"/>
        <w:ind w:left="574" w:right="1113"/>
        <w:jc w:val="left"/>
      </w:pPr>
      <w:r>
        <w:rPr>
          <w:spacing w:val="3"/>
        </w:rPr>
        <w:t>经立信会计师事务所（特殊普通合伙）审计：公司 </w:t>
      </w:r>
      <w:r>
        <w:rPr>
          <w:rFonts w:ascii="Times New Roman" w:hAnsi="Times New Roman" w:cs="Times New Roman" w:eastAsia="Times New Roman" w:hint="default"/>
        </w:rPr>
        <w:t>2017 </w:t>
      </w:r>
      <w:r>
        <w:rPr>
          <w:rFonts w:ascii="Times New Roman" w:hAnsi="Times New Roman" w:cs="Times New Roman" w:eastAsia="Times New Roman" w:hint="default"/>
          <w:spacing w:val="36"/>
        </w:rPr>
        <w:t> </w:t>
      </w:r>
      <w:r>
        <w:rPr>
          <w:spacing w:val="3"/>
        </w:rPr>
        <w:t>年度实现归属于上市公司股东的净利润为</w:t>
      </w:r>
      <w:r>
        <w:rPr/>
      </w:r>
    </w:p>
    <w:p>
      <w:pPr>
        <w:pStyle w:val="BodyText"/>
        <w:spacing w:line="386" w:lineRule="auto" w:before="177"/>
        <w:ind w:left="573" w:right="1113" w:hanging="420"/>
        <w:jc w:val="left"/>
      </w:pPr>
      <w:r>
        <w:rPr>
          <w:rFonts w:ascii="Times New Roman" w:hAnsi="Times New Roman" w:cs="Times New Roman" w:eastAsia="Times New Roman" w:hint="default"/>
        </w:rPr>
        <w:t>119</w:t>
      </w:r>
      <w:r>
        <w:rPr/>
        <w:t>,</w:t>
      </w:r>
      <w:r>
        <w:rPr>
          <w:rFonts w:ascii="Times New Roman" w:hAnsi="Times New Roman" w:cs="Times New Roman" w:eastAsia="Times New Roman" w:hint="default"/>
        </w:rPr>
        <w:t>671</w:t>
      </w:r>
      <w:r>
        <w:rPr/>
        <w:t>,</w:t>
      </w:r>
      <w:r>
        <w:rPr>
          <w:rFonts w:ascii="Times New Roman" w:hAnsi="Times New Roman" w:cs="Times New Roman" w:eastAsia="Times New Roman" w:hint="default"/>
        </w:rPr>
        <w:t>217.16</w:t>
      </w:r>
      <w:r>
        <w:rPr/>
        <w:t>元，母公司实现的净利润为</w:t>
      </w:r>
      <w:r>
        <w:rPr>
          <w:rFonts w:ascii="Times New Roman" w:hAnsi="Times New Roman" w:cs="Times New Roman" w:eastAsia="Times New Roman" w:hint="default"/>
        </w:rPr>
        <w:t>95</w:t>
      </w:r>
      <w:r>
        <w:rPr/>
        <w:t>,</w:t>
      </w:r>
      <w:r>
        <w:rPr>
          <w:rFonts w:ascii="Times New Roman" w:hAnsi="Times New Roman" w:cs="Times New Roman" w:eastAsia="Times New Roman" w:hint="default"/>
        </w:rPr>
        <w:t>093</w:t>
      </w:r>
      <w:r>
        <w:rPr/>
        <w:t>,</w:t>
      </w:r>
      <w:r>
        <w:rPr>
          <w:rFonts w:ascii="Times New Roman" w:hAnsi="Times New Roman" w:cs="Times New Roman" w:eastAsia="Times New Roman" w:hint="default"/>
        </w:rPr>
        <w:t>703.83</w:t>
      </w:r>
      <w:r>
        <w:rPr/>
        <w:t>元。 </w:t>
      </w:r>
      <w:r>
        <w:rPr>
          <w:spacing w:val="-2"/>
        </w:rPr>
        <w:t>根据《公司章程》的有关规定，母公司应当提取利润的</w:t>
      </w:r>
      <w:r>
        <w:rPr>
          <w:rFonts w:ascii="Times New Roman" w:hAnsi="Times New Roman" w:cs="Times New Roman" w:eastAsia="Times New Roman" w:hint="default"/>
          <w:spacing w:val="-2"/>
        </w:rPr>
        <w:t>10</w:t>
      </w:r>
      <w:r>
        <w:rPr>
          <w:spacing w:val="-2"/>
        </w:rPr>
        <w:t>%，即</w:t>
      </w:r>
      <w:r>
        <w:rPr>
          <w:rFonts w:ascii="Times New Roman" w:hAnsi="Times New Roman" w:cs="Times New Roman" w:eastAsia="Times New Roman" w:hint="default"/>
          <w:spacing w:val="-2"/>
        </w:rPr>
        <w:t>9</w:t>
      </w:r>
      <w:r>
        <w:rPr>
          <w:spacing w:val="-2"/>
        </w:rPr>
        <w:t>,</w:t>
      </w:r>
      <w:r>
        <w:rPr>
          <w:rFonts w:ascii="Times New Roman" w:hAnsi="Times New Roman" w:cs="Times New Roman" w:eastAsia="Times New Roman" w:hint="default"/>
          <w:spacing w:val="-2"/>
        </w:rPr>
        <w:t>509</w:t>
      </w:r>
      <w:r>
        <w:rPr>
          <w:spacing w:val="-2"/>
        </w:rPr>
        <w:t>,</w:t>
      </w:r>
      <w:r>
        <w:rPr>
          <w:rFonts w:ascii="Times New Roman" w:hAnsi="Times New Roman" w:cs="Times New Roman" w:eastAsia="Times New Roman" w:hint="default"/>
          <w:spacing w:val="-2"/>
        </w:rPr>
        <w:t>370.38</w:t>
      </w:r>
      <w:r>
        <w:rPr>
          <w:spacing w:val="-2"/>
        </w:rPr>
        <w:t>元作为法定公积金。截至</w:t>
      </w:r>
    </w:p>
    <w:p>
      <w:pPr>
        <w:pStyle w:val="BodyText"/>
        <w:spacing w:line="386" w:lineRule="auto" w:before="35"/>
        <w:ind w:left="574" w:right="1113" w:hanging="421"/>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日，母公司可供分配的利润为</w:t>
      </w:r>
      <w:r>
        <w:rPr>
          <w:rFonts w:ascii="Times New Roman" w:hAnsi="Times New Roman" w:cs="Times New Roman" w:eastAsia="Times New Roman" w:hint="default"/>
        </w:rPr>
        <w:t>281</w:t>
      </w:r>
      <w:r>
        <w:rPr/>
        <w:t>,</w:t>
      </w:r>
      <w:r>
        <w:rPr>
          <w:rFonts w:ascii="Times New Roman" w:hAnsi="Times New Roman" w:cs="Times New Roman" w:eastAsia="Times New Roman" w:hint="default"/>
        </w:rPr>
        <w:t>757</w:t>
      </w:r>
      <w:r>
        <w:rPr/>
        <w:t>,</w:t>
      </w:r>
      <w:r>
        <w:rPr>
          <w:rFonts w:ascii="Times New Roman" w:hAnsi="Times New Roman" w:cs="Times New Roman" w:eastAsia="Times New Roman" w:hint="default"/>
        </w:rPr>
        <w:t>022.93</w:t>
      </w:r>
      <w:r>
        <w:rPr/>
        <w:t>元，资本公积余额为</w:t>
      </w:r>
      <w:r>
        <w:rPr>
          <w:rFonts w:ascii="Times New Roman" w:hAnsi="Times New Roman" w:cs="Times New Roman" w:eastAsia="Times New Roman" w:hint="default"/>
        </w:rPr>
        <w:t>702</w:t>
      </w:r>
      <w:r>
        <w:rPr/>
        <w:t>,</w:t>
      </w:r>
      <w:r>
        <w:rPr>
          <w:rFonts w:ascii="Times New Roman" w:hAnsi="Times New Roman" w:cs="Times New Roman" w:eastAsia="Times New Roman" w:hint="default"/>
        </w:rPr>
        <w:t>083</w:t>
      </w:r>
      <w:r>
        <w:rPr/>
        <w:t>,</w:t>
      </w:r>
      <w:r>
        <w:rPr>
          <w:rFonts w:ascii="Times New Roman" w:hAnsi="Times New Roman" w:cs="Times New Roman" w:eastAsia="Times New Roman" w:hint="default"/>
        </w:rPr>
        <w:t>069.98</w:t>
      </w:r>
      <w:r>
        <w:rPr/>
        <w:t>元。</w:t>
      </w:r>
      <w:r>
        <w:rPr>
          <w:spacing w:val="-2"/>
        </w:rPr>
        <w:t> </w:t>
      </w:r>
      <w:r>
        <w:rPr>
          <w:spacing w:val="-1"/>
        </w:rPr>
        <w:t>考虑到公司业务持续发展，且经营现金流同步增长，在符合利润分配原则、保证公司正常经营和长远</w:t>
      </w:r>
    </w:p>
    <w:p>
      <w:pPr>
        <w:pStyle w:val="BodyText"/>
        <w:spacing w:line="391" w:lineRule="auto" w:before="65"/>
        <w:ind w:right="1108"/>
        <w:jc w:val="both"/>
      </w:pPr>
      <w:r>
        <w:rPr/>
        <w:t>发展的前提下，为了更好的兼顾股东的即期利益和长远利益，使公司的价值能够更加公允、客观的体现， </w:t>
      </w:r>
      <w:r>
        <w:rPr>
          <w:spacing w:val="-1"/>
        </w:rPr>
        <w:t>从长远角度回报投资者，使全体股东分享公司成长的经营成果，</w:t>
      </w:r>
      <w:r>
        <w:rPr>
          <w:rFonts w:ascii="Times New Roman" w:hAnsi="Times New Roman" w:cs="Times New Roman" w:eastAsia="Times New Roman" w:hint="default"/>
          <w:spacing w:val="-1"/>
        </w:rPr>
        <w:t>2017</w:t>
      </w:r>
      <w:r>
        <w:rPr>
          <w:spacing w:val="-1"/>
        </w:rPr>
        <w:t>年度公司利润分配预案如下：以截止</w:t>
      </w:r>
      <w:r>
        <w:rPr>
          <w:spacing w:val="-83"/>
        </w:rPr>
        <w:t> </w:t>
      </w:r>
      <w:r>
        <w:rPr>
          <w:spacing w:val="-83"/>
        </w:rPr>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324</w:t>
      </w:r>
      <w:r>
        <w:rPr/>
        <w:t>,</w:t>
      </w:r>
      <w:r>
        <w:rPr>
          <w:rFonts w:ascii="Times New Roman" w:hAnsi="Times New Roman" w:cs="Times New Roman" w:eastAsia="Times New Roman" w:hint="default"/>
        </w:rPr>
        <w:t>475</w:t>
      </w:r>
      <w:r>
        <w:rPr/>
        <w:t>,</w:t>
      </w:r>
      <w:r>
        <w:rPr>
          <w:rFonts w:ascii="Times New Roman" w:hAnsi="Times New Roman" w:cs="Times New Roman" w:eastAsia="Times New Roman" w:hint="default"/>
        </w:rPr>
        <w:t>501</w:t>
      </w:r>
      <w:r>
        <w:rPr/>
        <w:t>股为基数，向全体股东每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0.6</w:t>
      </w:r>
      <w:r>
        <w:rPr/>
        <w:t>元人民币（含税），合</w:t>
      </w:r>
      <w:r>
        <w:rPr>
          <w:spacing w:val="-92"/>
        </w:rPr>
        <w:t> </w:t>
      </w:r>
      <w:r>
        <w:rPr>
          <w:spacing w:val="-92"/>
        </w:rPr>
      </w:r>
      <w:r>
        <w:rPr/>
        <w:t>计派发现金股利为人民币</w:t>
      </w:r>
      <w:r>
        <w:rPr>
          <w:rFonts w:ascii="Times New Roman" w:hAnsi="Times New Roman" w:cs="Times New Roman" w:eastAsia="Times New Roman" w:hint="default"/>
        </w:rPr>
        <w:t>19</w:t>
      </w:r>
      <w:r>
        <w:rPr/>
        <w:t>,</w:t>
      </w:r>
      <w:r>
        <w:rPr>
          <w:rFonts w:ascii="Times New Roman" w:hAnsi="Times New Roman" w:cs="Times New Roman" w:eastAsia="Times New Roman" w:hint="default"/>
        </w:rPr>
        <w:t>468</w:t>
      </w:r>
      <w:r>
        <w:rPr/>
        <w:t>,</w:t>
      </w:r>
      <w:r>
        <w:rPr>
          <w:rFonts w:ascii="Times New Roman" w:hAnsi="Times New Roman" w:cs="Times New Roman" w:eastAsia="Times New Roman" w:hint="default"/>
        </w:rPr>
        <w:t>530.06</w:t>
      </w:r>
      <w:r>
        <w:rPr/>
        <w:t>元（含税）。同时，以资本公积金向全体股东每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股，共</w:t>
      </w:r>
      <w:r>
        <w:rPr>
          <w:spacing w:val="-89"/>
        </w:rPr>
        <w:t> </w:t>
      </w:r>
      <w:r>
        <w:rPr>
          <w:spacing w:val="-89"/>
        </w:rPr>
      </w:r>
      <w:r>
        <w:rPr/>
        <w:t>计转增</w:t>
      </w:r>
      <w:r>
        <w:rPr>
          <w:rFonts w:ascii="Times New Roman" w:hAnsi="Times New Roman" w:cs="Times New Roman" w:eastAsia="Times New Roman" w:hint="default"/>
        </w:rPr>
        <w:t>162</w:t>
      </w:r>
      <w:r>
        <w:rPr/>
        <w:t>,</w:t>
      </w:r>
      <w:r>
        <w:rPr>
          <w:rFonts w:ascii="Times New Roman" w:hAnsi="Times New Roman" w:cs="Times New Roman" w:eastAsia="Times New Roman" w:hint="default"/>
        </w:rPr>
        <w:t>237</w:t>
      </w:r>
      <w:r>
        <w:rPr/>
        <w:t>,</w:t>
      </w:r>
      <w:r>
        <w:rPr>
          <w:rFonts w:ascii="Times New Roman" w:hAnsi="Times New Roman" w:cs="Times New Roman" w:eastAsia="Times New Roman" w:hint="default"/>
        </w:rPr>
        <w:t>751</w:t>
      </w:r>
      <w:r>
        <w:rPr/>
        <w:t>股，转增后公司总股本增加至</w:t>
      </w:r>
      <w:r>
        <w:rPr>
          <w:rFonts w:ascii="Times New Roman" w:hAnsi="Times New Roman" w:cs="Times New Roman" w:eastAsia="Times New Roman" w:hint="default"/>
        </w:rPr>
        <w:t>486</w:t>
      </w:r>
      <w:r>
        <w:rPr/>
        <w:t>,</w:t>
      </w:r>
      <w:r>
        <w:rPr>
          <w:rFonts w:ascii="Times New Roman" w:hAnsi="Times New Roman" w:cs="Times New Roman" w:eastAsia="Times New Roman" w:hint="default"/>
        </w:rPr>
        <w:t>713</w:t>
      </w:r>
      <w:r>
        <w:rPr/>
        <w:t>,</w:t>
      </w:r>
      <w:r>
        <w:rPr>
          <w:rFonts w:ascii="Times New Roman" w:hAnsi="Times New Roman" w:cs="Times New Roman" w:eastAsia="Times New Roman" w:hint="default"/>
        </w:rPr>
        <w:t>252</w:t>
      </w:r>
      <w:r>
        <w:rPr/>
        <w:t>股。</w:t>
      </w:r>
    </w:p>
    <w:p>
      <w:pPr>
        <w:pStyle w:val="BodyText"/>
        <w:spacing w:line="386" w:lineRule="auto" w:before="30"/>
        <w:ind w:right="1127" w:firstLine="420"/>
        <w:jc w:val="both"/>
      </w:pPr>
      <w:r>
        <w:rPr/>
        <w:t>公司权益分派方案经股东大会审议通过后，公司回购注销了</w:t>
      </w:r>
      <w:r>
        <w:rPr>
          <w:rFonts w:ascii="Times New Roman" w:hAnsi="Times New Roman" w:cs="Times New Roman" w:eastAsia="Times New Roman" w:hint="default"/>
        </w:rPr>
        <w:t>445</w:t>
      </w:r>
      <w:r>
        <w:rPr/>
        <w:t>名限制性股票激励对象已获授但尚未 </w:t>
      </w:r>
      <w:r>
        <w:rPr>
          <w:spacing w:val="-1"/>
        </w:rPr>
        <w:t>解锁的限制性股票共计</w:t>
      </w: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620</w:t>
      </w:r>
      <w:r>
        <w:rPr>
          <w:spacing w:val="-1"/>
        </w:rPr>
        <w:t>,</w:t>
      </w:r>
      <w:r>
        <w:rPr>
          <w:rFonts w:ascii="Times New Roman" w:hAnsi="Times New Roman" w:cs="Times New Roman" w:eastAsia="Times New Roman" w:hint="default"/>
          <w:spacing w:val="-1"/>
        </w:rPr>
        <w:t>740</w:t>
      </w:r>
      <w:r>
        <w:rPr>
          <w:spacing w:val="-1"/>
        </w:rPr>
        <w:t>股。基于前述因素，截至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7</w:t>
      </w:r>
      <w:r>
        <w:rPr>
          <w:spacing w:val="-1"/>
        </w:rPr>
        <w:t>日，公司总股本由</w:t>
      </w:r>
      <w:r>
        <w:rPr>
          <w:rFonts w:ascii="Times New Roman" w:hAnsi="Times New Roman" w:cs="Times New Roman" w:eastAsia="Times New Roman" w:hint="default"/>
          <w:spacing w:val="-1"/>
        </w:rPr>
        <w:t>324</w:t>
      </w:r>
      <w:r>
        <w:rPr>
          <w:spacing w:val="-1"/>
        </w:rPr>
        <w:t>,</w:t>
      </w:r>
      <w:r>
        <w:rPr>
          <w:rFonts w:ascii="Times New Roman" w:hAnsi="Times New Roman" w:cs="Times New Roman" w:eastAsia="Times New Roman" w:hint="default"/>
          <w:spacing w:val="-1"/>
        </w:rPr>
        <w:t>475</w:t>
      </w:r>
      <w:r>
        <w:rPr>
          <w:spacing w:val="-1"/>
        </w:rPr>
        <w:t>,</w:t>
      </w:r>
      <w:r>
        <w:rPr>
          <w:rFonts w:ascii="Times New Roman" w:hAnsi="Times New Roman" w:cs="Times New Roman" w:eastAsia="Times New Roman" w:hint="default"/>
          <w:spacing w:val="-1"/>
        </w:rPr>
        <w:t>501</w:t>
      </w:r>
      <w:r>
        <w:rPr>
          <w:spacing w:val="-1"/>
        </w:rPr>
        <w:t>股减</w:t>
      </w:r>
      <w:r>
        <w:rPr>
          <w:spacing w:val="-85"/>
        </w:rPr>
        <w:t> </w:t>
      </w:r>
      <w:r>
        <w:rPr/>
        <w:t>少至</w:t>
      </w:r>
      <w:r>
        <w:rPr>
          <w:rFonts w:ascii="Times New Roman" w:hAnsi="Times New Roman" w:cs="Times New Roman" w:eastAsia="Times New Roman" w:hint="default"/>
        </w:rPr>
        <w:t>318</w:t>
      </w:r>
      <w:r>
        <w:rPr/>
        <w:t>,</w:t>
      </w:r>
      <w:r>
        <w:rPr>
          <w:rFonts w:ascii="Times New Roman" w:hAnsi="Times New Roman" w:cs="Times New Roman" w:eastAsia="Times New Roman" w:hint="default"/>
        </w:rPr>
        <w:t>854</w:t>
      </w:r>
      <w:r>
        <w:rPr/>
        <w:t>,</w:t>
      </w:r>
      <w:r>
        <w:rPr>
          <w:rFonts w:ascii="Times New Roman" w:hAnsi="Times New Roman" w:cs="Times New Roman" w:eastAsia="Times New Roman" w:hint="default"/>
        </w:rPr>
        <w:t>761</w:t>
      </w:r>
      <w:r>
        <w:rPr/>
        <w:t>股。根据《深圳证券交易所创业板上市公司规范运作指引》的相关规定，分配方案公布</w:t>
      </w:r>
      <w:r>
        <w:rPr>
          <w:spacing w:val="-40"/>
        </w:rPr>
        <w:t> </w:t>
      </w:r>
      <w:r>
        <w:rPr>
          <w:spacing w:val="-40"/>
        </w:rPr>
      </w:r>
      <w:r>
        <w:rPr>
          <w:spacing w:val="-1"/>
        </w:rPr>
        <w:t>后至实施前，公司总股本由于增发新股、股权激励行权、可转债转股等原因发生变动的，应当按照“现金</w:t>
      </w:r>
    </w:p>
    <w:p>
      <w:pPr>
        <w:spacing w:after="0" w:line="386" w:lineRule="auto"/>
        <w:jc w:val="both"/>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31"/>
        <w:jc w:val="both"/>
      </w:pPr>
      <w:r>
        <w:rPr>
          <w:spacing w:val="-1"/>
        </w:rPr>
        <w:t>分红总额、送红股总额、转增股本总额固定不变”的原则，在权益分派实施公告中披露按公司最新总股本</w:t>
      </w:r>
      <w:r>
        <w:rPr>
          <w:spacing w:val="-82"/>
        </w:rPr>
        <w:t> </w:t>
      </w:r>
      <w:r>
        <w:rPr>
          <w:spacing w:val="-82"/>
        </w:rPr>
      </w:r>
      <w:r>
        <w:rPr/>
        <w:t>计算的分配比例。</w:t>
      </w:r>
    </w:p>
    <w:p>
      <w:pPr>
        <w:pStyle w:val="BodyText"/>
        <w:spacing w:line="396" w:lineRule="auto"/>
        <w:ind w:right="993" w:firstLine="419"/>
        <w:jc w:val="left"/>
      </w:pPr>
      <w:r>
        <w:rPr>
          <w:spacing w:val="-1"/>
        </w:rPr>
        <w:t>因此，公司按最新股本计算的</w:t>
      </w:r>
      <w:r>
        <w:rPr>
          <w:rFonts w:ascii="Times New Roman" w:hAnsi="Times New Roman" w:cs="Times New Roman" w:eastAsia="Times New Roman" w:hint="default"/>
          <w:spacing w:val="-1"/>
        </w:rPr>
        <w:t>2017</w:t>
      </w:r>
      <w:r>
        <w:rPr>
          <w:spacing w:val="-1"/>
        </w:rPr>
        <w:t>年年度权益分派方案为：以公司现有总股本</w:t>
      </w:r>
      <w:r>
        <w:rPr>
          <w:rFonts w:ascii="Times New Roman" w:hAnsi="Times New Roman" w:cs="Times New Roman" w:eastAsia="Times New Roman" w:hint="default"/>
          <w:spacing w:val="-1"/>
        </w:rPr>
        <w:t>318</w:t>
      </w:r>
      <w:r>
        <w:rPr>
          <w:spacing w:val="-1"/>
        </w:rPr>
        <w:t>,</w:t>
      </w:r>
      <w:r>
        <w:rPr>
          <w:rFonts w:ascii="Times New Roman" w:hAnsi="Times New Roman" w:cs="Times New Roman" w:eastAsia="Times New Roman" w:hint="default"/>
          <w:spacing w:val="-1"/>
        </w:rPr>
        <w:t>854</w:t>
      </w:r>
      <w:r>
        <w:rPr>
          <w:spacing w:val="-1"/>
        </w:rPr>
        <w:t>,</w:t>
      </w:r>
      <w:r>
        <w:rPr>
          <w:rFonts w:ascii="Times New Roman" w:hAnsi="Times New Roman" w:cs="Times New Roman" w:eastAsia="Times New Roman" w:hint="default"/>
          <w:spacing w:val="-1"/>
        </w:rPr>
        <w:t>761</w:t>
      </w:r>
      <w:r>
        <w:rPr>
          <w:spacing w:val="-1"/>
        </w:rPr>
        <w:t>股为基数，</w:t>
      </w:r>
      <w:r>
        <w:rPr/>
        <w:t> 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0.610576</w:t>
      </w:r>
      <w:r>
        <w:rPr/>
        <w:t>元人民币现金，同时，以资本公积金向全体股东每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5.088139</w:t>
      </w:r>
      <w:r>
        <w:rPr/>
        <w:t>股。公</w:t>
      </w:r>
      <w:r>
        <w:rPr>
          <w:spacing w:val="-44"/>
        </w:rPr>
        <w:t> </w:t>
      </w:r>
      <w:r>
        <w:rPr>
          <w:spacing w:val="-44"/>
        </w:rPr>
      </w:r>
      <w:r>
        <w:rPr/>
        <w:t>司第四届董事会第十次会议及第四届监事会第九次会议审议通过，公司独立董事发表了同意的独立意见。 公司</w:t>
      </w:r>
      <w:r>
        <w:rPr>
          <w:rFonts w:ascii="Times New Roman" w:hAnsi="Times New Roman" w:cs="Times New Roman" w:eastAsia="Times New Roman" w:hint="default"/>
        </w:rPr>
        <w:t>2017</w:t>
      </w:r>
      <w:r>
        <w:rPr/>
        <w:t>年度利润分配预案已经由</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日召开的公司</w:t>
      </w:r>
      <w:r>
        <w:rPr>
          <w:rFonts w:ascii="Times New Roman" w:hAnsi="Times New Roman" w:cs="Times New Roman" w:eastAsia="Times New Roman" w:hint="default"/>
        </w:rPr>
        <w:t>2017</w:t>
      </w:r>
      <w:r>
        <w:rPr/>
        <w:t>年年度股东大会审议通过。本次股东大</w:t>
      </w:r>
      <w:r>
        <w:rPr>
          <w:spacing w:val="-37"/>
        </w:rPr>
        <w:t> </w:t>
      </w:r>
      <w:r>
        <w:rPr>
          <w:spacing w:val="-37"/>
        </w:rPr>
      </w:r>
      <w:r>
        <w:rPr/>
        <w:t>会公司采用了现场投票与网络投票相结合的方式，为中小股东提供了充分表达意见和诉求的便利机会，维</w:t>
      </w:r>
      <w:r>
        <w:rPr/>
        <w:t> 护了中小股东的合法权益。</w:t>
      </w:r>
    </w:p>
    <w:p>
      <w:pPr>
        <w:pStyle w:val="BodyText"/>
        <w:spacing w:line="240" w:lineRule="auto" w:before="56"/>
        <w:ind w:left="574" w:right="993"/>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日，公司在《巨潮资讯网》上刊登了《</w:t>
      </w:r>
      <w:r>
        <w:rPr>
          <w:rFonts w:ascii="Times New Roman" w:hAnsi="Times New Roman" w:cs="Times New Roman" w:eastAsia="Times New Roman" w:hint="default"/>
        </w:rPr>
        <w:t>2017</w:t>
      </w:r>
      <w:r>
        <w:rPr/>
        <w:t>年年度权益分派实施公告》，截至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p>
    <w:p>
      <w:pPr>
        <w:pStyle w:val="BodyText"/>
        <w:spacing w:line="240" w:lineRule="auto" w:before="177"/>
        <w:ind w:right="1113"/>
        <w:jc w:val="left"/>
      </w:pPr>
      <w:r>
        <w:rPr>
          <w:rFonts w:ascii="Times New Roman" w:hAnsi="Times New Roman" w:cs="Times New Roman" w:eastAsia="Times New Roman" w:hint="default"/>
        </w:rPr>
        <w:t>22</w:t>
      </w:r>
      <w:r>
        <w:rPr/>
        <w:t>日，公司</w:t>
      </w:r>
      <w:r>
        <w:rPr>
          <w:rFonts w:ascii="Times New Roman" w:hAnsi="Times New Roman" w:cs="Times New Roman" w:eastAsia="Times New Roman" w:hint="default"/>
        </w:rPr>
        <w:t>2017</w:t>
      </w:r>
      <w:r>
        <w:rPr/>
        <w:t>年年度权益分派已实施完毕。</w:t>
      </w:r>
    </w:p>
    <w:p>
      <w:pPr>
        <w:pStyle w:val="BodyText"/>
        <w:spacing w:line="386" w:lineRule="auto" w:before="177"/>
        <w:ind w:left="574" w:right="111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年度利润分配预案 </w:t>
      </w:r>
      <w:r>
        <w:rPr>
          <w:spacing w:val="8"/>
        </w:rPr>
        <w:t>经立信会计师事务所（特殊普通合伙）审计：公司</w:t>
      </w:r>
      <w:r>
        <w:rPr>
          <w:rFonts w:ascii="Times New Roman" w:hAnsi="Times New Roman" w:cs="Times New Roman" w:eastAsia="Times New Roman" w:hint="default"/>
          <w:spacing w:val="8"/>
        </w:rPr>
        <w:t>2018</w:t>
      </w:r>
      <w:r>
        <w:rPr>
          <w:spacing w:val="8"/>
        </w:rPr>
        <w:t>年度实现归属于上市公司股东的净利润为</w:t>
      </w:r>
    </w:p>
    <w:p>
      <w:pPr>
        <w:pStyle w:val="BodyText"/>
        <w:spacing w:line="386" w:lineRule="auto" w:before="35"/>
        <w:ind w:left="574" w:right="1113" w:hanging="421"/>
        <w:jc w:val="left"/>
      </w:pPr>
      <w:r>
        <w:rPr>
          <w:rFonts w:ascii="Times New Roman" w:hAnsi="Times New Roman" w:cs="Times New Roman" w:eastAsia="Times New Roman" w:hint="default"/>
        </w:rPr>
        <w:t>96</w:t>
      </w:r>
      <w:r>
        <w:rPr/>
        <w:t>,</w:t>
      </w:r>
      <w:r>
        <w:rPr>
          <w:rFonts w:ascii="Times New Roman" w:hAnsi="Times New Roman" w:cs="Times New Roman" w:eastAsia="Times New Roman" w:hint="default"/>
        </w:rPr>
        <w:t>112</w:t>
      </w:r>
      <w:r>
        <w:rPr/>
        <w:t>,</w:t>
      </w:r>
      <w:r>
        <w:rPr>
          <w:rFonts w:ascii="Times New Roman" w:hAnsi="Times New Roman" w:cs="Times New Roman" w:eastAsia="Times New Roman" w:hint="default"/>
        </w:rPr>
        <w:t>608.43</w:t>
      </w:r>
      <w:r>
        <w:rPr/>
        <w:t>元，母公司实现的净利润为</w:t>
      </w:r>
      <w:r>
        <w:rPr>
          <w:rFonts w:ascii="Times New Roman" w:hAnsi="Times New Roman" w:cs="Times New Roman" w:eastAsia="Times New Roman" w:hint="default"/>
        </w:rPr>
        <w:t>55</w:t>
      </w:r>
      <w:r>
        <w:rPr/>
        <w:t>,</w:t>
      </w:r>
      <w:r>
        <w:rPr>
          <w:rFonts w:ascii="Times New Roman" w:hAnsi="Times New Roman" w:cs="Times New Roman" w:eastAsia="Times New Roman" w:hint="default"/>
        </w:rPr>
        <w:t>763</w:t>
      </w:r>
      <w:r>
        <w:rPr/>
        <w:t>,</w:t>
      </w:r>
      <w:r>
        <w:rPr>
          <w:rFonts w:ascii="Times New Roman" w:hAnsi="Times New Roman" w:cs="Times New Roman" w:eastAsia="Times New Roman" w:hint="default"/>
        </w:rPr>
        <w:t>813.81</w:t>
      </w:r>
      <w:r>
        <w:rPr/>
        <w:t>元。 </w:t>
      </w:r>
      <w:r>
        <w:rPr>
          <w:spacing w:val="-2"/>
        </w:rPr>
        <w:t>根据《公司章程》的有关规定，母公司应当提取利润的</w:t>
      </w:r>
      <w:r>
        <w:rPr>
          <w:rFonts w:ascii="Times New Roman" w:hAnsi="Times New Roman" w:cs="Times New Roman" w:eastAsia="Times New Roman" w:hint="default"/>
          <w:spacing w:val="-2"/>
        </w:rPr>
        <w:t>10</w:t>
      </w:r>
      <w:r>
        <w:rPr>
          <w:spacing w:val="-2"/>
        </w:rPr>
        <w:t>%，即</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576</w:t>
      </w:r>
      <w:r>
        <w:rPr>
          <w:spacing w:val="-2"/>
        </w:rPr>
        <w:t>,</w:t>
      </w:r>
      <w:r>
        <w:rPr>
          <w:rFonts w:ascii="Times New Roman" w:hAnsi="Times New Roman" w:cs="Times New Roman" w:eastAsia="Times New Roman" w:hint="default"/>
          <w:spacing w:val="-2"/>
        </w:rPr>
        <w:t>381.38</w:t>
      </w:r>
      <w:r>
        <w:rPr>
          <w:spacing w:val="-2"/>
        </w:rPr>
        <w:t>元作为法定公积金。截至</w:t>
      </w:r>
    </w:p>
    <w:p>
      <w:pPr>
        <w:pStyle w:val="BodyText"/>
        <w:spacing w:line="386" w:lineRule="auto" w:before="35"/>
        <w:ind w:left="574" w:right="1113" w:hanging="421"/>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日，母公司可供分配的利润为</w:t>
      </w:r>
      <w:r>
        <w:rPr>
          <w:rFonts w:ascii="Times New Roman" w:hAnsi="Times New Roman" w:cs="Times New Roman" w:eastAsia="Times New Roman" w:hint="default"/>
        </w:rPr>
        <w:t>312</w:t>
      </w:r>
      <w:r>
        <w:rPr/>
        <w:t>,</w:t>
      </w:r>
      <w:r>
        <w:rPr>
          <w:rFonts w:ascii="Times New Roman" w:hAnsi="Times New Roman" w:cs="Times New Roman" w:eastAsia="Times New Roman" w:hint="default"/>
        </w:rPr>
        <w:t>793</w:t>
      </w:r>
      <w:r>
        <w:rPr/>
        <w:t>,</w:t>
      </w:r>
      <w:r>
        <w:rPr>
          <w:rFonts w:ascii="Times New Roman" w:hAnsi="Times New Roman" w:cs="Times New Roman" w:eastAsia="Times New Roman" w:hint="default"/>
        </w:rPr>
        <w:t>415.15</w:t>
      </w:r>
      <w:r>
        <w:rPr/>
        <w:t>元，资本公积余额为</w:t>
      </w:r>
      <w:r>
        <w:rPr>
          <w:rFonts w:ascii="Times New Roman" w:hAnsi="Times New Roman" w:cs="Times New Roman" w:eastAsia="Times New Roman" w:hint="default"/>
        </w:rPr>
        <w:t>479</w:t>
      </w:r>
      <w:r>
        <w:rPr/>
        <w:t>,</w:t>
      </w:r>
      <w:r>
        <w:rPr>
          <w:rFonts w:ascii="Times New Roman" w:hAnsi="Times New Roman" w:cs="Times New Roman" w:eastAsia="Times New Roman" w:hint="default"/>
        </w:rPr>
        <w:t>950</w:t>
      </w:r>
      <w:r>
        <w:rPr/>
        <w:t>,</w:t>
      </w:r>
      <w:r>
        <w:rPr>
          <w:rFonts w:ascii="Times New Roman" w:hAnsi="Times New Roman" w:cs="Times New Roman" w:eastAsia="Times New Roman" w:hint="default"/>
        </w:rPr>
        <w:t>978.98</w:t>
      </w:r>
      <w:r>
        <w:rPr/>
        <w:t>元。</w:t>
      </w:r>
      <w:r>
        <w:rPr>
          <w:spacing w:val="-2"/>
        </w:rPr>
        <w:t> </w:t>
      </w:r>
      <w:r>
        <w:rPr>
          <w:spacing w:val="-1"/>
        </w:rPr>
        <w:t>考虑到公司业务持续发展，且经营现金流同步增长，在符合利润分配原则、保证公司正常经营和长远</w:t>
      </w:r>
    </w:p>
    <w:p>
      <w:pPr>
        <w:pStyle w:val="BodyText"/>
        <w:spacing w:line="393" w:lineRule="auto" w:before="65"/>
        <w:ind w:right="1108"/>
        <w:jc w:val="both"/>
      </w:pPr>
      <w:r>
        <w:rPr/>
        <w:t>发展的前提下，为了更好的兼顾股东的即期利益和长远利益，使公司的价值能够更加公允、客观的体现， </w:t>
      </w:r>
      <w:r>
        <w:rPr>
          <w:spacing w:val="-1"/>
        </w:rPr>
        <w:t>从长远角度回报投资者，使全体股东分享公司成长的经营成果，</w:t>
      </w:r>
      <w:r>
        <w:rPr>
          <w:rFonts w:ascii="Times New Roman" w:hAnsi="Times New Roman" w:cs="Times New Roman" w:eastAsia="Times New Roman" w:hint="default"/>
          <w:spacing w:val="-1"/>
        </w:rPr>
        <w:t>2018</w:t>
      </w:r>
      <w:r>
        <w:rPr>
          <w:spacing w:val="-1"/>
        </w:rPr>
        <w:t>年度公司利润分配预案如下：以截止</w:t>
      </w:r>
      <w:r>
        <w:rPr>
          <w:spacing w:val="-83"/>
        </w:rPr>
        <w:t> </w:t>
      </w:r>
      <w:r>
        <w:rPr>
          <w:spacing w:val="-83"/>
        </w:rPr>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481</w:t>
      </w:r>
      <w:r>
        <w:rPr>
          <w:spacing w:val="-2"/>
        </w:rPr>
        <w:t>,</w:t>
      </w:r>
      <w:r>
        <w:rPr>
          <w:rFonts w:ascii="Times New Roman" w:hAnsi="Times New Roman" w:cs="Times New Roman" w:eastAsia="Times New Roman" w:hint="default"/>
          <w:spacing w:val="-2"/>
        </w:rPr>
        <w:t>092</w:t>
      </w:r>
      <w:r>
        <w:rPr>
          <w:spacing w:val="-2"/>
        </w:rPr>
        <w:t>,</w:t>
      </w:r>
      <w:r>
        <w:rPr>
          <w:rFonts w:ascii="Times New Roman" w:hAnsi="Times New Roman" w:cs="Times New Roman" w:eastAsia="Times New Roman" w:hint="default"/>
          <w:spacing w:val="-2"/>
        </w:rPr>
        <w:t>495</w:t>
      </w:r>
      <w:r>
        <w:rPr>
          <w:spacing w:val="-2"/>
        </w:rPr>
        <w:t>股为基数，向全体股东每</w:t>
      </w:r>
      <w:r>
        <w:rPr>
          <w:rFonts w:ascii="Times New Roman" w:hAnsi="Times New Roman" w:cs="Times New Roman" w:eastAsia="Times New Roman" w:hint="default"/>
          <w:spacing w:val="-2"/>
        </w:rPr>
        <w:t>10</w:t>
      </w:r>
      <w:r>
        <w:rPr>
          <w:spacing w:val="-2"/>
        </w:rPr>
        <w:t>股派发现金</w:t>
      </w:r>
      <w:r>
        <w:rPr>
          <w:rFonts w:ascii="Times New Roman" w:hAnsi="Times New Roman" w:cs="Times New Roman" w:eastAsia="Times New Roman" w:hint="default"/>
          <w:spacing w:val="-2"/>
        </w:rPr>
        <w:t>0.40</w:t>
      </w:r>
      <w:r>
        <w:rPr>
          <w:spacing w:val="-2"/>
        </w:rPr>
        <w:t>元人民币（含税），合</w:t>
      </w:r>
      <w:r>
        <w:rPr>
          <w:spacing w:val="-83"/>
        </w:rPr>
        <w:t> </w:t>
      </w:r>
      <w:r>
        <w:rPr>
          <w:spacing w:val="-83"/>
        </w:rPr>
      </w:r>
      <w:r>
        <w:rPr/>
        <w:t>计派发现金股利为人民币</w:t>
      </w:r>
      <w:r>
        <w:rPr>
          <w:rFonts w:ascii="Times New Roman" w:hAnsi="Times New Roman" w:cs="Times New Roman" w:eastAsia="Times New Roman" w:hint="default"/>
        </w:rPr>
        <w:t>19</w:t>
      </w:r>
      <w:r>
        <w:rPr/>
        <w:t>,</w:t>
      </w:r>
      <w:r>
        <w:rPr>
          <w:rFonts w:ascii="Times New Roman" w:hAnsi="Times New Roman" w:cs="Times New Roman" w:eastAsia="Times New Roman" w:hint="default"/>
        </w:rPr>
        <w:t>243</w:t>
      </w:r>
      <w:r>
        <w:rPr/>
        <w:t>,</w:t>
      </w:r>
      <w:r>
        <w:rPr>
          <w:rFonts w:ascii="Times New Roman" w:hAnsi="Times New Roman" w:cs="Times New Roman" w:eastAsia="Times New Roman" w:hint="default"/>
        </w:rPr>
        <w:t>699.80</w:t>
      </w:r>
      <w:r>
        <w:rPr/>
        <w:t>元（含税）。</w:t>
      </w:r>
    </w:p>
    <w:p>
      <w:pPr>
        <w:pStyle w:val="BodyText"/>
        <w:spacing w:line="400" w:lineRule="auto" w:before="28"/>
        <w:ind w:right="993" w:firstLine="420"/>
        <w:jc w:val="left"/>
      </w:pPr>
      <w:r>
        <w:rPr/>
        <w:t>公司第四届董事会第二十二次会议及第四届监事会第二十次会议审议通过，公司独立董事发表了同意 </w:t>
      </w:r>
      <w:r>
        <w:rPr>
          <w:spacing w:val="-1"/>
        </w:rPr>
        <w:t>的独立意见。公司</w:t>
      </w:r>
      <w:r>
        <w:rPr>
          <w:rFonts w:ascii="Times New Roman" w:hAnsi="Times New Roman" w:cs="Times New Roman" w:eastAsia="Times New Roman" w:hint="default"/>
          <w:spacing w:val="-1"/>
        </w:rPr>
        <w:t>2018</w:t>
      </w:r>
      <w:r>
        <w:rPr>
          <w:spacing w:val="-1"/>
        </w:rPr>
        <w:t>年度利润分配预案已经由</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19</w:t>
      </w:r>
      <w:r>
        <w:rPr>
          <w:spacing w:val="-1"/>
        </w:rPr>
        <w:t>日召开的公司</w:t>
      </w:r>
      <w:r>
        <w:rPr>
          <w:rFonts w:ascii="Times New Roman" w:hAnsi="Times New Roman" w:cs="Times New Roman" w:eastAsia="Times New Roman" w:hint="default"/>
          <w:spacing w:val="-1"/>
        </w:rPr>
        <w:t>2018</w:t>
      </w:r>
      <w:r>
        <w:rPr>
          <w:spacing w:val="-1"/>
        </w:rPr>
        <w:t>年年度股东大会审议通过。</w:t>
      </w:r>
      <w:r>
        <w:rPr>
          <w:spacing w:val="-85"/>
        </w:rPr>
        <w:t> </w:t>
      </w:r>
      <w:r>
        <w:rPr>
          <w:spacing w:val="-85"/>
        </w:rPr>
      </w:r>
      <w:r>
        <w:rPr/>
        <w:t>本次股东大会公司采用了现场投票与网络投票相结合的方式，为中小股东提供了充分表达意见和诉求的便</w:t>
      </w:r>
      <w:r>
        <w:rPr/>
        <w:t> 利机会，维护了中小股东的合法权益。</w:t>
      </w:r>
    </w:p>
    <w:p>
      <w:pPr>
        <w:pStyle w:val="BodyText"/>
        <w:spacing w:line="240" w:lineRule="auto" w:before="52"/>
        <w:ind w:left="574" w:right="993"/>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日，公司在《巨潮资讯网》上刊登了《</w:t>
      </w:r>
      <w:r>
        <w:rPr>
          <w:rFonts w:ascii="Times New Roman" w:hAnsi="Times New Roman" w:cs="Times New Roman" w:eastAsia="Times New Roman" w:hint="default"/>
        </w:rPr>
        <w:t>2018</w:t>
      </w:r>
      <w:r>
        <w:rPr/>
        <w:t>年年度权益分派实施公告》，截至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p>
    <w:p>
      <w:pPr>
        <w:pStyle w:val="BodyText"/>
        <w:spacing w:line="240" w:lineRule="auto" w:before="177"/>
        <w:ind w:right="1113"/>
        <w:jc w:val="left"/>
      </w:pPr>
      <w:r>
        <w:rPr>
          <w:rFonts w:ascii="Times New Roman" w:hAnsi="Times New Roman" w:cs="Times New Roman" w:eastAsia="Times New Roman" w:hint="default"/>
        </w:rPr>
        <w:t>18</w:t>
      </w:r>
      <w:r>
        <w:rPr/>
        <w:t>日，公司</w:t>
      </w:r>
      <w:r>
        <w:rPr>
          <w:rFonts w:ascii="Times New Roman" w:hAnsi="Times New Roman" w:cs="Times New Roman" w:eastAsia="Times New Roman" w:hint="default"/>
        </w:rPr>
        <w:t>2018</w:t>
      </w:r>
      <w:r>
        <w:rPr/>
        <w:t>年年度权益分派已实施完毕。</w:t>
      </w:r>
    </w:p>
    <w:p>
      <w:pPr>
        <w:pStyle w:val="BodyText"/>
        <w:spacing w:line="386" w:lineRule="auto" w:before="177"/>
        <w:ind w:left="574" w:right="993"/>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年度利润分配预案 </w:t>
      </w:r>
      <w:r>
        <w:rPr>
          <w:spacing w:val="-1"/>
        </w:rPr>
        <w:t>经立信会计师事务所（特殊普通合伙）审计：公司</w:t>
      </w:r>
      <w:r>
        <w:rPr>
          <w:rFonts w:ascii="Times New Roman" w:hAnsi="Times New Roman" w:cs="Times New Roman" w:eastAsia="Times New Roman" w:hint="default"/>
          <w:spacing w:val="-1"/>
        </w:rPr>
        <w:t>2019</w:t>
      </w:r>
      <w:r>
        <w:rPr>
          <w:spacing w:val="-1"/>
        </w:rPr>
        <w:t>年度实现归属于上市公司股东的净利润为</w:t>
      </w:r>
      <w:r>
        <w:rPr>
          <w:rFonts w:ascii="Times New Roman" w:hAnsi="Times New Roman" w:cs="Times New Roman" w:eastAsia="Times New Roman" w:hint="default"/>
          <w:spacing w:val="-1"/>
        </w:rPr>
        <w:t>157</w:t>
      </w:r>
      <w:r>
        <w:rPr>
          <w:spacing w:val="-1"/>
        </w:rPr>
        <w:t>，</w:t>
      </w:r>
    </w:p>
    <w:p>
      <w:pPr>
        <w:pStyle w:val="BodyText"/>
        <w:spacing w:line="386" w:lineRule="auto" w:before="35"/>
        <w:ind w:left="574" w:right="993" w:hanging="420"/>
        <w:jc w:val="left"/>
      </w:pPr>
      <w:r>
        <w:rPr>
          <w:rFonts w:ascii="Times New Roman" w:hAnsi="Times New Roman" w:cs="Times New Roman" w:eastAsia="Times New Roman" w:hint="default"/>
        </w:rPr>
        <w:t>690</w:t>
      </w:r>
      <w:r>
        <w:rPr/>
        <w:t>,</w:t>
      </w:r>
      <w:r>
        <w:rPr>
          <w:rFonts w:ascii="Times New Roman" w:hAnsi="Times New Roman" w:cs="Times New Roman" w:eastAsia="Times New Roman" w:hint="default"/>
        </w:rPr>
        <w:t>483.05</w:t>
      </w:r>
      <w:r>
        <w:rPr/>
        <w:t>元，母公司实现的净利润为</w:t>
      </w:r>
      <w:r>
        <w:rPr>
          <w:rFonts w:ascii="Times New Roman" w:hAnsi="Times New Roman" w:cs="Times New Roman" w:eastAsia="Times New Roman" w:hint="default"/>
        </w:rPr>
        <w:t>137</w:t>
      </w:r>
      <w:r>
        <w:rPr/>
        <w:t>,</w:t>
      </w:r>
      <w:r>
        <w:rPr>
          <w:rFonts w:ascii="Times New Roman" w:hAnsi="Times New Roman" w:cs="Times New Roman" w:eastAsia="Times New Roman" w:hint="default"/>
        </w:rPr>
        <w:t>780</w:t>
      </w:r>
      <w:r>
        <w:rPr/>
        <w:t>,</w:t>
      </w:r>
      <w:r>
        <w:rPr>
          <w:rFonts w:ascii="Times New Roman" w:hAnsi="Times New Roman" w:cs="Times New Roman" w:eastAsia="Times New Roman" w:hint="default"/>
        </w:rPr>
        <w:t>796.72</w:t>
      </w:r>
      <w:r>
        <w:rPr/>
        <w:t>元。 </w:t>
      </w:r>
      <w:r>
        <w:rPr>
          <w:spacing w:val="-2"/>
        </w:rPr>
        <w:t>根据《公司章程》的有关规定，母公司应当提取利润的</w:t>
      </w:r>
      <w:r>
        <w:rPr>
          <w:rFonts w:ascii="Times New Roman" w:hAnsi="Times New Roman" w:cs="Times New Roman" w:eastAsia="Times New Roman" w:hint="default"/>
          <w:spacing w:val="-2"/>
        </w:rPr>
        <w:t>10</w:t>
      </w:r>
      <w:r>
        <w:rPr>
          <w:spacing w:val="-2"/>
        </w:rPr>
        <w:t>%，即</w:t>
      </w:r>
      <w:r>
        <w:rPr>
          <w:rFonts w:ascii="Times New Roman" w:hAnsi="Times New Roman" w:cs="Times New Roman" w:eastAsia="Times New Roman" w:hint="default"/>
          <w:spacing w:val="-2"/>
        </w:rPr>
        <w:t>13</w:t>
      </w:r>
      <w:r>
        <w:rPr>
          <w:spacing w:val="-2"/>
        </w:rPr>
        <w:t>,</w:t>
      </w:r>
      <w:r>
        <w:rPr>
          <w:rFonts w:ascii="Times New Roman" w:hAnsi="Times New Roman" w:cs="Times New Roman" w:eastAsia="Times New Roman" w:hint="default"/>
          <w:spacing w:val="-2"/>
        </w:rPr>
        <w:t>778</w:t>
      </w:r>
      <w:r>
        <w:rPr>
          <w:spacing w:val="-2"/>
        </w:rPr>
        <w:t>,</w:t>
      </w:r>
      <w:r>
        <w:rPr>
          <w:rFonts w:ascii="Times New Roman" w:hAnsi="Times New Roman" w:cs="Times New Roman" w:eastAsia="Times New Roman" w:hint="default"/>
          <w:spacing w:val="-2"/>
        </w:rPr>
        <w:t>079.67</w:t>
      </w:r>
      <w:r>
        <w:rPr>
          <w:spacing w:val="-2"/>
        </w:rPr>
        <w:t>元作为法定盈余公积金。</w:t>
      </w:r>
    </w:p>
    <w:p>
      <w:pPr>
        <w:spacing w:after="0" w:line="386"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386" w:lineRule="auto" w:before="35"/>
        <w:ind w:left="574" w:right="1113" w:hanging="421"/>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日，母公司可供分配的利润为</w:t>
      </w:r>
      <w:r>
        <w:rPr>
          <w:rFonts w:ascii="Times New Roman" w:hAnsi="Times New Roman" w:cs="Times New Roman" w:eastAsia="Times New Roman" w:hint="default"/>
        </w:rPr>
        <w:t>419</w:t>
      </w:r>
      <w:r>
        <w:rPr/>
        <w:t>,</w:t>
      </w:r>
      <w:r>
        <w:rPr>
          <w:rFonts w:ascii="Times New Roman" w:hAnsi="Times New Roman" w:cs="Times New Roman" w:eastAsia="Times New Roman" w:hint="default"/>
        </w:rPr>
        <w:t>689</w:t>
      </w:r>
      <w:r>
        <w:rPr/>
        <w:t>,</w:t>
      </w:r>
      <w:r>
        <w:rPr>
          <w:rFonts w:ascii="Times New Roman" w:hAnsi="Times New Roman" w:cs="Times New Roman" w:eastAsia="Times New Roman" w:hint="default"/>
        </w:rPr>
        <w:t>295.00</w:t>
      </w:r>
      <w:r>
        <w:rPr/>
        <w:t>元，资本公积余额为</w:t>
      </w:r>
      <w:r>
        <w:rPr>
          <w:rFonts w:ascii="Times New Roman" w:hAnsi="Times New Roman" w:cs="Times New Roman" w:eastAsia="Times New Roman" w:hint="default"/>
        </w:rPr>
        <w:t>479</w:t>
      </w:r>
      <w:r>
        <w:rPr/>
        <w:t>,</w:t>
      </w:r>
      <w:r>
        <w:rPr>
          <w:rFonts w:ascii="Times New Roman" w:hAnsi="Times New Roman" w:cs="Times New Roman" w:eastAsia="Times New Roman" w:hint="default"/>
        </w:rPr>
        <w:t>950</w:t>
      </w:r>
      <w:r>
        <w:rPr/>
        <w:t>,</w:t>
      </w:r>
      <w:r>
        <w:rPr>
          <w:rFonts w:ascii="Times New Roman" w:hAnsi="Times New Roman" w:cs="Times New Roman" w:eastAsia="Times New Roman" w:hint="default"/>
        </w:rPr>
        <w:t>978.98</w:t>
      </w:r>
      <w:r>
        <w:rPr/>
        <w:t>元。 </w:t>
      </w:r>
      <w:r>
        <w:rPr>
          <w:spacing w:val="-1"/>
        </w:rPr>
        <w:t>考虑到公司业务持续发展，且经营现金流同步增长，在符合利润分配原则、保证公司正常经营和长远</w:t>
      </w:r>
    </w:p>
    <w:p>
      <w:pPr>
        <w:pStyle w:val="BodyText"/>
        <w:spacing w:line="393" w:lineRule="auto" w:before="65"/>
        <w:ind w:left="153" w:right="1108"/>
        <w:jc w:val="both"/>
      </w:pPr>
      <w:r>
        <w:rPr/>
        <w:t>发展的前提下，为了更好的兼顾股东的即期利益和长远利益，使公司的价值能够更加公允、客观的体现， </w:t>
      </w:r>
      <w:r>
        <w:rPr>
          <w:spacing w:val="-1"/>
        </w:rPr>
        <w:t>从长远角度回报投资者，使全体股东分享公司成长的经营成果，</w:t>
      </w:r>
      <w:r>
        <w:rPr>
          <w:rFonts w:ascii="Times New Roman" w:hAnsi="Times New Roman" w:cs="Times New Roman" w:eastAsia="Times New Roman" w:hint="default"/>
          <w:spacing w:val="-1"/>
        </w:rPr>
        <w:t>2019</w:t>
      </w:r>
      <w:r>
        <w:rPr>
          <w:spacing w:val="-1"/>
        </w:rPr>
        <w:t>年度公司利润分配预案如下：以截止</w:t>
      </w:r>
      <w:r>
        <w:rPr>
          <w:spacing w:val="-83"/>
        </w:rPr>
        <w:t> </w:t>
      </w:r>
      <w:r>
        <w:rPr>
          <w:spacing w:val="-83"/>
        </w:rPr>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481</w:t>
      </w:r>
      <w:r>
        <w:rPr/>
        <w:t>,</w:t>
      </w:r>
      <w:r>
        <w:rPr>
          <w:rFonts w:ascii="Times New Roman" w:hAnsi="Times New Roman" w:cs="Times New Roman" w:eastAsia="Times New Roman" w:hint="default"/>
        </w:rPr>
        <w:t>092</w:t>
      </w:r>
      <w:r>
        <w:rPr/>
        <w:t>,</w:t>
      </w:r>
      <w:r>
        <w:rPr>
          <w:rFonts w:ascii="Times New Roman" w:hAnsi="Times New Roman" w:cs="Times New Roman" w:eastAsia="Times New Roman" w:hint="default"/>
        </w:rPr>
        <w:t>495</w:t>
      </w:r>
      <w:r>
        <w:rPr/>
        <w:t>股为基数，向全体股东每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0.6</w:t>
      </w:r>
      <w:r>
        <w:rPr/>
        <w:t>元人民币（含税），合</w:t>
      </w:r>
      <w:r>
        <w:rPr>
          <w:spacing w:val="-92"/>
        </w:rPr>
        <w:t> </w:t>
      </w:r>
      <w:r>
        <w:rPr>
          <w:spacing w:val="-92"/>
        </w:rPr>
      </w:r>
      <w:r>
        <w:rPr/>
        <w:t>计派发现金股利为人民币</w:t>
      </w:r>
      <w:r>
        <w:rPr>
          <w:rFonts w:ascii="Times New Roman" w:hAnsi="Times New Roman" w:cs="Times New Roman" w:eastAsia="Times New Roman" w:hint="default"/>
        </w:rPr>
        <w:t>28</w:t>
      </w:r>
      <w:r>
        <w:rPr/>
        <w:t>,</w:t>
      </w:r>
      <w:r>
        <w:rPr>
          <w:rFonts w:ascii="Times New Roman" w:hAnsi="Times New Roman" w:cs="Times New Roman" w:eastAsia="Times New Roman" w:hint="default"/>
        </w:rPr>
        <w:t>865</w:t>
      </w:r>
      <w:r>
        <w:rPr/>
        <w:t>,</w:t>
      </w:r>
      <w:r>
        <w:rPr>
          <w:rFonts w:ascii="Times New Roman" w:hAnsi="Times New Roman" w:cs="Times New Roman" w:eastAsia="Times New Roman" w:hint="default"/>
        </w:rPr>
        <w:t>549.70</w:t>
      </w:r>
      <w:r>
        <w:rPr/>
        <w:t>元（含税）。</w:t>
      </w:r>
    </w:p>
    <w:p>
      <w:pPr>
        <w:pStyle w:val="BodyText"/>
        <w:spacing w:line="408" w:lineRule="auto" w:before="28"/>
        <w:ind w:right="1113" w:firstLine="420"/>
        <w:jc w:val="left"/>
      </w:pPr>
      <w:r>
        <w:rPr>
          <w:spacing w:val="-1"/>
        </w:rPr>
        <w:t>公司第五届董事会第二次会议及第五届监事会第二次会议审议通过上述预案，独立董事均发表了明确</w:t>
      </w:r>
      <w:r>
        <w:rPr/>
        <w:t> 的同意意见。本利润分配预案尚需提请公司</w:t>
      </w:r>
      <w:r>
        <w:rPr>
          <w:rFonts w:ascii="Times New Roman" w:hAnsi="Times New Roman" w:cs="Times New Roman" w:eastAsia="Times New Roman" w:hint="default"/>
        </w:rPr>
        <w:t>2019</w:t>
      </w:r>
      <w:r>
        <w:rPr/>
        <w:t>年年度股东大会审议。</w:t>
      </w:r>
    </w:p>
    <w:p>
      <w:pPr>
        <w:spacing w:before="2"/>
        <w:ind w:left="154" w:right="1113"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6"/>
        <w:gridCol w:w="1195"/>
        <w:gridCol w:w="1196"/>
        <w:gridCol w:w="1196"/>
        <w:gridCol w:w="1195"/>
      </w:tblGrid>
      <w:tr>
        <w:trPr>
          <w:trHeight w:val="2274"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52" w:right="50"/>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3"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12" w:right="143"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52" w:right="50"/>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28,865,549.70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157,690,483.05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28,865,549.70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19,243,699.80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96,112,608.43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19,243,699.80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19,468,530.06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119,671,217.16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19,468,530.06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16.27%</w:t>
            </w: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line="240" w:lineRule="auto" w:before="12"/>
        <w:rPr>
          <w:rFonts w:ascii="宋体" w:hAnsi="宋体" w:cs="宋体" w:eastAsia="宋体" w:hint="default"/>
          <w:sz w:val="20"/>
          <w:szCs w:val="20"/>
        </w:rPr>
      </w:pPr>
    </w:p>
    <w:p>
      <w:pPr>
        <w:spacing w:before="0"/>
        <w:ind w:left="153"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12"/>
        <w:rPr>
          <w:rFonts w:ascii="宋体" w:hAnsi="宋体" w:cs="宋体" w:eastAsia="宋体" w:hint="default"/>
          <w:sz w:val="2"/>
          <w:szCs w:val="2"/>
        </w:rPr>
      </w:pPr>
      <w:r>
        <w:rPr/>
        <w:pict>
          <v:shape style="position:absolute;margin-left:515.811401pt;margin-top:373.200012pt;width:101.7pt;height:158.050pt;mso-position-horizontal-relative:page;mso-position-vertical-relative:page;z-index:-159928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税收、</w:t>
                  </w:r>
                </w:p>
              </w:txbxContent>
            </v:textbox>
            <w10:wrap type="none"/>
          </v:shape>
        </w:pict>
      </w: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5"/>
          <w:szCs w:val="15"/>
        </w:rPr>
      </w:pPr>
    </w:p>
    <w:p>
      <w:pPr>
        <w:pStyle w:val="Heading2"/>
        <w:spacing w:line="240" w:lineRule="auto" w:before="26"/>
        <w:ind w:left="139" w:right="132"/>
        <w:jc w:val="left"/>
        <w:rPr>
          <w:b w:val="0"/>
          <w:bCs w:val="0"/>
        </w:rPr>
      </w:pP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39" w:right="132"/>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7"/>
        <w:rPr>
          <w:rFonts w:ascii="宋体" w:hAnsi="宋体" w:cs="宋体" w:eastAsia="宋体" w:hint="default"/>
          <w:b/>
          <w:bCs/>
          <w:sz w:val="32"/>
          <w:szCs w:val="32"/>
        </w:rPr>
      </w:pPr>
    </w:p>
    <w:p>
      <w:pPr>
        <w:spacing w:before="0"/>
        <w:ind w:left="139" w:right="132" w:firstLine="0"/>
        <w:jc w:val="left"/>
        <w:rPr>
          <w:rFonts w:ascii="宋体" w:hAnsi="宋体" w:cs="宋体" w:eastAsia="宋体" w:hint="default"/>
          <w:sz w:val="18"/>
          <w:szCs w:val="18"/>
        </w:rPr>
      </w:pPr>
      <w:r>
        <w:rPr/>
        <w:pict>
          <v:shape style="position:absolute;margin-left:506.870819pt;margin-top:61.571709pt;width:110.65pt;height:175.65pt;mso-position-horizontal-relative:page;mso-position-vertical-relative:paragraph;z-index:-159930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无纠纷、</w:t>
                  </w:r>
                </w:p>
              </w:txbxContent>
            </v:textbox>
            <w10:wrap type="none"/>
          </v:shape>
        </w:pict>
      </w:r>
      <w:r>
        <w:rPr/>
        <w:pict>
          <v:group style="position:absolute;margin-left:540.049988pt;margin-top:61.571709pt;width:77.5pt;height:334.15pt;mso-position-horizontal-relative:page;mso-position-vertical-relative:paragraph;z-index:-1599256" coordorigin="10801,1231" coordsize="1550,6683">
            <v:group style="position:absolute;left:10801;top:1231;width:1550;height:3513" coordorigin="10801,1231" coordsize="1550,3513">
              <v:shape style="position:absolute;left:10801;top:1231;width:1550;height:3513" coordorigin="10801,1231" coordsize="1550,3513" path="m10801,1231l12350,1231,12350,4744,10801,4744,10801,1231xe" filled="true" fillcolor="#ffffff" stroked="false">
                <v:path arrowok="t"/>
                <v:fill type="solid"/>
              </v:shape>
            </v:group>
            <v:group style="position:absolute;left:10824;top:2791;width:1503;height:393" coordorigin="10824,2791" coordsize="1503,393">
              <v:shape style="position:absolute;left:10824;top:2791;width:1503;height:393" coordorigin="10824,2791" coordsize="1503,393" path="m10824,2791l10824,3184,12326,3184,12326,2791,10824,2791xe" filled="true" fillcolor="#ffffff" stroked="false">
                <v:path arrowok="t"/>
                <v:fill type="solid"/>
              </v:shape>
            </v:group>
            <v:group style="position:absolute;left:10801;top:4753;width:1550;height:3161" coordorigin="10801,4753" coordsize="1550,3161">
              <v:shape style="position:absolute;left:10801;top:4753;width:1550;height:3161" coordorigin="10801,4753" coordsize="1550,3161" path="m10801,4753l12350,4753,12350,7914,10801,7914,10801,4753xe" filled="true" fillcolor="#ffffff" stroked="false">
                <v:path arrowok="t"/>
                <v:fill type="solid"/>
              </v:shape>
            </v:group>
            <v:group style="position:absolute;left:10824;top:6138;width:1503;height:392" coordorigin="10824,6138" coordsize="1503,392">
              <v:shape style="position:absolute;left:10824;top:6138;width:1503;height:392" coordorigin="10824,6138" coordsize="1503,392" path="m10824,6138l10824,6529,12326,6529,12326,6138,10824,6138xe" filled="true" fillcolor="#ffffff" stroked="false">
                <v:path arrowok="t"/>
                <v:fill type="solid"/>
              </v:shape>
            </v:group>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tbl>
      <w:tblPr>
        <w:tblW w:w="0" w:type="auto"/>
        <w:jc w:val="left"/>
        <w:tblInd w:w="135" w:type="dxa"/>
        <w:tblLayout w:type="fixed"/>
        <w:tblCellMar>
          <w:top w:w="0" w:type="dxa"/>
          <w:left w:w="0" w:type="dxa"/>
          <w:bottom w:w="0" w:type="dxa"/>
          <w:right w:w="0" w:type="dxa"/>
        </w:tblCellMar>
        <w:tblLook w:val="01E0"/>
      </w:tblPr>
      <w:tblGrid>
        <w:gridCol w:w="1985"/>
        <w:gridCol w:w="1417"/>
        <w:gridCol w:w="1134"/>
        <w:gridCol w:w="4820"/>
        <w:gridCol w:w="1559"/>
        <w:gridCol w:w="1276"/>
        <w:gridCol w:w="1702"/>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3892"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收购报告书或权益变动报告书中所作承诺</w:t>
            </w:r>
          </w:p>
        </w:tc>
      </w:tr>
      <w:tr>
        <w:trPr>
          <w:trHeight w:val="358" w:hRule="exact"/>
        </w:trPr>
        <w:tc>
          <w:tcPr>
            <w:tcW w:w="19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本次交易的交易对方就其持有标的公司股权无代持、</w:t>
            </w:r>
          </w:p>
        </w:tc>
        <w:tc>
          <w:tcPr>
            <w:tcW w:w="1559"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无转让限制等情况的承诺如下：</w:t>
            </w:r>
            <w:r>
              <w:rPr>
                <w:rFonts w:ascii="Times New Roman" w:hAnsi="Times New Roman" w:cs="Times New Roman" w:eastAsia="Times New Roman" w:hint="default"/>
                <w:sz w:val="18"/>
                <w:szCs w:val="18"/>
              </w:rPr>
              <w:t>1</w:t>
            </w:r>
            <w:r>
              <w:rPr>
                <w:rFonts w:ascii="宋体" w:hAnsi="宋体" w:cs="宋体" w:eastAsia="宋体" w:hint="default"/>
                <w:sz w:val="18"/>
                <w:szCs w:val="18"/>
              </w:rPr>
              <w:t>、本人合法持有迪科远望的</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2179"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9" w:lineRule="auto" w:before="161"/>
              <w:ind w:left="22" w:right="22"/>
              <w:jc w:val="left"/>
              <w:rPr>
                <w:rFonts w:ascii="宋体" w:hAnsi="宋体" w:cs="宋体" w:eastAsia="宋体" w:hint="default"/>
                <w:sz w:val="18"/>
                <w:szCs w:val="18"/>
              </w:rPr>
            </w:pPr>
            <w:r>
              <w:rPr>
                <w:rFonts w:ascii="宋体" w:hAnsi="宋体" w:cs="宋体" w:eastAsia="宋体" w:hint="default"/>
                <w:sz w:val="18"/>
                <w:szCs w:val="18"/>
              </w:rPr>
              <w:t>公司发行股份及 支付现金购买资 产的交易对方刘 </w:t>
            </w:r>
            <w:r>
              <w:rPr>
                <w:rFonts w:ascii="宋体" w:hAnsi="宋体" w:cs="宋体" w:eastAsia="宋体" w:hint="default"/>
                <w:spacing w:val="-10"/>
                <w:sz w:val="18"/>
                <w:szCs w:val="18"/>
              </w:rPr>
              <w:t>永春、丛伟滋、李</w:t>
            </w:r>
            <w:r>
              <w:rPr>
                <w:rFonts w:ascii="宋体" w:hAnsi="宋体" w:cs="宋体" w:eastAsia="宋体" w:hint="default"/>
                <w:sz w:val="18"/>
                <w:szCs w:val="18"/>
              </w:rPr>
              <w:t> </w:t>
            </w:r>
            <w:r>
              <w:rPr>
                <w:rFonts w:ascii="宋体" w:hAnsi="宋体" w:cs="宋体" w:eastAsia="宋体" w:hint="default"/>
                <w:spacing w:val="-10"/>
                <w:sz w:val="18"/>
                <w:szCs w:val="18"/>
              </w:rPr>
              <w:t>洪、熊小洪、白海</w:t>
            </w:r>
            <w:r>
              <w:rPr>
                <w:rFonts w:ascii="宋体" w:hAnsi="宋体" w:cs="宋体" w:eastAsia="宋体" w:hint="default"/>
                <w:sz w:val="18"/>
                <w:szCs w:val="18"/>
              </w:rPr>
              <w:t> 清、黄暂度</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2" w:right="23"/>
              <w:jc w:val="left"/>
              <w:rPr>
                <w:rFonts w:ascii="宋体" w:hAnsi="宋体" w:cs="宋体" w:eastAsia="宋体" w:hint="default"/>
                <w:sz w:val="18"/>
                <w:szCs w:val="18"/>
              </w:rPr>
            </w:pPr>
            <w:r>
              <w:rPr>
                <w:rFonts w:ascii="宋体" w:hAnsi="宋体" w:cs="宋体" w:eastAsia="宋体" w:hint="default"/>
                <w:sz w:val="18"/>
                <w:szCs w:val="18"/>
              </w:rPr>
              <w:t>股份，并及时、足额缴纳出资，本人获得迪科远望股份的资 金来源真实合法、不存在违反法律法规的情形、不存在被有 关部门收缴、追索等法律风险；</w:t>
            </w:r>
            <w:r>
              <w:rPr>
                <w:rFonts w:ascii="Times New Roman" w:hAnsi="Times New Roman" w:cs="Times New Roman" w:eastAsia="Times New Roman" w:hint="default"/>
                <w:sz w:val="18"/>
                <w:szCs w:val="18"/>
              </w:rPr>
              <w:t>2</w:t>
            </w:r>
            <w:r>
              <w:rPr>
                <w:rFonts w:ascii="宋体" w:hAnsi="宋体" w:cs="宋体" w:eastAsia="宋体" w:hint="default"/>
                <w:sz w:val="18"/>
                <w:szCs w:val="18"/>
              </w:rPr>
              <w:t>、本人持有的迪科远望股份 不存在被质押、扣押、冻结、司法查封或拍卖、托管、设定 信托、被依法限制表决权，或其他使该等股份权利行使和</w:t>
            </w:r>
            <w:r>
              <w:rPr>
                <w:rFonts w:ascii="Times New Roman" w:hAnsi="Times New Roman" w:cs="Times New Roman" w:eastAsia="Times New Roman" w:hint="default"/>
                <w:sz w:val="18"/>
                <w:szCs w:val="18"/>
              </w:rPr>
              <w:t>/</w:t>
            </w:r>
            <w:r>
              <w:rPr>
                <w:rFonts w:ascii="宋体" w:hAnsi="宋体" w:cs="宋体" w:eastAsia="宋体" w:hint="default"/>
                <w:sz w:val="18"/>
                <w:szCs w:val="18"/>
              </w:rPr>
              <w:t>或 转让受到限制或禁止的情形；</w:t>
            </w:r>
            <w:r>
              <w:rPr>
                <w:rFonts w:ascii="Times New Roman" w:hAnsi="Times New Roman" w:cs="Times New Roman" w:eastAsia="Times New Roman" w:hint="default"/>
                <w:sz w:val="18"/>
                <w:szCs w:val="18"/>
              </w:rPr>
              <w:t>3</w:t>
            </w:r>
            <w:r>
              <w:rPr>
                <w:rFonts w:ascii="宋体" w:hAnsi="宋体" w:cs="宋体" w:eastAsia="宋体" w:hint="default"/>
                <w:sz w:val="18"/>
                <w:szCs w:val="18"/>
              </w:rPr>
              <w:t>、本人持有的迪科远望股份不 存在委托持股情形，不存在利益输送或其他权益安排，本人</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9" w:lineRule="auto"/>
              <w:ind w:left="22" w:right="47"/>
              <w:jc w:val="left"/>
              <w:rPr>
                <w:rFonts w:ascii="宋体" w:hAnsi="宋体" w:cs="宋体" w:eastAsia="宋体" w:hint="default"/>
                <w:sz w:val="18"/>
                <w:szCs w:val="18"/>
              </w:rPr>
            </w:pPr>
            <w:r>
              <w:rPr>
                <w:rFonts w:ascii="宋体" w:hAnsi="宋体" w:cs="宋体" w:eastAsia="宋体" w:hint="default"/>
                <w:sz w:val="18"/>
                <w:szCs w:val="18"/>
              </w:rPr>
              <w:t>截至报告期末，上述 承诺人严格信守承 诺，未发生违反承诺 的情况。</w:t>
            </w:r>
          </w:p>
        </w:tc>
      </w:tr>
      <w:tr>
        <w:trPr>
          <w:trHeight w:val="313"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基于该等股份依法行使股东权利没有任何法律障碍，该等股</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份不存在纠纷或潜在纠纷。</w:t>
            </w:r>
          </w:p>
        </w:tc>
        <w:tc>
          <w:tcPr>
            <w:tcW w:w="1559"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本次交易的交易对方承诺：</w:t>
            </w:r>
            <w:r>
              <w:rPr>
                <w:rFonts w:ascii="Times New Roman" w:hAnsi="Times New Roman" w:cs="Times New Roman" w:eastAsia="Times New Roman" w:hint="default"/>
                <w:sz w:val="18"/>
                <w:szCs w:val="18"/>
              </w:rPr>
              <w:t>1</w:t>
            </w:r>
            <w:r>
              <w:rPr>
                <w:rFonts w:ascii="宋体" w:hAnsi="宋体" w:cs="宋体" w:eastAsia="宋体" w:hint="default"/>
                <w:sz w:val="18"/>
                <w:szCs w:val="18"/>
              </w:rPr>
              <w:t>、迪科远望及其下属公司的生产</w:t>
            </w:r>
          </w:p>
        </w:tc>
        <w:tc>
          <w:tcPr>
            <w:tcW w:w="1559"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r>
      <w:tr>
        <w:trPr>
          <w:trHeight w:val="297"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经营活动符合相关法律法规的要求，截至本承诺函出具日的</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公司发行股份及</w:t>
            </w: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经营期间，除已向新开普书面披露的情况外，不存在任何违</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支付现金购买资</w:t>
            </w: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反所适用的法律、法规的行为，不存在任何违反工商、</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截至报告期末，上述</w:t>
            </w:r>
          </w:p>
        </w:tc>
      </w:tr>
      <w:tr>
        <w:trPr>
          <w:trHeight w:val="624"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产的交易对方刘 </w:t>
            </w:r>
            <w:r>
              <w:rPr>
                <w:rFonts w:ascii="宋体" w:hAnsi="宋体" w:cs="宋体" w:eastAsia="宋体" w:hint="default"/>
                <w:spacing w:val="-10"/>
                <w:sz w:val="18"/>
                <w:szCs w:val="18"/>
              </w:rPr>
              <w:t>永春、丛伟滋、李</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107"/>
              <w:jc w:val="left"/>
              <w:rPr>
                <w:rFonts w:ascii="宋体" w:hAnsi="宋体" w:cs="宋体" w:eastAsia="宋体" w:hint="default"/>
                <w:sz w:val="18"/>
                <w:szCs w:val="18"/>
              </w:rPr>
            </w:pPr>
            <w:r>
              <w:rPr>
                <w:rFonts w:ascii="宋体" w:hAnsi="宋体" w:cs="宋体" w:eastAsia="宋体" w:hint="default"/>
                <w:sz w:val="18"/>
                <w:szCs w:val="18"/>
              </w:rPr>
              <w:t>土地、环保、海关以及其他法律、行政法规，受到行政处罚 且情节严重的情形；迪科远望及其下属公司不存在正在进行</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47"/>
              <w:jc w:val="left"/>
              <w:rPr>
                <w:rFonts w:ascii="宋体" w:hAnsi="宋体" w:cs="宋体" w:eastAsia="宋体" w:hint="default"/>
                <w:sz w:val="18"/>
                <w:szCs w:val="18"/>
              </w:rPr>
            </w:pPr>
            <w:r>
              <w:rPr>
                <w:rFonts w:ascii="宋体" w:hAnsi="宋体" w:cs="宋体" w:eastAsia="宋体" w:hint="default"/>
                <w:sz w:val="18"/>
                <w:szCs w:val="18"/>
              </w:rPr>
              <w:t>承诺人严格信守承 诺，未发生违反承诺</w:t>
            </w:r>
          </w:p>
        </w:tc>
      </w:tr>
      <w:tr>
        <w:trPr>
          <w:trHeight w:val="313"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10"/>
                <w:sz w:val="18"/>
                <w:szCs w:val="18"/>
              </w:rPr>
              <w:t>洪、熊小洪、白海</w:t>
            </w: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或可预见的重大诉讼、仲裁或行政处罚案件、刑事调查及刑</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322"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清、黄暂度</w:t>
            </w: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事诉讼案件或处于任何与此相关的其他法律程序，不存在因</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环境保护、知识产权、产品质量、劳动安全、人身权等原因</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9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产生的侵权之债。</w:t>
            </w:r>
            <w:r>
              <w:rPr>
                <w:rFonts w:ascii="Times New Roman" w:hAnsi="Times New Roman" w:cs="Times New Roman" w:eastAsia="Times New Roman" w:hint="default"/>
                <w:sz w:val="18"/>
                <w:szCs w:val="18"/>
              </w:rPr>
              <w:t>2</w:t>
            </w:r>
            <w:r>
              <w:rPr>
                <w:rFonts w:ascii="宋体" w:hAnsi="宋体" w:cs="宋体" w:eastAsia="宋体" w:hint="default"/>
                <w:sz w:val="18"/>
                <w:szCs w:val="18"/>
              </w:rPr>
              <w:t>、截至本承诺函出具日，迪科远望及其下</w:t>
            </w:r>
          </w:p>
        </w:tc>
        <w:tc>
          <w:tcPr>
            <w:tcW w:w="1559"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r>
    </w:tbl>
    <w:p>
      <w:pPr>
        <w:spacing w:after="0"/>
        <w:sectPr>
          <w:headerReference w:type="default" r:id="rId21"/>
          <w:footerReference w:type="default" r:id="rId22"/>
          <w:pgSz w:w="16840" w:h="11910" w:orient="landscape"/>
          <w:pgMar w:header="867" w:footer="978" w:top="1060" w:bottom="1260" w:left="1300" w:right="1300"/>
          <w:pgNumType w:start="66"/>
        </w:sectPr>
      </w:pPr>
    </w:p>
    <w:p>
      <w:pPr>
        <w:spacing w:line="240" w:lineRule="auto" w:before="4"/>
        <w:rPr>
          <w:rFonts w:ascii="Times New Roman" w:hAnsi="Times New Roman" w:cs="Times New Roman" w:eastAsia="Times New Roman" w:hint="default"/>
          <w:sz w:val="3"/>
          <w:szCs w:val="3"/>
        </w:rPr>
      </w:pPr>
      <w:r>
        <w:rPr/>
        <w:pict>
          <v:shape style="position:absolute;margin-left:380.870819pt;margin-top:57.18pt;width:236.65pt;height:468pt;mso-position-horizontal-relative:page;mso-position-vertical-relative:page;z-index:-15992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7"/>
                    <w:ind w:left="0" w:right="0" w:firstLine="0"/>
                    <w:jc w:val="left"/>
                    <w:rPr>
                      <w:rFonts w:ascii="宋体" w:hAnsi="宋体" w:cs="宋体" w:eastAsia="宋体" w:hint="default"/>
                      <w:sz w:val="18"/>
                      <w:szCs w:val="18"/>
                    </w:rPr>
                  </w:pPr>
                  <w:r>
                    <w:rPr>
                      <w:rFonts w:ascii="宋体" w:hAnsi="宋体" w:cs="宋体" w:eastAsia="宋体" w:hint="default"/>
                      <w:sz w:val="18"/>
                      <w:szCs w:val="18"/>
                    </w:rPr>
                    <w:t>不存在尚未了结的或可预见的重大诉讼、</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spacing w:before="0"/>
                    <w:ind w:left="2700" w:right="0" w:firstLine="358"/>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6"/>
                      <w:szCs w:val="16"/>
                    </w:rPr>
                  </w:pPr>
                </w:p>
                <w:p>
                  <w:pPr>
                    <w:spacing w:line="636" w:lineRule="auto" w:before="0"/>
                    <w:ind w:left="2338" w:right="1490" w:firstLine="361"/>
                    <w:jc w:val="left"/>
                    <w:rPr>
                      <w:rFonts w:ascii="宋体" w:hAnsi="宋体" w:cs="宋体" w:eastAsia="宋体" w:hint="default"/>
                      <w:sz w:val="18"/>
                      <w:szCs w:val="18"/>
                    </w:rPr>
                  </w:pPr>
                  <w:r>
                    <w:rPr>
                      <w:rFonts w:ascii="宋体" w:hAnsi="宋体" w:cs="宋体" w:eastAsia="宋体" w:hint="default"/>
                      <w:sz w:val="18"/>
                      <w:szCs w:val="18"/>
                    </w:rPr>
                    <w:t>董事、 其他股东、</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1985"/>
        <w:gridCol w:w="1417"/>
        <w:gridCol w:w="1134"/>
        <w:gridCol w:w="4820"/>
        <w:gridCol w:w="1559"/>
        <w:gridCol w:w="1276"/>
        <w:gridCol w:w="1702"/>
      </w:tblGrid>
      <w:tr>
        <w:trPr>
          <w:trHeight w:val="336" w:hRule="exact"/>
        </w:trPr>
        <w:tc>
          <w:tcPr>
            <w:tcW w:w="1985"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482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属公司资产权属清晰，迪科远望及其下属公司合法所有和</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p>
        </w:tc>
        <w:tc>
          <w:tcPr>
            <w:tcW w:w="1559" w:type="dxa"/>
            <w:vMerge w:val="restart"/>
            <w:tcBorders>
              <w:top w:val="single" w:sz="15" w:space="0" w:color="000000"/>
              <w:left w:val="single" w:sz="4" w:space="0" w:color="000000"/>
              <w:right w:val="single" w:sz="4" w:space="0" w:color="000000"/>
            </w:tcBorders>
          </w:tcPr>
          <w:p>
            <w:pPr>
              <w:pStyle w:val="TableParagraph"/>
              <w:spacing w:line="936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77.5pt;height:468pt;mso-position-horizontal-relative:char;mso-position-vertical-relative:line" coordorigin="0,0" coordsize="1550,9360">
                  <v:group style="position:absolute;left:0;top:0;width:1550;height:9360" coordorigin="0,0" coordsize="1550,9360">
                    <v:shape style="position:absolute;left:0;top:0;width:1550;height:9360" coordorigin="0,0" coordsize="1550,9360" path="m0,0l1549,0,1549,9360,0,9360,0,0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1276" w:type="dxa"/>
            <w:vMerge w:val="restart"/>
            <w:tcBorders>
              <w:top w:val="single" w:sz="15" w:space="0" w:color="000000"/>
              <w:left w:val="single" w:sz="4" w:space="0" w:color="000000"/>
              <w:right w:val="single" w:sz="4" w:space="0" w:color="000000"/>
            </w:tcBorders>
          </w:tcPr>
          <w:p>
            <w:pPr/>
          </w:p>
        </w:tc>
        <w:tc>
          <w:tcPr>
            <w:tcW w:w="1702" w:type="dxa"/>
            <w:vMerge w:val="restart"/>
            <w:tcBorders>
              <w:top w:val="single" w:sz="15" w:space="0" w:color="000000"/>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使用的财产（包括固定资产、无形资产等）不存在产权纠纷</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或潜在纠纷，亦不存在被设定抵押、其他担保或第三方权益</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或被司法查封、扣押、冻结或其他使该等所有权和</w:t>
            </w:r>
            <w:r>
              <w:rPr>
                <w:rFonts w:ascii="Times New Roman" w:hAnsi="Times New Roman" w:cs="Times New Roman" w:eastAsia="Times New Roman" w:hint="default"/>
                <w:sz w:val="18"/>
                <w:szCs w:val="18"/>
              </w:rPr>
              <w:t>/</w:t>
            </w:r>
            <w:r>
              <w:rPr>
                <w:rFonts w:ascii="宋体" w:hAnsi="宋体" w:cs="宋体" w:eastAsia="宋体" w:hint="default"/>
                <w:sz w:val="18"/>
                <w:szCs w:val="18"/>
              </w:rPr>
              <w:t>或使用权</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的权利行使、转让受到限制的情形；迪科远望及其下属公司</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目前不存在拟进行的资产置换、资产剥离、资产出售或收购</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等重大资产变化情况。</w:t>
            </w:r>
            <w:r>
              <w:rPr>
                <w:rFonts w:ascii="Times New Roman" w:hAnsi="Times New Roman" w:cs="Times New Roman" w:eastAsia="Times New Roman" w:hint="default"/>
                <w:sz w:val="18"/>
                <w:szCs w:val="18"/>
              </w:rPr>
              <w:t>3</w:t>
            </w:r>
            <w:r>
              <w:rPr>
                <w:rFonts w:ascii="宋体" w:hAnsi="宋体" w:cs="宋体" w:eastAsia="宋体" w:hint="default"/>
                <w:sz w:val="18"/>
                <w:szCs w:val="18"/>
              </w:rPr>
              <w:t>、迪科远望及其下属公司的董事、监</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事、高级管理人员在最近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年内未受过行政处罚（与证券市</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场明显无关的除外）刑事处罚，未涉及与经济纠纷有关的重</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大民事诉讼或仲裁，</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仲裁或行政处罚案件，不存在任何其他根据相关法律法规或</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公司章程不能担任公司董事、监事、高级管理人员的情形。</w:t>
            </w:r>
            <w:r>
              <w:rPr>
                <w:rFonts w:ascii="Times New Roman" w:hAnsi="Times New Roman" w:cs="Times New Roman" w:eastAsia="Times New Roman" w:hint="default"/>
                <w:spacing w:val="-4"/>
                <w:sz w:val="18"/>
                <w:szCs w:val="18"/>
              </w:rPr>
              <w:t>4</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截至本承诺函出具日，迪科远望及其下属公司不存在任何形</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式对外担保情形，不存在重大偿债风险，不存在影响持续经</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营的担保、诉讼以及仲裁等重大或有事项。</w:t>
            </w:r>
            <w:r>
              <w:rPr>
                <w:rFonts w:ascii="Times New Roman" w:hAnsi="Times New Roman" w:cs="Times New Roman" w:eastAsia="Times New Roman" w:hint="default"/>
                <w:sz w:val="18"/>
                <w:szCs w:val="18"/>
              </w:rPr>
              <w:t>5</w:t>
            </w:r>
            <w:r>
              <w:rPr>
                <w:rFonts w:ascii="宋体" w:hAnsi="宋体" w:cs="宋体" w:eastAsia="宋体" w:hint="default"/>
                <w:sz w:val="18"/>
                <w:szCs w:val="18"/>
              </w:rPr>
              <w:t>、迪科远望及其</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下属公司的业务独立于控股股东、实际控制人及其控制的其</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他企业，与控股股东、实际控制人及其控制的其他企业间不</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存在同业竞争，以及严重影响迪科远望及下属公司独立性或</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显失公允的关联交易。</w:t>
            </w:r>
            <w:r>
              <w:rPr>
                <w:rFonts w:ascii="Times New Roman" w:hAnsi="Times New Roman" w:cs="Times New Roman" w:eastAsia="Times New Roman" w:hint="default"/>
                <w:sz w:val="18"/>
                <w:szCs w:val="18"/>
              </w:rPr>
              <w:t>6</w:t>
            </w:r>
            <w:r>
              <w:rPr>
                <w:rFonts w:ascii="宋体" w:hAnsi="宋体" w:cs="宋体" w:eastAsia="宋体" w:hint="default"/>
                <w:sz w:val="18"/>
                <w:szCs w:val="18"/>
              </w:rPr>
              <w:t>、截至本承诺函出具日，迪科远望及</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下属公司不存在为控股股东、实际控制人、其他股东、</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监事、高级管理人员及其控制的其他企业进行违规担保的情</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形，不存在资金或资产被控股股东、实际控制人、</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董事、监事、高级管理人员及其控制的其他企业以借款、代</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偿债务、代垫款项或者其他方式占用的情形。</w:t>
            </w:r>
            <w:r>
              <w:rPr>
                <w:rFonts w:ascii="Times New Roman" w:hAnsi="Times New Roman" w:cs="Times New Roman" w:eastAsia="Times New Roman" w:hint="default"/>
                <w:sz w:val="18"/>
                <w:szCs w:val="18"/>
              </w:rPr>
              <w:t>7</w:t>
            </w:r>
            <w:r>
              <w:rPr>
                <w:rFonts w:ascii="宋体" w:hAnsi="宋体" w:cs="宋体" w:eastAsia="宋体" w:hint="default"/>
                <w:sz w:val="18"/>
                <w:szCs w:val="18"/>
              </w:rPr>
              <w:t>、承诺人做出</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的上述承诺以及承诺人在与迪科远望及其他股东、新开普共</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同签署的《新开普电子股份有限公司发行股份及支付现金购</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买资产协议》中做出的关于迪科远望及其下属公司的相关声</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明、承诺和保证真实、准确、完整，不存在重大遗漏或误导</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性陈述；如前述承诺事项与实际情况不相符对新开普造成损</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8"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失的，本人将以除持有的迪科远望股份以外的其他合法财产</w:t>
            </w:r>
          </w:p>
        </w:tc>
        <w:tc>
          <w:tcPr>
            <w:tcW w:w="155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985"/>
        <w:gridCol w:w="1417"/>
        <w:gridCol w:w="1134"/>
        <w:gridCol w:w="4820"/>
        <w:gridCol w:w="1559"/>
        <w:gridCol w:w="1276"/>
        <w:gridCol w:w="1702"/>
      </w:tblGrid>
      <w:tr>
        <w:trPr>
          <w:trHeight w:val="331" w:hRule="exact"/>
        </w:trPr>
        <w:tc>
          <w:tcPr>
            <w:tcW w:w="1985"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482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对新开普承担赔偿责任；如该等损失由迪科远望先行承担，</w:t>
            </w:r>
          </w:p>
        </w:tc>
        <w:tc>
          <w:tcPr>
            <w:tcW w:w="1559" w:type="dxa"/>
            <w:vMerge w:val="restart"/>
            <w:tcBorders>
              <w:top w:val="single" w:sz="15" w:space="0" w:color="000000"/>
              <w:left w:val="single" w:sz="4" w:space="0" w:color="000000"/>
              <w:right w:val="single" w:sz="4" w:space="0" w:color="000000"/>
            </w:tcBorders>
          </w:tcPr>
          <w:p>
            <w:pPr/>
          </w:p>
        </w:tc>
        <w:tc>
          <w:tcPr>
            <w:tcW w:w="1276" w:type="dxa"/>
            <w:vMerge w:val="restart"/>
            <w:tcBorders>
              <w:top w:val="single" w:sz="15" w:space="0" w:color="000000"/>
              <w:left w:val="single" w:sz="4" w:space="0" w:color="000000"/>
              <w:right w:val="single" w:sz="4" w:space="0" w:color="000000"/>
            </w:tcBorders>
          </w:tcPr>
          <w:p>
            <w:pPr/>
          </w:p>
        </w:tc>
        <w:tc>
          <w:tcPr>
            <w:tcW w:w="1702" w:type="dxa"/>
            <w:vMerge w:val="restart"/>
            <w:tcBorders>
              <w:top w:val="single" w:sz="15" w:space="0" w:color="000000"/>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承诺人应在迪科远望承担该等损失之日起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日内以除迪科远</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望股份以外的其他合法财产，按照本承诺函签署日承诺人各</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自持有的迪科远望股份比例对迪科远望承担全部补偿责任。</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、迪科远望在整体变更设立股份有限公司时，暂未代扣代缴</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相关所得税税款。如果今后国家有关税务主管部门就上述事</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项要求纳税义务人补缴税款及相关滞纳金或承担法律责任，</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承诺人愿意按照有关部门的要求以自有资金先行补缴并承担</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相应的法律责任；如有关部门要求迪科远望先行承担法律责</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任，承诺人应在迪科远望承担该等损失之日起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日内以除迪</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科远望股份以外的其他合法财产，按照本承诺函签署日承诺</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人各自持有的迪科远望股份比例对迪科远望承担全部补偿责</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w:t>
            </w:r>
            <w:r>
              <w:rPr>
                <w:rFonts w:ascii="Times New Roman" w:hAnsi="Times New Roman" w:cs="Times New Roman" w:eastAsia="Times New Roman" w:hint="default"/>
                <w:sz w:val="18"/>
                <w:szCs w:val="18"/>
              </w:rPr>
              <w:t>9</w:t>
            </w:r>
            <w:r>
              <w:rPr>
                <w:rFonts w:ascii="宋体" w:hAnsi="宋体" w:cs="宋体" w:eastAsia="宋体" w:hint="default"/>
                <w:sz w:val="18"/>
                <w:szCs w:val="18"/>
              </w:rPr>
              <w:t>、截至本承诺函出具日，迪科远望及其下属公司租赁的</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部分房屋存在瑕疵，包括所租赁房屋未取得所有权证，未向</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有关房地产管理部门办理房屋租赁登记备案手续等情形。根</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据相关法律规定，迪科远望及其下属公司的上述房屋租赁行</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为存在被相关政府主管部门予以处罚的风险。承诺人承诺，</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如因前述不规范租赁行为造成罚款、产生搬迁费用以及给迪</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科远望及其下属公司造成其他损失，承诺人应在迪科远望及</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其下属公司承担该等损失之日起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日内以除迪科远望股份以</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外的其他合法财产，按照本承诺函签署日承诺人各自持有的</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迪科远望股份比例对迪科远望承担全部补偿责任。</w:t>
            </w:r>
            <w:r>
              <w:rPr>
                <w:rFonts w:ascii="Times New Roman" w:hAnsi="Times New Roman" w:cs="Times New Roman" w:eastAsia="Times New Roman" w:hint="default"/>
                <w:sz w:val="18"/>
                <w:szCs w:val="18"/>
              </w:rPr>
              <w:t>10</w:t>
            </w:r>
            <w:r>
              <w:rPr>
                <w:rFonts w:ascii="宋体" w:hAnsi="宋体" w:cs="宋体" w:eastAsia="宋体" w:hint="default"/>
                <w:sz w:val="18"/>
                <w:szCs w:val="18"/>
              </w:rPr>
              <w:t>、截至</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本承诺函出具日，迪科远望及其下属公司不存在未依法缴纳</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税款的情形。承诺人承诺，如因交割日（交割日为迪科远望</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的股东变更为新开普，且办理完毕各项股东变更登记手续之</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日，下同）前迪科远望及其下属公司未按规定缴纳任何税款</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而于交割日后被要求补缴和</w:t>
            </w:r>
            <w:r>
              <w:rPr>
                <w:rFonts w:ascii="Times New Roman" w:hAnsi="Times New Roman" w:cs="Times New Roman" w:eastAsia="Times New Roman" w:hint="default"/>
                <w:sz w:val="18"/>
                <w:szCs w:val="18"/>
              </w:rPr>
              <w:t>/</w:t>
            </w:r>
            <w:r>
              <w:rPr>
                <w:rFonts w:ascii="宋体" w:hAnsi="宋体" w:cs="宋体" w:eastAsia="宋体" w:hint="default"/>
                <w:sz w:val="18"/>
                <w:szCs w:val="18"/>
              </w:rPr>
              <w:t>或承担其他法律责任，承诺人应</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就迪科远望及其下属公司的该等损失承担赔偿责任；如该等</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损失由迪科远望及其下属公司先行承担，承诺人应在迪科远</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8"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望及其下属公司承担该等损失之日起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日内以除迪科远望股</w:t>
            </w:r>
          </w:p>
        </w:tc>
        <w:tc>
          <w:tcPr>
            <w:tcW w:w="155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985"/>
        <w:gridCol w:w="1417"/>
        <w:gridCol w:w="1134"/>
        <w:gridCol w:w="4820"/>
        <w:gridCol w:w="1559"/>
        <w:gridCol w:w="1276"/>
        <w:gridCol w:w="1702"/>
      </w:tblGrid>
      <w:tr>
        <w:trPr>
          <w:trHeight w:val="331" w:hRule="exact"/>
        </w:trPr>
        <w:tc>
          <w:tcPr>
            <w:tcW w:w="1985"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482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份以外的其他合法财产，按照本承诺函签署日承诺人各自持</w:t>
            </w:r>
          </w:p>
        </w:tc>
        <w:tc>
          <w:tcPr>
            <w:tcW w:w="1559" w:type="dxa"/>
            <w:vMerge w:val="restart"/>
            <w:tcBorders>
              <w:top w:val="single" w:sz="15" w:space="0" w:color="000000"/>
              <w:left w:val="single" w:sz="4" w:space="0" w:color="000000"/>
              <w:right w:val="single" w:sz="4" w:space="0" w:color="000000"/>
            </w:tcBorders>
          </w:tcPr>
          <w:p>
            <w:pPr/>
          </w:p>
        </w:tc>
        <w:tc>
          <w:tcPr>
            <w:tcW w:w="1276" w:type="dxa"/>
            <w:vMerge w:val="restart"/>
            <w:tcBorders>
              <w:top w:val="single" w:sz="15" w:space="0" w:color="000000"/>
              <w:left w:val="single" w:sz="4" w:space="0" w:color="000000"/>
              <w:right w:val="single" w:sz="4" w:space="0" w:color="000000"/>
            </w:tcBorders>
          </w:tcPr>
          <w:p>
            <w:pPr/>
          </w:p>
        </w:tc>
        <w:tc>
          <w:tcPr>
            <w:tcW w:w="1702" w:type="dxa"/>
            <w:vMerge w:val="restart"/>
            <w:tcBorders>
              <w:top w:val="single" w:sz="15" w:space="0" w:color="000000"/>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有的迪科远望股份比例对迪科远望承担全部补偿责任。</w:t>
            </w:r>
            <w:r>
              <w:rPr>
                <w:rFonts w:ascii="Times New Roman" w:hAnsi="Times New Roman" w:cs="Times New Roman" w:eastAsia="Times New Roman" w:hint="default"/>
                <w:spacing w:val="-6"/>
                <w:sz w:val="18"/>
                <w:szCs w:val="18"/>
              </w:rPr>
              <w:t>11</w:t>
            </w:r>
            <w:r>
              <w:rPr>
                <w:rFonts w:ascii="宋体" w:hAnsi="宋体" w:cs="宋体" w:eastAsia="宋体" w:hint="default"/>
                <w:spacing w:val="-6"/>
                <w:sz w:val="18"/>
                <w:szCs w:val="18"/>
              </w:rPr>
              <w:t>、截</w:t>
            </w:r>
            <w:r>
              <w:rPr>
                <w:rFonts w:ascii="宋体" w:hAnsi="宋体" w:cs="宋体" w:eastAsia="宋体" w:hint="default"/>
                <w:sz w:val="18"/>
                <w:szCs w:val="18"/>
              </w:rPr>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至本承诺函出具日，迪科远望及其下属公司不存在未依法缴</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纳的社会保险费，如迪科远望及其下属公司因在交割日前未</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依法为员工缴纳社会保险费而在交割日后受到任何处罚、追</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索、索赔或受到任何损失（包括但不限于依法需为员工补缴</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的社会保险费及任何滞纳金、罚款、损害赔偿金和</w:t>
            </w:r>
            <w:r>
              <w:rPr>
                <w:rFonts w:ascii="Times New Roman" w:hAnsi="Times New Roman" w:cs="Times New Roman" w:eastAsia="Times New Roman" w:hint="default"/>
                <w:sz w:val="18"/>
                <w:szCs w:val="18"/>
              </w:rPr>
              <w:t>/</w:t>
            </w:r>
            <w:r>
              <w:rPr>
                <w:rFonts w:ascii="宋体" w:hAnsi="宋体" w:cs="宋体" w:eastAsia="宋体" w:hint="default"/>
                <w:sz w:val="18"/>
                <w:szCs w:val="18"/>
              </w:rPr>
              <w:t>或承担其</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他法律责任等</w:t>
            </w:r>
            <w:r>
              <w:rPr>
                <w:rFonts w:ascii="宋体" w:hAnsi="宋体" w:cs="宋体" w:eastAsia="宋体" w:hint="default"/>
                <w:spacing w:val="-90"/>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t>承诺人应就迪科远望及其下属公司的该等损</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失承担赔偿责任；如该等损失由迪科远望及其下属公司先行</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承担，承诺人应在迪科远望及其下属公司承担该等损失之日</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日内以除迪科远望股份以外的其他合法财产，按照本承</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诺函签署日承诺人各自持有的迪科远望股份比例对迪科远望</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及其下属公司承担全部补偿责任。</w:t>
            </w:r>
            <w:r>
              <w:rPr>
                <w:rFonts w:ascii="Times New Roman" w:hAnsi="Times New Roman" w:cs="Times New Roman" w:eastAsia="Times New Roman" w:hint="default"/>
                <w:sz w:val="18"/>
                <w:szCs w:val="18"/>
              </w:rPr>
              <w:t>12</w:t>
            </w:r>
            <w:r>
              <w:rPr>
                <w:rFonts w:ascii="宋体" w:hAnsi="宋体" w:cs="宋体" w:eastAsia="宋体" w:hint="default"/>
                <w:sz w:val="18"/>
                <w:szCs w:val="18"/>
              </w:rPr>
              <w:t>、自迪科远望及其下属</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公司设立至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日，迪科远望及其下属公司存在</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未依法为员工缴纳住房公积金的情形，如迪科远望及其下属</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公司因在交割日前未依法为员工缴纳住房公积金而在交割日</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后受到任何处罚、追索、索赔或受到任何损失（包括但不限</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于依法需为员工补缴的住房公积金及任何滞纳金、罚款、损</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害赔偿金和</w:t>
            </w:r>
            <w:r>
              <w:rPr>
                <w:rFonts w:ascii="Times New Roman" w:hAnsi="Times New Roman" w:cs="Times New Roman" w:eastAsia="Times New Roman" w:hint="default"/>
                <w:sz w:val="18"/>
                <w:szCs w:val="18"/>
              </w:rPr>
              <w:t>/</w:t>
            </w:r>
            <w:r>
              <w:rPr>
                <w:rFonts w:ascii="宋体" w:hAnsi="宋体" w:cs="宋体" w:eastAsia="宋体" w:hint="default"/>
                <w:sz w:val="18"/>
                <w:szCs w:val="18"/>
              </w:rPr>
              <w:t>或承担其他法律责任等</w:t>
            </w:r>
            <w:r>
              <w:rPr>
                <w:rFonts w:ascii="宋体" w:hAnsi="宋体" w:cs="宋体" w:eastAsia="宋体" w:hint="default"/>
                <w:spacing w:val="-90"/>
                <w:sz w:val="18"/>
                <w:szCs w:val="18"/>
              </w:rPr>
              <w:t>）</w:t>
            </w:r>
            <w:r>
              <w:rPr>
                <w:rFonts w:ascii="宋体" w:hAnsi="宋体" w:cs="宋体" w:eastAsia="宋体" w:hint="default"/>
                <w:spacing w:val="-57"/>
                <w:sz w:val="18"/>
                <w:szCs w:val="18"/>
              </w:rPr>
              <w:t>，</w:t>
            </w:r>
            <w:r>
              <w:rPr>
                <w:rFonts w:ascii="宋体" w:hAnsi="宋体" w:cs="宋体" w:eastAsia="宋体" w:hint="default"/>
                <w:sz w:val="18"/>
                <w:szCs w:val="18"/>
              </w:rPr>
              <w:t>承诺人应就迪科远望及</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其下属公司的该等损失承担赔偿责任；如该等损失由迪科远</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望及其下属公司先行承担，承诺人应在迪科远望及其下属公</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司承担该等损失之日起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日内以除迪科远望股份以外的其他</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合法财产，按照本承诺函签署日承诺人各自持有的迪科远望</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股份比例对迪科远望及其下属公司承担全部补偿责任。</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承诺人承诺，除迪科远望及承诺人在交割日前已经向新开普</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披露的处罚、索赔或受到的任何损失外，迪科远望及其下属</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公司因交割日前发生或存在的任何行为、状态或情形而在交</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割日后受到任何处罚、追索、索赔或受到任何损失，承诺人</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应就迪科远望及其下属公司的该等损失承担赔偿责任；如该</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8"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等损失由迪科远望及其下属公司先行承担，承诺人应在迪科</w:t>
            </w:r>
          </w:p>
        </w:tc>
        <w:tc>
          <w:tcPr>
            <w:tcW w:w="155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r>
        <w:rPr/>
        <w:pict>
          <v:shape style="position:absolute;margin-left:515.870789pt;margin-top:122.099998pt;width:101.65pt;height:284.850pt;mso-position-horizontal-relative:page;mso-position-vertical-relative:page;z-index:-15991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同意、</w:t>
                  </w:r>
                </w:p>
              </w:txbxContent>
            </v:textbox>
            <w10:wrap type="none"/>
          </v:shape>
        </w:pict>
      </w:r>
      <w:r>
        <w:rPr/>
        <w:pict>
          <v:group style="position:absolute;margin-left:540.049988pt;margin-top:122.099998pt;width:77.5pt;height:284.850pt;mso-position-horizontal-relative:page;mso-position-vertical-relative:page;z-index:-1599160" coordorigin="10801,2442" coordsize="1550,5697">
            <v:group style="position:absolute;left:10801;top:2442;width:1550;height:5697" coordorigin="10801,2442" coordsize="1550,5697">
              <v:shape style="position:absolute;left:10801;top:2442;width:1550;height:5697" coordorigin="10801,2442" coordsize="1550,5697" path="m10801,2442l12350,2442,12350,8138,10801,8138,10801,2442xe" filled="true" fillcolor="#ffffff" stroked="false">
                <v:path arrowok="t"/>
                <v:fill type="solid"/>
              </v:shape>
            </v:group>
            <v:group style="position:absolute;left:10824;top:5094;width:1503;height:393" coordorigin="10824,5094" coordsize="1503,393">
              <v:shape style="position:absolute;left:10824;top:5094;width:1503;height:393" coordorigin="10824,5094" coordsize="1503,393" path="m10824,5094l10824,5486,12326,5486,12326,5094,10824,5094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985"/>
        <w:gridCol w:w="1417"/>
        <w:gridCol w:w="1134"/>
        <w:gridCol w:w="4820"/>
        <w:gridCol w:w="1559"/>
        <w:gridCol w:w="1276"/>
        <w:gridCol w:w="1702"/>
      </w:tblGrid>
      <w:tr>
        <w:trPr>
          <w:trHeight w:val="336" w:hRule="exact"/>
        </w:trPr>
        <w:tc>
          <w:tcPr>
            <w:tcW w:w="1985"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482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远望及其下属公司承担该等损失之日起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日内以除迪科远望</w:t>
            </w:r>
          </w:p>
        </w:tc>
        <w:tc>
          <w:tcPr>
            <w:tcW w:w="1559" w:type="dxa"/>
            <w:vMerge w:val="restart"/>
            <w:tcBorders>
              <w:top w:val="single" w:sz="15" w:space="0" w:color="000000"/>
              <w:left w:val="single" w:sz="4" w:space="0" w:color="000000"/>
              <w:right w:val="single" w:sz="4" w:space="0" w:color="000000"/>
            </w:tcBorders>
          </w:tcPr>
          <w:p>
            <w:pPr/>
          </w:p>
        </w:tc>
        <w:tc>
          <w:tcPr>
            <w:tcW w:w="1276" w:type="dxa"/>
            <w:vMerge w:val="restart"/>
            <w:tcBorders>
              <w:top w:val="single" w:sz="15" w:space="0" w:color="000000"/>
              <w:left w:val="single" w:sz="4" w:space="0" w:color="000000"/>
              <w:right w:val="single" w:sz="4" w:space="0" w:color="000000"/>
            </w:tcBorders>
          </w:tcPr>
          <w:p>
            <w:pPr/>
          </w:p>
        </w:tc>
        <w:tc>
          <w:tcPr>
            <w:tcW w:w="1702" w:type="dxa"/>
            <w:vMerge w:val="restart"/>
            <w:tcBorders>
              <w:top w:val="single" w:sz="15" w:space="0" w:color="000000"/>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股份以外的其他合法财产，按照本承诺函签署日承诺人各自</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3"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持有的迪科远望股份比例对迪科远望及其下属公司承担全部</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补偿责任。</w:t>
            </w:r>
          </w:p>
        </w:tc>
        <w:tc>
          <w:tcPr>
            <w:tcW w:w="155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362" w:hRule="exact"/>
        </w:trPr>
        <w:tc>
          <w:tcPr>
            <w:tcW w:w="1985"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本次交易的交易对方承诺：除</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月被江苏省连云港质</w:t>
            </w:r>
          </w:p>
        </w:tc>
        <w:tc>
          <w:tcPr>
            <w:tcW w:w="1559"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量技术监督局行政处罚外，迪科远望已分别合法取得生产经</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营活动所需的全部证照、批准、批复、同意、授权和许可，</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且现有业务所需的全部证照、批准、批复、同意、授权和许</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可均有效存在；迪科远望不存在任何违反或超出上述证照、</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批准、批复、同意、授权和许可要求的行为或者情形；迪科</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公司发行股份及</w:t>
            </w: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远望不存在任何尚未取得相关必备证照、批准、批复、</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支付现金购买资</w:t>
            </w: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授权和许可而违规开展业务的情况。如迪科远望及其下属公</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截至报告期末，上述</w:t>
            </w:r>
          </w:p>
        </w:tc>
      </w:tr>
      <w:tr>
        <w:trPr>
          <w:trHeight w:val="629"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产的交易对方刘 </w:t>
            </w:r>
            <w:r>
              <w:rPr>
                <w:rFonts w:ascii="宋体" w:hAnsi="宋体" w:cs="宋体" w:eastAsia="宋体" w:hint="default"/>
                <w:spacing w:val="-10"/>
                <w:sz w:val="18"/>
                <w:szCs w:val="18"/>
              </w:rPr>
              <w:t>永春、丛伟滋、李</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7"/>
              <w:jc w:val="left"/>
              <w:rPr>
                <w:rFonts w:ascii="宋体" w:hAnsi="宋体" w:cs="宋体" w:eastAsia="宋体" w:hint="default"/>
                <w:sz w:val="18"/>
                <w:szCs w:val="18"/>
              </w:rPr>
            </w:pPr>
            <w:r>
              <w:rPr>
                <w:rFonts w:ascii="宋体" w:hAnsi="宋体" w:cs="宋体" w:eastAsia="宋体" w:hint="default"/>
                <w:sz w:val="18"/>
                <w:szCs w:val="18"/>
              </w:rPr>
              <w:t>司因在交割日（交割日为迪科远望的股东变更为新开普，且 办理完毕各项股东变更登记手续之日）前未取得生产许可证</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7"/>
              <w:jc w:val="left"/>
              <w:rPr>
                <w:rFonts w:ascii="宋体" w:hAnsi="宋体" w:cs="宋体" w:eastAsia="宋体" w:hint="default"/>
                <w:sz w:val="18"/>
                <w:szCs w:val="18"/>
              </w:rPr>
            </w:pPr>
            <w:r>
              <w:rPr>
                <w:rFonts w:ascii="宋体" w:hAnsi="宋体" w:cs="宋体" w:eastAsia="宋体" w:hint="default"/>
                <w:sz w:val="18"/>
                <w:szCs w:val="18"/>
              </w:rPr>
              <w:t>承诺人严格信守承 诺，未发生违反承诺</w:t>
            </w: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0"/>
                <w:sz w:val="18"/>
                <w:szCs w:val="18"/>
              </w:rPr>
              <w:t>洪、熊小洪、白海</w:t>
            </w: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生产、销售列入目录的产品而受到任何处罚、追索、索赔或</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清、黄暂度</w:t>
            </w: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受到任何损失（包括但不限于依法应缴纳的任何罚款、滞纳</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20"/>
                <w:sz w:val="18"/>
                <w:szCs w:val="18"/>
              </w:rPr>
              <w:t>、</w:t>
            </w:r>
            <w:r>
              <w:rPr>
                <w:rFonts w:ascii="宋体" w:hAnsi="宋体" w:cs="宋体" w:eastAsia="宋体" w:hint="default"/>
                <w:sz w:val="18"/>
                <w:szCs w:val="18"/>
              </w:rPr>
              <w:t>违约金</w:t>
            </w:r>
            <w:r>
              <w:rPr>
                <w:rFonts w:ascii="宋体" w:hAnsi="宋体" w:cs="宋体" w:eastAsia="宋体" w:hint="default"/>
                <w:spacing w:val="-20"/>
                <w:sz w:val="18"/>
                <w:szCs w:val="18"/>
              </w:rPr>
              <w:t>、</w:t>
            </w:r>
            <w:r>
              <w:rPr>
                <w:rFonts w:ascii="宋体" w:hAnsi="宋体" w:cs="宋体" w:eastAsia="宋体" w:hint="default"/>
                <w:spacing w:val="1"/>
                <w:sz w:val="18"/>
                <w:szCs w:val="18"/>
              </w:rPr>
              <w:t>损</w:t>
            </w:r>
            <w:r>
              <w:rPr>
                <w:rFonts w:ascii="宋体" w:hAnsi="宋体" w:cs="宋体" w:eastAsia="宋体" w:hint="default"/>
                <w:sz w:val="18"/>
                <w:szCs w:val="18"/>
              </w:rPr>
              <w:t>害赔偿金和</w:t>
            </w:r>
            <w:r>
              <w:rPr>
                <w:rFonts w:ascii="Times New Roman" w:hAnsi="Times New Roman" w:cs="Times New Roman" w:eastAsia="Times New Roman" w:hint="default"/>
                <w:sz w:val="18"/>
                <w:szCs w:val="18"/>
              </w:rPr>
              <w:t>/</w:t>
            </w:r>
            <w:r>
              <w:rPr>
                <w:rFonts w:ascii="宋体" w:hAnsi="宋体" w:cs="宋体" w:eastAsia="宋体" w:hint="default"/>
                <w:sz w:val="18"/>
                <w:szCs w:val="18"/>
              </w:rPr>
              <w:t>或承担其他法律责任等</w:t>
            </w:r>
            <w:r>
              <w:rPr>
                <w:rFonts w:ascii="宋体" w:hAnsi="宋体" w:cs="宋体" w:eastAsia="宋体" w:hint="default"/>
                <w:spacing w:val="-90"/>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承诺人</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应就迪科远望及其下属公司的该等损失承担赔偿责任；如该</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等损失由迪科远望及其下属公司先行承担，承诺人应在迪科</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远望及其下属公司承担该等损失之日起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日内以除迪科远望</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股份以外的其他合法财产，按照本承诺函签署日承诺人各自</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持有的迪科远望股份比例对迪科远望承担全部补偿责任。</w:t>
            </w:r>
          </w:p>
        </w:tc>
        <w:tc>
          <w:tcPr>
            <w:tcW w:w="1559"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r>
      <w:tr>
        <w:trPr>
          <w:trHeight w:val="352" w:hRule="exact"/>
        </w:trPr>
        <w:tc>
          <w:tcPr>
            <w:tcW w:w="1985"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本次交易的交易对方承诺：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、截至本承诺函出具日，除在迪</w:t>
            </w:r>
          </w:p>
        </w:tc>
        <w:tc>
          <w:tcPr>
            <w:tcW w:w="1559"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公司发行股份及</w:t>
            </w: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科远望及其下属企业任职并以迪科远望及其下属企业的名义</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支付现金购买资</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关于同业竞</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开展业务外，本人（包括本人直系亲属和配偶，下同）及本</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截至报告期末，上述</w:t>
            </w:r>
          </w:p>
        </w:tc>
      </w:tr>
      <w:tr>
        <w:trPr>
          <w:trHeight w:val="624"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22"/>
              <w:jc w:val="left"/>
              <w:rPr>
                <w:rFonts w:ascii="宋体" w:hAnsi="宋体" w:cs="宋体" w:eastAsia="宋体" w:hint="default"/>
                <w:sz w:val="18"/>
                <w:szCs w:val="18"/>
              </w:rPr>
            </w:pPr>
            <w:r>
              <w:rPr>
                <w:rFonts w:ascii="宋体" w:hAnsi="宋体" w:cs="宋体" w:eastAsia="宋体" w:hint="default"/>
                <w:sz w:val="18"/>
                <w:szCs w:val="18"/>
              </w:rPr>
              <w:t>产的交易对方刘 </w:t>
            </w:r>
            <w:r>
              <w:rPr>
                <w:rFonts w:ascii="宋体" w:hAnsi="宋体" w:cs="宋体" w:eastAsia="宋体" w:hint="default"/>
                <w:spacing w:val="-10"/>
                <w:sz w:val="18"/>
                <w:szCs w:val="18"/>
              </w:rPr>
              <w:t>永春、丛伟滋、李</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22"/>
              <w:jc w:val="left"/>
              <w:rPr>
                <w:rFonts w:ascii="宋体" w:hAnsi="宋体" w:cs="宋体" w:eastAsia="宋体" w:hint="default"/>
                <w:sz w:val="18"/>
                <w:szCs w:val="18"/>
              </w:rPr>
            </w:pPr>
            <w:r>
              <w:rPr>
                <w:rFonts w:ascii="宋体" w:hAnsi="宋体" w:cs="宋体" w:eastAsia="宋体" w:hint="default"/>
                <w:sz w:val="18"/>
                <w:szCs w:val="18"/>
              </w:rPr>
              <w:t>争、关联交 易、资金占用</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107"/>
              <w:jc w:val="left"/>
              <w:rPr>
                <w:rFonts w:ascii="宋体" w:hAnsi="宋体" w:cs="宋体" w:eastAsia="宋体" w:hint="default"/>
                <w:sz w:val="18"/>
                <w:szCs w:val="18"/>
              </w:rPr>
            </w:pPr>
            <w:r>
              <w:rPr>
                <w:rFonts w:ascii="宋体" w:hAnsi="宋体" w:cs="宋体" w:eastAsia="宋体" w:hint="default"/>
                <w:sz w:val="18"/>
                <w:szCs w:val="18"/>
              </w:rPr>
              <w:t>人控制的其他公司、企业或其他经营实体（包括本人全资、 控股公司及本人具有实际控制权的公司、企业或其他经营实</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47"/>
              <w:jc w:val="left"/>
              <w:rPr>
                <w:rFonts w:ascii="宋体" w:hAnsi="宋体" w:cs="宋体" w:eastAsia="宋体" w:hint="default"/>
                <w:sz w:val="18"/>
                <w:szCs w:val="18"/>
              </w:rPr>
            </w:pPr>
            <w:r>
              <w:rPr>
                <w:rFonts w:ascii="宋体" w:hAnsi="宋体" w:cs="宋体" w:eastAsia="宋体" w:hint="default"/>
                <w:sz w:val="18"/>
                <w:szCs w:val="18"/>
              </w:rPr>
              <w:t>承诺人严格信守承 诺，未发生违反承诺</w:t>
            </w:r>
          </w:p>
        </w:tc>
      </w:tr>
      <w:tr>
        <w:trPr>
          <w:trHeight w:val="318"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pacing w:val="-10"/>
                <w:sz w:val="18"/>
                <w:szCs w:val="18"/>
              </w:rPr>
              <w:t>洪、熊小洪、白海</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体，下同）现有的业务、产品</w:t>
            </w:r>
            <w:r>
              <w:rPr>
                <w:rFonts w:ascii="Times New Roman" w:hAnsi="Times New Roman" w:cs="Times New Roman" w:eastAsia="Times New Roman" w:hint="default"/>
                <w:sz w:val="18"/>
                <w:szCs w:val="18"/>
              </w:rPr>
              <w:t>/</w:t>
            </w:r>
            <w:r>
              <w:rPr>
                <w:rFonts w:ascii="宋体" w:hAnsi="宋体" w:cs="宋体" w:eastAsia="宋体" w:hint="default"/>
                <w:sz w:val="18"/>
                <w:szCs w:val="18"/>
              </w:rPr>
              <w:t>服务与新开普、迪科远望及其</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321"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清、黄暂度</w:t>
            </w: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下属企业正在或将要开展的业务、产品</w:t>
            </w:r>
            <w:r>
              <w:rPr>
                <w:rFonts w:ascii="Times New Roman" w:hAnsi="Times New Roman" w:cs="Times New Roman" w:eastAsia="Times New Roman" w:hint="default"/>
                <w:sz w:val="18"/>
                <w:szCs w:val="18"/>
              </w:rPr>
              <w:t>/</w:t>
            </w:r>
            <w:r>
              <w:rPr>
                <w:rFonts w:ascii="宋体" w:hAnsi="宋体" w:cs="宋体" w:eastAsia="宋体" w:hint="default"/>
                <w:sz w:val="18"/>
                <w:szCs w:val="18"/>
              </w:rPr>
              <w:t>服务不存在竞争或潜</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在竞争；本人及本人控制的其他公司、企业或其他经营实体</w:t>
            </w:r>
          </w:p>
        </w:tc>
        <w:tc>
          <w:tcPr>
            <w:tcW w:w="1559"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200" w:left="1320" w:right="1340"/>
        </w:sectPr>
      </w:pPr>
    </w:p>
    <w:p>
      <w:pPr>
        <w:spacing w:line="240" w:lineRule="auto" w:before="4"/>
        <w:rPr>
          <w:rFonts w:ascii="Times New Roman" w:hAnsi="Times New Roman" w:cs="Times New Roman" w:eastAsia="Times New Roman" w:hint="default"/>
          <w:sz w:val="3"/>
          <w:szCs w:val="3"/>
        </w:rPr>
      </w:pPr>
      <w:r>
        <w:rPr/>
        <w:pict>
          <v:shape style="position:absolute;margin-left:470.811401pt;margin-top:57.18pt;width:146.7pt;height:468pt;mso-position-horizontal-relative:page;mso-position-vertical-relative:page;z-index:-1599112" type="#_x0000_t202" filled="false" stroked="false">
            <v:textbox inset="0,0,0,0">
              <w:txbxContent>
                <w:p>
                  <w:pPr>
                    <w:spacing w:line="316" w:lineRule="auto" w:before="10"/>
                    <w:ind w:left="0" w:right="1491" w:firstLine="900"/>
                    <w:jc w:val="left"/>
                    <w:rPr>
                      <w:rFonts w:ascii="宋体" w:hAnsi="宋体" w:cs="宋体" w:eastAsia="宋体" w:hint="default"/>
                      <w:sz w:val="18"/>
                      <w:szCs w:val="18"/>
                    </w:rPr>
                  </w:pPr>
                  <w:r>
                    <w:rPr>
                      <w:rFonts w:ascii="宋体" w:hAnsi="宋体" w:cs="宋体" w:eastAsia="宋体" w:hint="default"/>
                      <w:sz w:val="18"/>
                      <w:szCs w:val="18"/>
                    </w:rPr>
                    <w:t>合资、 通过第三方经营、</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1985"/>
        <w:gridCol w:w="1417"/>
        <w:gridCol w:w="1134"/>
        <w:gridCol w:w="4820"/>
        <w:gridCol w:w="1559"/>
        <w:gridCol w:w="1276"/>
        <w:gridCol w:w="1702"/>
      </w:tblGrid>
      <w:tr>
        <w:trPr>
          <w:trHeight w:val="331" w:hRule="exact"/>
        </w:trPr>
        <w:tc>
          <w:tcPr>
            <w:tcW w:w="1985"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482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不存在直接或通过其他任何方式（包括但不限于独资、</w:t>
            </w:r>
          </w:p>
        </w:tc>
        <w:tc>
          <w:tcPr>
            <w:tcW w:w="1559" w:type="dxa"/>
            <w:vMerge w:val="restart"/>
            <w:tcBorders>
              <w:top w:val="single" w:sz="15" w:space="0" w:color="000000"/>
              <w:left w:val="single" w:sz="4" w:space="0" w:color="000000"/>
              <w:right w:val="single" w:sz="4" w:space="0" w:color="000000"/>
            </w:tcBorders>
          </w:tcPr>
          <w:p>
            <w:pPr>
              <w:pStyle w:val="TableParagraph"/>
              <w:spacing w:line="936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77.5pt;height:468pt;mso-position-horizontal-relative:char;mso-position-vertical-relative:line" coordorigin="0,0" coordsize="1550,9360">
                  <v:group style="position:absolute;left:0;top:0;width:1550;height:9360" coordorigin="0,0" coordsize="1550,9360">
                    <v:shape style="position:absolute;left:0;top:0;width:1550;height:9360" coordorigin="0,0" coordsize="1550,9360" path="m0,0l1549,0,1549,9360,0,9360,0,0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1276" w:type="dxa"/>
            <w:vMerge w:val="restart"/>
            <w:tcBorders>
              <w:top w:val="single" w:sz="15" w:space="0" w:color="000000"/>
              <w:left w:val="single" w:sz="4" w:space="0" w:color="000000"/>
              <w:right w:val="single" w:sz="4" w:space="0" w:color="000000"/>
            </w:tcBorders>
          </w:tcPr>
          <w:p>
            <w:pPr/>
          </w:p>
        </w:tc>
        <w:tc>
          <w:tcPr>
            <w:tcW w:w="1702" w:type="dxa"/>
            <w:vMerge w:val="restart"/>
            <w:tcBorders>
              <w:top w:val="single" w:sz="15" w:space="0" w:color="000000"/>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合作经营或者承包、租赁经营、委托管理、</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担任顾问等）间接从事与新开普、迪科远望及其下属企业相</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同或类似业务的情形，不存在其他任何与新开普、迪科远望</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及其下属企业存在同业竞争的情形。</w:t>
            </w:r>
            <w:r>
              <w:rPr>
                <w:rFonts w:ascii="Times New Roman" w:hAnsi="Times New Roman" w:cs="Times New Roman" w:eastAsia="Times New Roman" w:hint="default"/>
                <w:sz w:val="18"/>
                <w:szCs w:val="18"/>
              </w:rPr>
              <w:t>2</w:t>
            </w:r>
            <w:r>
              <w:rPr>
                <w:rFonts w:ascii="宋体" w:hAnsi="宋体" w:cs="宋体" w:eastAsia="宋体" w:hint="default"/>
                <w:sz w:val="18"/>
                <w:szCs w:val="18"/>
              </w:rPr>
              <w:t>、本人承诺，在今后的</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业务中，本人不与新开普、迪科远望及其下属企业进行同业</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竞争，即</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）本人及本人控制的其他企业不会直接或通过</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其他任何方式（包括但不限于独资、合资、合作经营或者承</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包、租赁经营、委托管理、通过第三方经营、担任顾问等）</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间接从事与新开普、迪科远望及其下属企业业务相同或相近</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似的经营活动，以避免对新开普、迪科远望及其下属企业的</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生产经营构成直接或间接的业务竞争</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）如新开普、迪科</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远望及其下属企业进一步拓展其业务范围，本人及本人控制</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的其他公司、企业或其他经营实体将不与新开普、迪科远望</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及其下属企业拓展后的业务相竞争；若与新开普、迪科远望</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及其下属企业拓展后的业务产生竞争，本人及本人控制的其</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他公司、企业或其他经营实体将停止生产经营或者将相竞争</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的业务转让给无关联关系第三方，但新开普、迪科远望及其</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下属企业可以按照合理的价格及条件采取优先收购或委托经</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营的方式将相关公司、企业或其他经营实体的竞争业务集中</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到新开普或迪科远望经营，以避免同业竞争</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）若有第三</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方向本人及本人控制的其他公司、企业或其他经营实体提供</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任何业务机会或本人及本人控制的其他公司、企业或其他经</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营实体有任何机会需提供给第三方，且该业务直接或间接与</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新开普、迪科远望及其下属企业业务有竞争或者新开普、迪</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科远望有能力、有意向承揽该业务的，本人及本人控制的其</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他公司、企业或其他经营实体应当立即通知新开普、迪科远</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望及其下属企业该业务机会，并尽力促使该业务以合理的条</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款和条件由新开普、迪科远望及其下属企业承接。</w:t>
            </w:r>
            <w:r>
              <w:rPr>
                <w:rFonts w:ascii="Times New Roman" w:hAnsi="Times New Roman" w:cs="Times New Roman" w:eastAsia="Times New Roman" w:hint="default"/>
                <w:sz w:val="18"/>
                <w:szCs w:val="18"/>
              </w:rPr>
              <w:t>3</w:t>
            </w:r>
            <w:r>
              <w:rPr>
                <w:rFonts w:ascii="宋体" w:hAnsi="宋体" w:cs="宋体" w:eastAsia="宋体" w:hint="default"/>
                <w:sz w:val="18"/>
                <w:szCs w:val="18"/>
              </w:rPr>
              <w:t>、如新开</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3"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普、迪科远望及其下属企业或相关监管部门认定本人及本人</w:t>
            </w:r>
          </w:p>
        </w:tc>
        <w:tc>
          <w:tcPr>
            <w:tcW w:w="155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985"/>
        <w:gridCol w:w="1417"/>
        <w:gridCol w:w="1134"/>
        <w:gridCol w:w="4820"/>
        <w:gridCol w:w="1559"/>
        <w:gridCol w:w="1276"/>
        <w:gridCol w:w="1702"/>
      </w:tblGrid>
      <w:tr>
        <w:trPr>
          <w:trHeight w:val="331" w:hRule="exact"/>
        </w:trPr>
        <w:tc>
          <w:tcPr>
            <w:tcW w:w="1985"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482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控制的其他公司、企业或其他经营实体正在或将要从事的业</w:t>
            </w:r>
          </w:p>
        </w:tc>
        <w:tc>
          <w:tcPr>
            <w:tcW w:w="1559" w:type="dxa"/>
            <w:vMerge w:val="restart"/>
            <w:tcBorders>
              <w:top w:val="single" w:sz="15" w:space="0" w:color="000000"/>
              <w:left w:val="single" w:sz="4" w:space="0" w:color="000000"/>
              <w:right w:val="single" w:sz="4" w:space="0" w:color="000000"/>
            </w:tcBorders>
          </w:tcPr>
          <w:p>
            <w:pPr/>
          </w:p>
        </w:tc>
        <w:tc>
          <w:tcPr>
            <w:tcW w:w="1276" w:type="dxa"/>
            <w:vMerge w:val="restart"/>
            <w:tcBorders>
              <w:top w:val="single" w:sz="15" w:space="0" w:color="000000"/>
              <w:left w:val="single" w:sz="4" w:space="0" w:color="000000"/>
              <w:right w:val="single" w:sz="4" w:space="0" w:color="000000"/>
            </w:tcBorders>
          </w:tcPr>
          <w:p>
            <w:pPr/>
          </w:p>
        </w:tc>
        <w:tc>
          <w:tcPr>
            <w:tcW w:w="1702" w:type="dxa"/>
            <w:vMerge w:val="restart"/>
            <w:tcBorders>
              <w:top w:val="single" w:sz="15" w:space="0" w:color="000000"/>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务与新开普、迪科远望及其下属企业存在同业竞争，本人及</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本人控制的其他公司将在新开普、迪科远望及其下属企业提</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出异议后及时转让或终止该项业务。如新开普、迪科远望及</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其下属企业进一步提出受让请求，本人及本人控制的其他公</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司将无条件按有证券从业资格的中介机构审计或评估的公允</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价格将上述业务和资产优先转让给新开普、迪科远望及其下</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属企业。</w:t>
            </w:r>
            <w:r>
              <w:rPr>
                <w:rFonts w:ascii="Times New Roman" w:hAnsi="Times New Roman" w:cs="Times New Roman" w:eastAsia="Times New Roman" w:hint="default"/>
                <w:sz w:val="18"/>
                <w:szCs w:val="18"/>
              </w:rPr>
              <w:t>4</w:t>
            </w:r>
            <w:r>
              <w:rPr>
                <w:rFonts w:ascii="宋体" w:hAnsi="宋体" w:cs="宋体" w:eastAsia="宋体" w:hint="default"/>
                <w:sz w:val="18"/>
                <w:szCs w:val="18"/>
              </w:rPr>
              <w:t>、本人确认本承诺函所载的每一项承诺均为可独立</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执行之承诺，任何一项承诺若被视为无效或终止将不影响其</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他各项承诺的有效性。以上承诺自中国证券监督管理委员会</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核准新开普本次非公开发行股份并支付现金购买资产之日起</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正式生效，并将在本人在新开普、迪科远望及其下属企业任</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职期间以及本人自新开普、迪科远望及其下属企业离职之日</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个月内有效。如本人或本人控制的其他公司、企业或其</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他经营实体违反上述声明与承诺，本人承诺将违反该承诺所</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3"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得的收入全部归新开普、迪科远望所有，并向新开普及迪科</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远望承担相应的损害赔偿责任。</w:t>
            </w:r>
          </w:p>
        </w:tc>
        <w:tc>
          <w:tcPr>
            <w:tcW w:w="155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362" w:hRule="exact"/>
        </w:trPr>
        <w:tc>
          <w:tcPr>
            <w:tcW w:w="1985"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本次交易的交易对方承诺：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、本人将诚信和善意履行作为新</w:t>
            </w:r>
          </w:p>
        </w:tc>
        <w:tc>
          <w:tcPr>
            <w:tcW w:w="1559"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开普股东的义务，尽量避免和减少与新开普（包括其控制的</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企业，下同）之间的关联交易；对于无法避免或有合理原因</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2184"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22"/>
              <w:jc w:val="left"/>
              <w:rPr>
                <w:rFonts w:ascii="宋体" w:hAnsi="宋体" w:cs="宋体" w:eastAsia="宋体" w:hint="default"/>
                <w:sz w:val="18"/>
                <w:szCs w:val="18"/>
              </w:rPr>
            </w:pPr>
            <w:r>
              <w:rPr>
                <w:rFonts w:ascii="宋体" w:hAnsi="宋体" w:cs="宋体" w:eastAsia="宋体" w:hint="default"/>
                <w:sz w:val="18"/>
                <w:szCs w:val="18"/>
              </w:rPr>
              <w:t>公司发行股份及 支付现金购买资 产的交易对方刘 </w:t>
            </w:r>
            <w:r>
              <w:rPr>
                <w:rFonts w:ascii="宋体" w:hAnsi="宋体" w:cs="宋体" w:eastAsia="宋体" w:hint="default"/>
                <w:spacing w:val="-10"/>
                <w:sz w:val="18"/>
                <w:szCs w:val="18"/>
              </w:rPr>
              <w:t>永春、丛伟滋、李</w:t>
            </w:r>
            <w:r>
              <w:rPr>
                <w:rFonts w:ascii="宋体" w:hAnsi="宋体" w:cs="宋体" w:eastAsia="宋体" w:hint="default"/>
                <w:sz w:val="18"/>
                <w:szCs w:val="18"/>
              </w:rPr>
              <w:t> </w:t>
            </w:r>
            <w:r>
              <w:rPr>
                <w:rFonts w:ascii="宋体" w:hAnsi="宋体" w:cs="宋体" w:eastAsia="宋体" w:hint="default"/>
                <w:spacing w:val="-10"/>
                <w:sz w:val="18"/>
                <w:szCs w:val="18"/>
              </w:rPr>
              <w:t>洪、熊小洪、白海</w:t>
            </w:r>
            <w:r>
              <w:rPr>
                <w:rFonts w:ascii="宋体" w:hAnsi="宋体" w:cs="宋体" w:eastAsia="宋体" w:hint="default"/>
                <w:sz w:val="18"/>
                <w:szCs w:val="18"/>
              </w:rPr>
              <w:t> 清、黄暂度</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7"/>
              <w:jc w:val="both"/>
              <w:rPr>
                <w:rFonts w:ascii="宋体" w:hAnsi="宋体" w:cs="宋体" w:eastAsia="宋体" w:hint="default"/>
                <w:sz w:val="18"/>
                <w:szCs w:val="18"/>
              </w:rPr>
            </w:pPr>
            <w:r>
              <w:rPr>
                <w:rFonts w:ascii="宋体" w:hAnsi="宋体" w:cs="宋体" w:eastAsia="宋体" w:hint="default"/>
                <w:sz w:val="18"/>
                <w:szCs w:val="18"/>
              </w:rPr>
              <w:t>而发生的关联交易，本人及本人控制的公司、企业或其他经 营实体（包括本人全资、控股公司及本人具有实际控制权的 公司、企业或其他经营实体，下同）将与新开普按照公平、 公允、等价有偿等原则依法签订规范的关联交易协议，并按 照有关法律、法规、规章、其他规范性文件、证券交易所规 则和新开普公司章程的规定履行相关审批程序，在公平合理 和正常商业交易的情况下进行交易，保证关联交易价格具有</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9" w:lineRule="auto"/>
              <w:ind w:left="22" w:right="47"/>
              <w:jc w:val="left"/>
              <w:rPr>
                <w:rFonts w:ascii="宋体" w:hAnsi="宋体" w:cs="宋体" w:eastAsia="宋体" w:hint="default"/>
                <w:sz w:val="18"/>
                <w:szCs w:val="18"/>
              </w:rPr>
            </w:pPr>
            <w:r>
              <w:rPr>
                <w:rFonts w:ascii="宋体" w:hAnsi="宋体" w:cs="宋体" w:eastAsia="宋体" w:hint="default"/>
                <w:sz w:val="18"/>
                <w:szCs w:val="18"/>
              </w:rPr>
              <w:t>截至报告期末，上述 承诺人严格信守承 诺，未发生违反承诺 的情况。</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公允性，并保证按照有关法律、法规、规章、其他规范性文</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件、证券交易所规则和新开普公司章程的规定履行相关信息</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披露义务；保证不利用关联交易非法转移新开普的资金、利</w:t>
            </w:r>
          </w:p>
        </w:tc>
        <w:tc>
          <w:tcPr>
            <w:tcW w:w="1559"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r>
        <w:rPr/>
        <w:pict>
          <v:shape style="position:absolute;margin-left:335.870789pt;margin-top:57.18pt;width:281.650pt;height:345.25pt;mso-position-horizontal-relative:page;mso-position-vertical-relative:page;z-index:-15990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不以任何形式损害新开普及其其他股东的合法权益。</w:t>
                  </w:r>
                </w:p>
              </w:txbxContent>
            </v:textbox>
            <w10:wrap type="none"/>
          </v:shape>
        </w:pict>
      </w:r>
      <w:r>
        <w:rPr/>
        <w:pict>
          <v:shape style="position:absolute;margin-left:515.869873pt;margin-top:402.899994pt;width:101.65pt;height:126.8pt;mso-position-horizontal-relative:page;mso-position-vertical-relative:page;z-index:-15990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冻结、</w:t>
                  </w:r>
                </w:p>
              </w:txbxContent>
            </v:textbox>
            <w10:wrap type="none"/>
          </v:shape>
        </w:pict>
      </w:r>
      <w:r>
        <w:rPr/>
        <w:pict>
          <v:group style="position:absolute;margin-left:540.049988pt;margin-top:57.18pt;width:77.5pt;height:472.5pt;mso-position-horizontal-relative:page;mso-position-vertical-relative:page;z-index:-1599040" coordorigin="10801,1144" coordsize="1550,9450">
            <v:group style="position:absolute;left:10801;top:1144;width:1550;height:6905" coordorigin="10801,1144" coordsize="1550,6905">
              <v:shape style="position:absolute;left:10801;top:1144;width:1550;height:6905" coordorigin="10801,1144" coordsize="1550,6905" path="m10801,1144l12350,1144,12350,8048,10801,8048,10801,1144xe" filled="true" fillcolor="#ffffff" stroked="false">
                <v:path arrowok="t"/>
                <v:fill type="solid"/>
              </v:shape>
            </v:group>
            <v:group style="position:absolute;left:10801;top:8058;width:1550;height:2536" coordorigin="10801,8058" coordsize="1550,2536">
              <v:shape style="position:absolute;left:10801;top:8058;width:1550;height:2536" coordorigin="10801,8058" coordsize="1550,2536" path="m10801,8058l12350,8058,12350,10594,10801,10594,10801,8058xe" filled="true" fillcolor="#ffffff" stroked="false">
                <v:path arrowok="t"/>
                <v:fill type="solid"/>
              </v:shape>
            </v:group>
            <v:group style="position:absolute;left:10824;top:9130;width:1503;height:393" coordorigin="10824,9130" coordsize="1503,393">
              <v:shape style="position:absolute;left:10824;top:9130;width:1503;height:393" coordorigin="10824,9130" coordsize="1503,393" path="m10824,9130l10824,9522,12326,9522,12326,9130,10824,9130xe" filled="true" fillcolor="#ffffff" stroked="false">
                <v:path arrowok="t"/>
                <v:fill type="solid"/>
              </v:shape>
            </v:group>
            <w10:wrap type="none"/>
          </v:group>
        </w:pict>
      </w:r>
      <w:r>
        <w:rPr/>
        <w:pict>
          <v:group style="position:absolute;margin-left:242.330994pt;margin-top:402.899994pt;width:56.25pt;height:126.8pt;mso-position-horizontal-relative:page;mso-position-vertical-relative:page;z-index:-1599016" coordorigin="4847,8058" coordsize="1125,2536">
            <v:group style="position:absolute;left:4847;top:8058;width:1125;height:2536" coordorigin="4847,8058" coordsize="1125,2536">
              <v:shape style="position:absolute;left:4847;top:8058;width:1125;height:2536" coordorigin="4847,8058" coordsize="1125,2536" path="m4847,8058l4847,10594,5971,10594,5971,8058,4847,8058xe" filled="true" fillcolor="#ffffff" stroked="false">
                <v:path arrowok="t"/>
                <v:fill type="solid"/>
              </v:shape>
            </v:group>
            <v:group style="position:absolute;left:4869;top:9130;width:1079;height:393" coordorigin="4869,9130" coordsize="1079,393">
              <v:shape style="position:absolute;left:4869;top:9130;width:1079;height:393" coordorigin="4869,9130" coordsize="1079,393" path="m4869,9130l4869,9522,5948,9522,5948,9130,4869,9130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985"/>
        <w:gridCol w:w="1417"/>
        <w:gridCol w:w="1134"/>
        <w:gridCol w:w="4820"/>
        <w:gridCol w:w="1559"/>
        <w:gridCol w:w="1276"/>
        <w:gridCol w:w="1702"/>
      </w:tblGrid>
      <w:tr>
        <w:trPr>
          <w:trHeight w:val="331" w:hRule="exact"/>
        </w:trPr>
        <w:tc>
          <w:tcPr>
            <w:tcW w:w="1985"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482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润，不利用关联交易损害新开普及非关联股东的利益；保证</w:t>
            </w:r>
          </w:p>
        </w:tc>
        <w:tc>
          <w:tcPr>
            <w:tcW w:w="1559" w:type="dxa"/>
            <w:vMerge w:val="restart"/>
            <w:tcBorders>
              <w:top w:val="single" w:sz="15" w:space="0" w:color="000000"/>
              <w:left w:val="single" w:sz="4" w:space="0" w:color="000000"/>
              <w:right w:val="single" w:sz="4" w:space="0" w:color="000000"/>
            </w:tcBorders>
          </w:tcPr>
          <w:p>
            <w:pPr/>
          </w:p>
        </w:tc>
        <w:tc>
          <w:tcPr>
            <w:tcW w:w="1276" w:type="dxa"/>
            <w:vMerge w:val="restart"/>
            <w:tcBorders>
              <w:top w:val="single" w:sz="15" w:space="0" w:color="000000"/>
              <w:left w:val="single" w:sz="4" w:space="0" w:color="000000"/>
              <w:right w:val="single" w:sz="4" w:space="0" w:color="000000"/>
            </w:tcBorders>
          </w:tcPr>
          <w:p>
            <w:pPr/>
          </w:p>
        </w:tc>
        <w:tc>
          <w:tcPr>
            <w:tcW w:w="1702" w:type="dxa"/>
            <w:vMerge w:val="restart"/>
            <w:tcBorders>
              <w:top w:val="single" w:sz="15" w:space="0" w:color="000000"/>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不利用股东地位谋取不当利益或谋求与新开普达成交易的优</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先权利，</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、本人承诺在新开普的股东大会对涉及本人及本人控制的公</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司、企业或其他经营实体的有关关联交易事项进行表决时，</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履行回避表决的义务。</w:t>
            </w:r>
            <w:r>
              <w:rPr>
                <w:rFonts w:ascii="Times New Roman" w:hAnsi="Times New Roman" w:cs="Times New Roman" w:eastAsia="Times New Roman" w:hint="default"/>
                <w:sz w:val="18"/>
                <w:szCs w:val="18"/>
              </w:rPr>
              <w:t>3</w:t>
            </w:r>
            <w:r>
              <w:rPr>
                <w:rFonts w:ascii="宋体" w:hAnsi="宋体" w:cs="宋体" w:eastAsia="宋体" w:hint="default"/>
                <w:sz w:val="18"/>
                <w:szCs w:val="18"/>
              </w:rPr>
              <w:t>、本人承诺将不会要求和接受新开普</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给予的与其在任何一项市场公平交易中给予独立第三方的条</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件相比更为优惠的条件。</w:t>
            </w:r>
            <w:r>
              <w:rPr>
                <w:rFonts w:ascii="Times New Roman" w:hAnsi="Times New Roman" w:cs="Times New Roman" w:eastAsia="Times New Roman" w:hint="default"/>
                <w:sz w:val="18"/>
                <w:szCs w:val="18"/>
              </w:rPr>
              <w:t>4</w:t>
            </w:r>
            <w:r>
              <w:rPr>
                <w:rFonts w:ascii="宋体" w:hAnsi="宋体" w:cs="宋体" w:eastAsia="宋体" w:hint="default"/>
                <w:sz w:val="18"/>
                <w:szCs w:val="18"/>
              </w:rPr>
              <w:t>、杜绝本人及本人控制的公司、企</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业或其他经营实体以借款、代偿债务、代垫款项或其他方式</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占用新开普的资金、资产的行为。 </w:t>
            </w:r>
            <w:r>
              <w:rPr>
                <w:rFonts w:ascii="Times New Roman" w:hAnsi="Times New Roman" w:cs="Times New Roman" w:eastAsia="Times New Roman" w:hint="default"/>
                <w:sz w:val="18"/>
                <w:szCs w:val="18"/>
              </w:rPr>
              <w:t>5</w:t>
            </w:r>
            <w:r>
              <w:rPr>
                <w:rFonts w:ascii="宋体" w:hAnsi="宋体" w:cs="宋体" w:eastAsia="宋体" w:hint="default"/>
                <w:sz w:val="18"/>
                <w:szCs w:val="18"/>
              </w:rPr>
              <w:t>、任何情况下，不要求</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新开普向本人及本人的其他关联方提供任何形式的担保。</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本人保证将依照新开普公司章程的规定参加股东大会，平等</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地行使股东权利并承担股东义务，不谋取不正当利益，不损</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害新开普及其他股东的合法权益。</w:t>
            </w:r>
            <w:r>
              <w:rPr>
                <w:rFonts w:ascii="Times New Roman" w:hAnsi="Times New Roman" w:cs="Times New Roman" w:eastAsia="Times New Roman" w:hint="default"/>
                <w:sz w:val="18"/>
                <w:szCs w:val="18"/>
              </w:rPr>
              <w:t>7</w:t>
            </w:r>
            <w:r>
              <w:rPr>
                <w:rFonts w:ascii="宋体" w:hAnsi="宋体" w:cs="宋体" w:eastAsia="宋体" w:hint="default"/>
                <w:sz w:val="18"/>
                <w:szCs w:val="18"/>
              </w:rPr>
              <w:t>、本人确认本承诺函所载</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的每一项承诺均为可独立执行之承诺，任何一项承诺若被视</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为无效或终止将不影响其他各项承诺的有效性。以上承诺与</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保证自中国证券监督管理委员会核准新开普本次非公开发行</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股份及支付现金购买资产之日起正式生效，并将在本人持有</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新开普股票期间长期有效。如因本人或本人控制的公司、企</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业或其他经营实体违反上述承诺与保证而导致新开普及其他</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3"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股东的权益受到损害的，则本人同意承担因此给新开普造成</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的一切损失。</w:t>
            </w:r>
          </w:p>
        </w:tc>
        <w:tc>
          <w:tcPr>
            <w:tcW w:w="155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362" w:hRule="exact"/>
        </w:trPr>
        <w:tc>
          <w:tcPr>
            <w:tcW w:w="1985"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14"/>
              <w:jc w:val="center"/>
              <w:rPr>
                <w:rFonts w:ascii="宋体" w:hAnsi="宋体" w:cs="宋体" w:eastAsia="宋体" w:hint="default"/>
                <w:sz w:val="18"/>
                <w:szCs w:val="18"/>
              </w:rPr>
            </w:pPr>
            <w:r>
              <w:rPr>
                <w:rFonts w:ascii="宋体" w:hAnsi="宋体" w:cs="宋体" w:eastAsia="宋体" w:hint="default"/>
                <w:sz w:val="18"/>
                <w:szCs w:val="18"/>
              </w:rPr>
              <w:t>鉴于公司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年发</w:t>
            </w:r>
          </w:p>
        </w:tc>
      </w:tr>
      <w:tr>
        <w:trPr>
          <w:trHeight w:val="1866"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22" w:right="122"/>
              <w:jc w:val="both"/>
              <w:rPr>
                <w:rFonts w:ascii="宋体" w:hAnsi="宋体" w:cs="宋体" w:eastAsia="宋体" w:hint="default"/>
                <w:sz w:val="18"/>
                <w:szCs w:val="18"/>
              </w:rPr>
            </w:pPr>
            <w:r>
              <w:rPr>
                <w:rFonts w:ascii="宋体" w:hAnsi="宋体" w:cs="宋体" w:eastAsia="宋体" w:hint="default"/>
                <w:sz w:val="18"/>
                <w:szCs w:val="18"/>
              </w:rPr>
              <w:t>公司配套融资的 认购对象郑州佳 辰企业管理咨询 中心（有限合伙</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09" w:lineRule="auto" w:before="141"/>
              <w:ind w:left="22" w:right="10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、本合伙企业财产份额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各合伙人的出资不存在被质押、</w:t>
            </w:r>
            <w:r>
              <w:rPr>
                <w:rFonts w:ascii="宋体" w:hAnsi="宋体" w:cs="宋体" w:eastAsia="宋体" w:hint="default"/>
                <w:spacing w:val="-86"/>
                <w:sz w:val="18"/>
                <w:szCs w:val="18"/>
              </w:rPr>
              <w:t> </w:t>
            </w:r>
            <w:r>
              <w:rPr>
                <w:rFonts w:ascii="宋体" w:hAnsi="宋体" w:cs="宋体" w:eastAsia="宋体" w:hint="default"/>
                <w:sz w:val="18"/>
                <w:szCs w:val="18"/>
              </w:rPr>
              <w:t>司法查封或拍卖、托管、设定委托、信托、第三方权利、被 依法限制表决权的情形，不存在利益输送或其他权益安排， 本合伙企业财产份额</w:t>
            </w:r>
            <w:r>
              <w:rPr>
                <w:rFonts w:ascii="Times New Roman" w:hAnsi="Times New Roman" w:cs="Times New Roman" w:eastAsia="Times New Roman" w:hint="default"/>
                <w:sz w:val="18"/>
                <w:szCs w:val="18"/>
              </w:rPr>
              <w:t>/</w:t>
            </w:r>
            <w:r>
              <w:rPr>
                <w:rFonts w:ascii="宋体" w:hAnsi="宋体" w:cs="宋体" w:eastAsia="宋体" w:hint="default"/>
                <w:sz w:val="18"/>
                <w:szCs w:val="18"/>
              </w:rPr>
              <w:t>各合伙人的出资不存在纠纷或潜在纠 纷；</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314" w:lineRule="auto" w:before="5"/>
              <w:ind w:left="22" w:right="47"/>
              <w:jc w:val="both"/>
              <w:rPr>
                <w:rFonts w:ascii="宋体" w:hAnsi="宋体" w:cs="宋体" w:eastAsia="宋体" w:hint="default"/>
                <w:sz w:val="18"/>
                <w:szCs w:val="18"/>
              </w:rPr>
            </w:pPr>
            <w:r>
              <w:rPr>
                <w:rFonts w:ascii="宋体" w:hAnsi="宋体" w:cs="宋体" w:eastAsia="宋体" w:hint="default"/>
                <w:sz w:val="18"/>
                <w:szCs w:val="18"/>
              </w:rPr>
              <w:t>行股份及支付现金购 买资产并募集配套资 金及关联交易已经实 施完毕，原承诺内容 </w:t>
            </w:r>
            <w:r>
              <w:rPr>
                <w:rFonts w:ascii="Times New Roman" w:hAnsi="Times New Roman" w:cs="Times New Roman" w:eastAsia="Times New Roman" w:hint="default"/>
                <w:sz w:val="18"/>
                <w:szCs w:val="18"/>
              </w:rPr>
              <w:t>"1</w:t>
            </w:r>
            <w:r>
              <w:rPr>
                <w:rFonts w:ascii="宋体" w:hAnsi="宋体" w:cs="宋体" w:eastAsia="宋体" w:hint="default"/>
                <w:sz w:val="18"/>
                <w:szCs w:val="18"/>
              </w:rPr>
              <w:t>、本合伙企业为依 法设立并有效存续的</w:t>
            </w:r>
          </w:p>
        </w:tc>
      </w:tr>
      <w:tr>
        <w:trPr>
          <w:trHeight w:val="318"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24"/>
              <w:jc w:val="center"/>
              <w:rPr>
                <w:rFonts w:ascii="宋体" w:hAnsi="宋体" w:cs="宋体" w:eastAsia="宋体" w:hint="default"/>
                <w:sz w:val="18"/>
                <w:szCs w:val="18"/>
              </w:rPr>
            </w:pPr>
            <w:r>
              <w:rPr>
                <w:rFonts w:ascii="宋体" w:hAnsi="宋体" w:cs="宋体" w:eastAsia="宋体" w:hint="default"/>
                <w:sz w:val="18"/>
                <w:szCs w:val="18"/>
              </w:rPr>
              <w:t>有限合伙企业，本合</w:t>
            </w:r>
          </w:p>
        </w:tc>
      </w:tr>
    </w:tbl>
    <w:p>
      <w:pPr>
        <w:spacing w:after="0" w:line="240" w:lineRule="auto"/>
        <w:jc w:val="center"/>
        <w:rPr>
          <w:rFonts w:ascii="宋体" w:hAnsi="宋体" w:cs="宋体" w:eastAsia="宋体" w:hint="default"/>
          <w:sz w:val="18"/>
          <w:szCs w:val="18"/>
        </w:rPr>
        <w:sectPr>
          <w:pgSz w:w="16840" w:h="11910" w:orient="landscape"/>
          <w:pgMar w:header="867" w:footer="978" w:top="1060" w:bottom="1160" w:left="1320" w:right="1340"/>
        </w:sectPr>
      </w:pPr>
    </w:p>
    <w:p>
      <w:pPr>
        <w:spacing w:line="316" w:lineRule="auto" w:before="87"/>
        <w:ind w:left="12358" w:right="132" w:firstLine="0"/>
        <w:jc w:val="left"/>
        <w:rPr>
          <w:rFonts w:ascii="宋体" w:hAnsi="宋体" w:cs="宋体" w:eastAsia="宋体" w:hint="default"/>
          <w:sz w:val="18"/>
          <w:szCs w:val="18"/>
        </w:rPr>
      </w:pPr>
      <w:r>
        <w:rPr/>
        <w:pict>
          <v:group style="position:absolute;margin-left:70.130997pt;margin-top:55.259998pt;width:701.65pt;height:470.7pt;mso-position-horizontal-relative:page;mso-position-vertical-relative:page;z-index:-1598992" coordorigin="1403,1105" coordsize="14033,9414">
            <v:group style="position:absolute;left:1410;top:1112;width:14019;height:2" coordorigin="1410,1112" coordsize="14019,2">
              <v:shape style="position:absolute;left:1410;top:1112;width:14019;height:2" coordorigin="1410,1112" coordsize="14019,0" path="m1410,1112l15428,1112e" filled="false" stroked="true" strokeweight=".72pt" strokecolor="#000000">
                <v:path arrowok="t"/>
              </v:shape>
            </v:group>
            <v:group style="position:absolute;left:1445;top:1144;width:1976;height:9360" coordorigin="1445,1144" coordsize="1976,9360">
              <v:shape style="position:absolute;left:1445;top:1144;width:1976;height:9360" coordorigin="1445,1144" coordsize="1976,9360" path="m1445,1144l1445,10504,3420,10504,3420,1144,1445,1144xe" filled="true" fillcolor="#d3d3d3" stroked="false">
                <v:path arrowok="t"/>
                <v:fill type="solid"/>
              </v:shape>
            </v:group>
            <v:group style="position:absolute;left:1435;top:1139;width:9366;height:2" coordorigin="1435,1139" coordsize="9366,2">
              <v:shape style="position:absolute;left:1435;top:1139;width:9366;height:2" coordorigin="1435,1139" coordsize="9366,0" path="m1435,1139l10801,1139e" filled="false" stroked="true" strokeweight=".48pt" strokecolor="#000000">
                <v:path arrowok="t"/>
              </v:shape>
            </v:group>
            <v:group style="position:absolute;left:10801;top:1139;width:1550;height:2" coordorigin="10801,1139" coordsize="1550,2">
              <v:shape style="position:absolute;left:10801;top:1139;width:1550;height:2" coordorigin="10801,1139" coordsize="1550,0" path="m10801,1139l12350,1139e" filled="false" stroked="true" strokeweight=".48pt" strokecolor="#000000">
                <v:path arrowok="t"/>
              </v:shape>
            </v:group>
            <v:group style="position:absolute;left:12350;top:1139;width:2987;height:2" coordorigin="12350,1139" coordsize="2987,2">
              <v:shape style="position:absolute;left:12350;top:1139;width:2987;height:2" coordorigin="12350,1139" coordsize="2987,0" path="m12350,1139l15337,1139e" filled="false" stroked="true" strokeweight=".48pt" strokecolor="#000000">
                <v:path arrowok="t"/>
              </v:shape>
            </v:group>
            <v:group style="position:absolute;left:1440;top:1134;width:2;height:9381" coordorigin="1440,1134" coordsize="2,9381">
              <v:shape style="position:absolute;left:1440;top:1134;width:2;height:9381" coordorigin="1440,1134" coordsize="0,9381" path="m1440,1134l1440,10514e" filled="false" stroked="true" strokeweight=".47998pt" strokecolor="#000000">
                <v:path arrowok="t"/>
              </v:shape>
            </v:group>
            <v:group style="position:absolute;left:1435;top:10510;width:1985;height:2" coordorigin="1435,10510" coordsize="1985,2">
              <v:shape style="position:absolute;left:1435;top:10510;width:1985;height:2" coordorigin="1435,10510" coordsize="1985,0" path="m1435,10510l3420,10510e" filled="false" stroked="true" strokeweight=".47998pt" strokecolor="#000000">
                <v:path arrowok="t"/>
              </v:shape>
            </v:group>
            <v:group style="position:absolute;left:3425;top:1144;width:2;height:9371" coordorigin="3425,1144" coordsize="2,9371">
              <v:shape style="position:absolute;left:3425;top:1144;width:2;height:9371" coordorigin="3425,1144" coordsize="0,9371" path="m3425,1144l3425,10514e" filled="false" stroked="true" strokeweight=".48pt" strokecolor="#000000">
                <v:path arrowok="t"/>
              </v:shape>
            </v:group>
            <v:group style="position:absolute;left:3429;top:10510;width:1408;height:2" coordorigin="3429,10510" coordsize="1408,2">
              <v:shape style="position:absolute;left:3429;top:10510;width:1408;height:2" coordorigin="3429,10510" coordsize="1408,0" path="m3429,10510l4837,10510e" filled="false" stroked="true" strokeweight=".47998pt" strokecolor="#000000">
                <v:path arrowok="t"/>
              </v:shape>
            </v:group>
            <v:group style="position:absolute;left:4842;top:1144;width:2;height:9371" coordorigin="4842,1144" coordsize="2,9371">
              <v:shape style="position:absolute;left:4842;top:1144;width:2;height:9371" coordorigin="4842,1144" coordsize="0,9371" path="m4842,1144l4842,10514e" filled="false" stroked="true" strokeweight=".48pt" strokecolor="#000000">
                <v:path arrowok="t"/>
              </v:shape>
            </v:group>
            <v:group style="position:absolute;left:4847;top:10510;width:1125;height:2" coordorigin="4847,10510" coordsize="1125,2">
              <v:shape style="position:absolute;left:4847;top:10510;width:1125;height:2" coordorigin="4847,10510" coordsize="1125,0" path="m4847,10510l5971,10510e" filled="false" stroked="true" strokeweight=".47998pt" strokecolor="#000000">
                <v:path arrowok="t"/>
              </v:shape>
            </v:group>
            <v:group style="position:absolute;left:5976;top:1144;width:2;height:9371" coordorigin="5976,1144" coordsize="2,9371">
              <v:shape style="position:absolute;left:5976;top:1144;width:2;height:9371" coordorigin="5976,1144" coordsize="0,9371" path="m5976,1144l5976,10514e" filled="false" stroked="true" strokeweight=".47998pt" strokecolor="#000000">
                <v:path arrowok="t"/>
              </v:shape>
            </v:group>
            <v:group style="position:absolute;left:5981;top:10510;width:4811;height:2" coordorigin="5981,10510" coordsize="4811,2">
              <v:shape style="position:absolute;left:5981;top:10510;width:4811;height:2" coordorigin="5981,10510" coordsize="4811,0" path="m5981,10510l10791,10510e" filled="false" stroked="true" strokeweight=".47998pt" strokecolor="#000000">
                <v:path arrowok="t"/>
              </v:shape>
            </v:group>
            <v:group style="position:absolute;left:10796;top:1144;width:2;height:9371" coordorigin="10796,1144" coordsize="2,9371">
              <v:shape style="position:absolute;left:10796;top:1144;width:2;height:9371" coordorigin="10796,1144" coordsize="0,9371" path="m10796,1144l10796,10514e" filled="false" stroked="true" strokeweight=".47998pt" strokecolor="#000000">
                <v:path arrowok="t"/>
              </v:shape>
            </v:group>
            <v:group style="position:absolute;left:10801;top:10510;width:1550;height:2" coordorigin="10801,10510" coordsize="1550,2">
              <v:shape style="position:absolute;left:10801;top:10510;width:1550;height:2" coordorigin="10801,10510" coordsize="1550,0" path="m10801,10510l12350,10510e" filled="false" stroked="true" strokeweight=".48pt" strokecolor="#000000">
                <v:path arrowok="t"/>
              </v:shape>
            </v:group>
            <v:group style="position:absolute;left:12355;top:1144;width:2;height:9371" coordorigin="12355,1144" coordsize="2,9371">
              <v:shape style="position:absolute;left:12355;top:1144;width:2;height:9371" coordorigin="12355,1144" coordsize="0,9371" path="m12355,1144l12355,10514e" filled="false" stroked="true" strokeweight=".47998pt" strokecolor="#000000">
                <v:path arrowok="t"/>
              </v:shape>
            </v:group>
            <v:group style="position:absolute;left:12360;top:10510;width:1266;height:2" coordorigin="12360,10510" coordsize="1266,2">
              <v:shape style="position:absolute;left:12360;top:10510;width:1266;height:2" coordorigin="12360,10510" coordsize="1266,0" path="m12360,10510l13626,10510e" filled="false" stroked="true" strokeweight=".47998pt" strokecolor="#000000">
                <v:path arrowok="t"/>
              </v:shape>
            </v:group>
            <v:group style="position:absolute;left:13631;top:1144;width:2;height:9371" coordorigin="13631,1144" coordsize="2,9371">
              <v:shape style="position:absolute;left:13631;top:1144;width:2;height:9371" coordorigin="13631,1144" coordsize="0,9371" path="m13631,1144l13631,10514e" filled="false" stroked="true" strokeweight=".47998pt" strokecolor="#000000">
                <v:path arrowok="t"/>
              </v:shape>
            </v:group>
            <v:group style="position:absolute;left:13635;top:10510;width:1692;height:2" coordorigin="13635,10510" coordsize="1692,2">
              <v:shape style="position:absolute;left:13635;top:10510;width:1692;height:2" coordorigin="13635,10510" coordsize="1692,0" path="m13635,10510l15327,10510e" filled="false" stroked="true" strokeweight=".47998pt" strokecolor="#000000">
                <v:path arrowok="t"/>
              </v:shape>
            </v:group>
            <v:group style="position:absolute;left:15332;top:1134;width:2;height:9381" coordorigin="15332,1134" coordsize="2,9381">
              <v:shape style="position:absolute;left:15332;top:1134;width:2;height:9381" coordorigin="15332,1134" coordsize="0,9381" path="m15332,1134l15332,10514e" filled="false" stroked="true" strokeweight=".48004pt" strokecolor="#000000">
                <v:path arrowok="t"/>
              </v:shape>
            </v:group>
            <w10:wrap type="none"/>
          </v:group>
        </w:pict>
      </w:r>
      <w:r>
        <w:rPr>
          <w:rFonts w:ascii="宋体" w:hAnsi="宋体" w:cs="宋体" w:eastAsia="宋体" w:hint="default"/>
          <w:sz w:val="18"/>
          <w:szCs w:val="18"/>
        </w:rPr>
        <w:t>伙企业具有独立的主 体资格、独立对外承 担法律责任。截至本 承诺函出具日，本合 伙企业不存在根据有 关法律、法规、规范 性文件及合伙协议的 规定需要终止或解散 之情形，不存在因环 境保护、知识产权、 </w:t>
      </w:r>
      <w:r>
        <w:rPr>
          <w:rFonts w:ascii="宋体" w:hAnsi="宋体" w:cs="宋体" w:eastAsia="宋体" w:hint="default"/>
          <w:spacing w:val="-7"/>
          <w:sz w:val="18"/>
          <w:szCs w:val="18"/>
        </w:rPr>
        <w:t>产品质量、劳动安全、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人身权等原因产生的 </w:t>
      </w:r>
      <w:r>
        <w:rPr>
          <w:rFonts w:ascii="宋体" w:hAnsi="宋体" w:cs="宋体" w:eastAsia="宋体" w:hint="default"/>
          <w:spacing w:val="-7"/>
          <w:sz w:val="18"/>
          <w:szCs w:val="18"/>
        </w:rPr>
        <w:t>侵权之债；</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、本合伙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企业的合伙人均为新 开普员工，其中杨维 国为新开普董事长兼 总经理，付秋生为新 开普董事兼常务副总 经理，尚卫国、赵利 宾为新开普董事兼副 总经理，刘恩臣为新 开普监事会主席，华 梦阳为新开普副总经 理兼董事会秘书、杜 建平、傅常顺为新开 </w:t>
      </w:r>
      <w:r>
        <w:rPr>
          <w:rFonts w:ascii="宋体" w:hAnsi="宋体" w:cs="宋体" w:eastAsia="宋体" w:hint="default"/>
          <w:spacing w:val="-7"/>
          <w:sz w:val="18"/>
          <w:szCs w:val="18"/>
        </w:rPr>
        <w:t>普副总经理，郎金文、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葛晓阁为新开普核心 </w:t>
      </w:r>
      <w:r>
        <w:rPr>
          <w:rFonts w:ascii="宋体" w:hAnsi="宋体" w:cs="宋体" w:eastAsia="宋体" w:hint="default"/>
          <w:spacing w:val="-7"/>
          <w:sz w:val="18"/>
          <w:szCs w:val="18"/>
        </w:rPr>
        <w:t>人员；</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、本合伙企业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未负有数额较大的到 </w:t>
      </w:r>
      <w:r>
        <w:rPr>
          <w:rFonts w:ascii="宋体" w:hAnsi="宋体" w:cs="宋体" w:eastAsia="宋体" w:hint="default"/>
          <w:spacing w:val="-10"/>
          <w:sz w:val="18"/>
          <w:szCs w:val="18"/>
        </w:rPr>
        <w:t>期未清偿债务；</w:t>
      </w:r>
      <w:r>
        <w:rPr>
          <w:rFonts w:ascii="Times New Roman" w:hAnsi="Times New Roman" w:cs="Times New Roman" w:eastAsia="Times New Roman" w:hint="default"/>
          <w:spacing w:val="-10"/>
          <w:sz w:val="18"/>
          <w:szCs w:val="18"/>
        </w:rPr>
        <w:t>4</w:t>
      </w:r>
      <w:r>
        <w:rPr>
          <w:rFonts w:ascii="宋体" w:hAnsi="宋体" w:cs="宋体" w:eastAsia="宋体" w:hint="default"/>
          <w:spacing w:val="-10"/>
          <w:sz w:val="18"/>
          <w:szCs w:val="18"/>
        </w:rPr>
        <w:t>、本</w:t>
      </w:r>
      <w:r>
        <w:rPr>
          <w:rFonts w:ascii="宋体" w:hAnsi="宋体" w:cs="宋体" w:eastAsia="宋体" w:hint="default"/>
          <w:sz w:val="18"/>
          <w:szCs w:val="18"/>
        </w:rPr>
      </w:r>
    </w:p>
    <w:p>
      <w:pPr>
        <w:spacing w:after="0" w:line="316" w:lineRule="auto"/>
        <w:jc w:val="left"/>
        <w:rPr>
          <w:rFonts w:ascii="宋体" w:hAnsi="宋体" w:cs="宋体" w:eastAsia="宋体" w:hint="default"/>
          <w:sz w:val="18"/>
          <w:szCs w:val="18"/>
        </w:rPr>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985"/>
        <w:gridCol w:w="1417"/>
        <w:gridCol w:w="1134"/>
        <w:gridCol w:w="4820"/>
        <w:gridCol w:w="1559"/>
        <w:gridCol w:w="1276"/>
        <w:gridCol w:w="1702"/>
      </w:tblGrid>
      <w:tr>
        <w:trPr>
          <w:trHeight w:val="331" w:hRule="exact"/>
        </w:trPr>
        <w:tc>
          <w:tcPr>
            <w:tcW w:w="1985"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4820" w:type="dxa"/>
            <w:vMerge w:val="restart"/>
            <w:tcBorders>
              <w:top w:val="single" w:sz="15" w:space="0" w:color="000000"/>
              <w:left w:val="single" w:sz="4" w:space="0" w:color="000000"/>
              <w:right w:val="single" w:sz="4" w:space="0" w:color="000000"/>
            </w:tcBorders>
          </w:tcPr>
          <w:p>
            <w:pPr/>
          </w:p>
        </w:tc>
        <w:tc>
          <w:tcPr>
            <w:tcW w:w="1559" w:type="dxa"/>
            <w:vMerge w:val="restart"/>
            <w:tcBorders>
              <w:top w:val="single" w:sz="15" w:space="0" w:color="000000"/>
              <w:left w:val="single" w:sz="4" w:space="0" w:color="000000"/>
              <w:right w:val="single" w:sz="4" w:space="0" w:color="000000"/>
            </w:tcBorders>
          </w:tcPr>
          <w:p>
            <w:pPr/>
          </w:p>
        </w:tc>
        <w:tc>
          <w:tcPr>
            <w:tcW w:w="1276" w:type="dxa"/>
            <w:vMerge w:val="restart"/>
            <w:tcBorders>
              <w:top w:val="single" w:sz="15" w:space="0" w:color="000000"/>
              <w:left w:val="single" w:sz="4" w:space="0" w:color="000000"/>
              <w:right w:val="single" w:sz="4" w:space="0" w:color="000000"/>
            </w:tcBorders>
          </w:tcPr>
          <w:p>
            <w:pPr/>
          </w:p>
        </w:tc>
        <w:tc>
          <w:tcPr>
            <w:tcW w:w="1702"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合伙企业及各合伙</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人、执行事务合伙人</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委派代表、主要管理</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人员最近五年未受过</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重大行政处罚、刑事</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处罚，亦未涉及与经</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济纠纷有关的重大诉</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讼或仲裁，不存在尚</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未了结或可以预见的</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重大诉讼、仲裁及行</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政处罚案件，不存在</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被中国证监会或证券</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交易所采取监管措施</w:t>
            </w: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的情形；</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、本合伙企</w:t>
            </w: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业认购新开普股份的</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资金来源真实合法、</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均为各合伙人以自有</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资金出资，不存在向</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第三方募集的情况，</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不存在违法违规的情</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形、不存在被有关部</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门收缴、追索等法律</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风险；本合伙企业各</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合伙人认缴的出资将</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于本次重大资产重组</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经中国证券监督管理</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委员会核准后，向中</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国证券监督管理委员</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会报送募集配套资金</w:t>
            </w:r>
          </w:p>
        </w:tc>
      </w:tr>
      <w:tr>
        <w:trPr>
          <w:trHeight w:val="318"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820"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部分的非公开发行方</w:t>
            </w:r>
          </w:p>
        </w:tc>
      </w:tr>
    </w:tbl>
    <w:p>
      <w:pPr>
        <w:spacing w:after="0" w:line="240" w:lineRule="auto"/>
        <w:jc w:val="left"/>
        <w:rPr>
          <w:rFonts w:ascii="宋体" w:hAnsi="宋体" w:cs="宋体" w:eastAsia="宋体" w:hint="default"/>
          <w:sz w:val="18"/>
          <w:szCs w:val="18"/>
        </w:rPr>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985"/>
        <w:gridCol w:w="1417"/>
        <w:gridCol w:w="1134"/>
        <w:gridCol w:w="4820"/>
        <w:gridCol w:w="1559"/>
        <w:gridCol w:w="1276"/>
        <w:gridCol w:w="1702"/>
      </w:tblGrid>
      <w:tr>
        <w:trPr>
          <w:trHeight w:val="336" w:hRule="exact"/>
        </w:trPr>
        <w:tc>
          <w:tcPr>
            <w:tcW w:w="1985"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4820" w:type="dxa"/>
            <w:vMerge w:val="restart"/>
            <w:tcBorders>
              <w:top w:val="single" w:sz="15" w:space="0" w:color="000000"/>
              <w:left w:val="single" w:sz="4" w:space="0" w:color="000000"/>
              <w:right w:val="single" w:sz="4" w:space="0" w:color="000000"/>
            </w:tcBorders>
          </w:tcPr>
          <w:p>
            <w:pPr/>
          </w:p>
        </w:tc>
        <w:tc>
          <w:tcPr>
            <w:tcW w:w="1559" w:type="dxa"/>
            <w:vMerge w:val="restart"/>
            <w:tcBorders>
              <w:top w:val="single" w:sz="15" w:space="0" w:color="000000"/>
              <w:left w:val="single" w:sz="4" w:space="0" w:color="000000"/>
              <w:right w:val="single" w:sz="4" w:space="0" w:color="000000"/>
            </w:tcBorders>
          </w:tcPr>
          <w:p>
            <w:pPr/>
          </w:p>
        </w:tc>
        <w:tc>
          <w:tcPr>
            <w:tcW w:w="1276" w:type="dxa"/>
            <w:vMerge w:val="restart"/>
            <w:tcBorders>
              <w:top w:val="single" w:sz="15" w:space="0" w:color="000000"/>
              <w:left w:val="single" w:sz="4" w:space="0" w:color="000000"/>
              <w:right w:val="single" w:sz="4" w:space="0" w:color="000000"/>
            </w:tcBorders>
          </w:tcPr>
          <w:p>
            <w:pPr/>
          </w:p>
        </w:tc>
        <w:tc>
          <w:tcPr>
            <w:tcW w:w="1702"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案前足额缴纳；</w:t>
            </w:r>
            <w:r>
              <w:rPr>
                <w:rFonts w:ascii="Times New Roman" w:hAnsi="Times New Roman" w:cs="Times New Roman" w:eastAsia="Times New Roman" w:hint="default"/>
                <w:spacing w:val="-10"/>
                <w:sz w:val="18"/>
                <w:szCs w:val="18"/>
              </w:rPr>
              <w:t>7</w:t>
            </w:r>
            <w:r>
              <w:rPr>
                <w:rFonts w:ascii="宋体" w:hAnsi="宋体" w:cs="宋体" w:eastAsia="宋体" w:hint="default"/>
                <w:spacing w:val="-10"/>
                <w:sz w:val="18"/>
                <w:szCs w:val="18"/>
              </w:rPr>
              <w:t>、本</w:t>
            </w:r>
            <w:r>
              <w:rPr>
                <w:rFonts w:ascii="宋体" w:hAnsi="宋体" w:cs="宋体" w:eastAsia="宋体" w:hint="default"/>
                <w:sz w:val="18"/>
                <w:szCs w:val="18"/>
              </w:rPr>
            </w: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次重大资产重组完成</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后，本合伙企业将持</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有新开普的股份，本</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合伙企业未就该等股</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份设置任何质押、托</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管、委托、信托、第</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三方权利、被依法限</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制表决权等情形，不</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存在代其他方持有的</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情形，不存在利益输</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送或其他权益安排，</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不存在纠纷或潜在纠</w:t>
            </w: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纷；</w:t>
            </w:r>
            <w:r>
              <w:rPr>
                <w:rFonts w:ascii="Times New Roman" w:hAnsi="Times New Roman" w:cs="Times New Roman" w:eastAsia="Times New Roman" w:hint="default"/>
                <w:spacing w:val="-7"/>
                <w:sz w:val="18"/>
                <w:szCs w:val="18"/>
              </w:rPr>
              <w:t>8</w:t>
            </w:r>
            <w:r>
              <w:rPr>
                <w:rFonts w:ascii="宋体" w:hAnsi="宋体" w:cs="宋体" w:eastAsia="宋体" w:hint="default"/>
                <w:spacing w:val="-7"/>
                <w:sz w:val="18"/>
                <w:szCs w:val="18"/>
              </w:rPr>
              <w:t>、本次重大资产</w:t>
            </w: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重组完成后，本合伙</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企业认购新开普为募</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集配套资金非公开发</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行股份的锁定期届满</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前，本合伙企业的合</w:t>
            </w: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伙人不退伙；</w:t>
            </w:r>
            <w:r>
              <w:rPr>
                <w:rFonts w:ascii="Times New Roman" w:hAnsi="Times New Roman" w:cs="Times New Roman" w:eastAsia="Times New Roman" w:hint="default"/>
                <w:spacing w:val="-7"/>
                <w:sz w:val="18"/>
                <w:szCs w:val="18"/>
              </w:rPr>
              <w:t>9</w:t>
            </w:r>
            <w:r>
              <w:rPr>
                <w:rFonts w:ascii="宋体" w:hAnsi="宋体" w:cs="宋体" w:eastAsia="宋体" w:hint="default"/>
                <w:spacing w:val="-7"/>
                <w:sz w:val="18"/>
                <w:szCs w:val="18"/>
              </w:rPr>
              <w:t>、本合</w:t>
            </w: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伙企业认购新开普为</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募集配套资金非公开</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发行的股份，不存在</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通过结构化资产管理</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产品参与认购的情</w:t>
            </w: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形；</w:t>
            </w:r>
            <w:r>
              <w:rPr>
                <w:rFonts w:ascii="Times New Roman" w:hAnsi="Times New Roman" w:cs="Times New Roman" w:eastAsia="Times New Roman" w:hint="default"/>
                <w:sz w:val="18"/>
                <w:szCs w:val="18"/>
              </w:rPr>
              <w:t>10</w:t>
            </w:r>
            <w:r>
              <w:rPr>
                <w:rFonts w:ascii="宋体" w:hAnsi="宋体" w:cs="宋体" w:eastAsia="宋体" w:hint="default"/>
                <w:sz w:val="18"/>
                <w:szCs w:val="18"/>
              </w:rPr>
              <w:t>、本合伙企业</w:t>
            </w: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不存在法律法规规定</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的不得认购上市公司</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非公开发行股份的情</w:t>
            </w:r>
          </w:p>
        </w:tc>
      </w:tr>
      <w:tr>
        <w:trPr>
          <w:trHeight w:val="318"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820"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形。</w:t>
            </w:r>
            <w:r>
              <w:rPr>
                <w:rFonts w:ascii="Times New Roman" w:hAnsi="Times New Roman" w:cs="Times New Roman" w:eastAsia="Times New Roman" w:hint="default"/>
                <w:sz w:val="18"/>
                <w:szCs w:val="18"/>
              </w:rPr>
              <w:t>11</w:t>
            </w:r>
            <w:r>
              <w:rPr>
                <w:rFonts w:ascii="宋体" w:hAnsi="宋体" w:cs="宋体" w:eastAsia="宋体" w:hint="default"/>
                <w:sz w:val="18"/>
                <w:szCs w:val="18"/>
              </w:rPr>
              <w:t>、本合伙企业</w:t>
            </w:r>
          </w:p>
        </w:tc>
      </w:tr>
    </w:tbl>
    <w:p>
      <w:pPr>
        <w:spacing w:after="0" w:line="240" w:lineRule="auto"/>
        <w:jc w:val="left"/>
        <w:rPr>
          <w:rFonts w:ascii="宋体" w:hAnsi="宋体" w:cs="宋体" w:eastAsia="宋体" w:hint="default"/>
          <w:sz w:val="18"/>
          <w:szCs w:val="18"/>
        </w:rPr>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r>
        <w:rPr/>
        <w:pict>
          <v:group style="position:absolute;margin-left:242.330994pt;margin-top:168.899994pt;width:56.25pt;height:360.8pt;mso-position-horizontal-relative:page;mso-position-vertical-relative:page;z-index:-1598968" coordorigin="4847,3378" coordsize="1125,7216">
            <v:group style="position:absolute;left:4847;top:3378;width:1125;height:7216" coordorigin="4847,3378" coordsize="1125,7216">
              <v:shape style="position:absolute;left:4847;top:3378;width:1125;height:7216" coordorigin="4847,3378" coordsize="1125,7216" path="m4847,3378l4847,10594,5971,10594,5971,3378,4847,3378xe" filled="true" fillcolor="#ffffff" stroked="false">
                <v:path arrowok="t"/>
                <v:fill type="solid"/>
              </v:shape>
            </v:group>
            <v:group style="position:absolute;left:4869;top:6790;width:1079;height:393" coordorigin="4869,6790" coordsize="1079,393">
              <v:shape style="position:absolute;left:4869;top:6790;width:1079;height:393" coordorigin="4869,6790" coordsize="1079,393" path="m4869,6790l4869,7182,5948,7182,5948,6790,4869,6790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985"/>
        <w:gridCol w:w="1417"/>
        <w:gridCol w:w="1134"/>
        <w:gridCol w:w="4820"/>
        <w:gridCol w:w="1559"/>
        <w:gridCol w:w="1276"/>
        <w:gridCol w:w="1702"/>
      </w:tblGrid>
      <w:tr>
        <w:trPr>
          <w:trHeight w:val="331" w:hRule="exact"/>
        </w:trPr>
        <w:tc>
          <w:tcPr>
            <w:tcW w:w="1985"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4820" w:type="dxa"/>
            <w:vMerge w:val="restart"/>
            <w:tcBorders>
              <w:top w:val="single" w:sz="15" w:space="0" w:color="000000"/>
              <w:left w:val="single" w:sz="4" w:space="0" w:color="000000"/>
              <w:right w:val="single" w:sz="4" w:space="0" w:color="000000"/>
            </w:tcBorders>
          </w:tcPr>
          <w:p>
            <w:pPr/>
          </w:p>
        </w:tc>
        <w:tc>
          <w:tcPr>
            <w:tcW w:w="1559" w:type="dxa"/>
            <w:vMerge w:val="restart"/>
            <w:tcBorders>
              <w:top w:val="single" w:sz="15" w:space="0" w:color="000000"/>
              <w:left w:val="single" w:sz="4" w:space="0" w:color="000000"/>
              <w:right w:val="single" w:sz="4" w:space="0" w:color="000000"/>
            </w:tcBorders>
          </w:tcPr>
          <w:p>
            <w:pPr/>
          </w:p>
        </w:tc>
        <w:tc>
          <w:tcPr>
            <w:tcW w:w="1276" w:type="dxa"/>
            <w:vMerge w:val="restart"/>
            <w:tcBorders>
              <w:top w:val="single" w:sz="15" w:space="0" w:color="000000"/>
              <w:left w:val="single" w:sz="4" w:space="0" w:color="000000"/>
              <w:right w:val="single" w:sz="4" w:space="0" w:color="000000"/>
            </w:tcBorders>
          </w:tcPr>
          <w:p>
            <w:pPr/>
          </w:p>
        </w:tc>
        <w:tc>
          <w:tcPr>
            <w:tcW w:w="1702"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设立的目的系为了认</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购新开普本次募集配</w:t>
            </w: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套资金发行的股份。</w:t>
            </w:r>
            <w:r>
              <w:rPr>
                <w:rFonts w:ascii="Times New Roman" w:hAnsi="Times New Roman" w:cs="Times New Roman" w:eastAsia="Times New Roman" w:hint="default"/>
                <w:spacing w:val="-5"/>
                <w:sz w:val="18"/>
                <w:szCs w:val="18"/>
              </w:rPr>
              <w:t>"</w:t>
            </w: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等内容已经履行完</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毕，其余承诺内容由</w:t>
            </w:r>
          </w:p>
        </w:tc>
      </w:tr>
      <w:tr>
        <w:trPr>
          <w:trHeight w:val="313"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承诺方继续履行承</w:t>
            </w:r>
          </w:p>
        </w:tc>
      </w:tr>
      <w:tr>
        <w:trPr>
          <w:trHeight w:val="35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820"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r>
      <w:tr>
        <w:trPr>
          <w:trHeight w:val="362" w:hRule="exact"/>
        </w:trPr>
        <w:tc>
          <w:tcPr>
            <w:tcW w:w="1985"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鉴于公司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年发</w:t>
            </w:r>
          </w:p>
        </w:tc>
      </w:tr>
      <w:tr>
        <w:trPr>
          <w:trHeight w:val="306"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行股份及支付现金购</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买资产并募集配套资</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金及关联交易已经实</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施完毕，原承诺内容</w:t>
            </w: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、本人未负有数额</w:t>
            </w:r>
          </w:p>
        </w:tc>
      </w:tr>
      <w:tr>
        <w:trPr>
          <w:trHeight w:val="29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较大的到期未清偿债</w:t>
            </w: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、本人用于认购新开普本次募集配套资金非公开发行股份的</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pacing w:val="-7"/>
                <w:sz w:val="18"/>
                <w:szCs w:val="18"/>
              </w:rPr>
              <w:t>务；</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、本人未受过行</w:t>
            </w: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金来源为自有资金；本人前述认购资金将按照与新开普签署</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政处罚（与证券市场</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的《股份认购协议》约定的时间及时、足额缴纳，否则本人</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明显无关的除外）刑</w:t>
            </w:r>
          </w:p>
        </w:tc>
      </w:tr>
      <w:tr>
        <w:trPr>
          <w:trHeight w:val="936"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33"/>
              <w:jc w:val="left"/>
              <w:rPr>
                <w:rFonts w:ascii="宋体" w:hAnsi="宋体" w:cs="宋体" w:eastAsia="宋体" w:hint="default"/>
                <w:sz w:val="18"/>
                <w:szCs w:val="18"/>
              </w:rPr>
            </w:pPr>
            <w:r>
              <w:rPr>
                <w:rFonts w:ascii="宋体" w:hAnsi="宋体" w:cs="宋体" w:eastAsia="宋体" w:hint="default"/>
                <w:sz w:val="18"/>
                <w:szCs w:val="18"/>
              </w:rPr>
              <w:t>公司配套融资的 </w:t>
            </w:r>
            <w:r>
              <w:rPr>
                <w:rFonts w:ascii="宋体" w:hAnsi="宋体" w:cs="宋体" w:eastAsia="宋体" w:hint="default"/>
                <w:spacing w:val="-3"/>
                <w:sz w:val="18"/>
                <w:szCs w:val="18"/>
              </w:rPr>
              <w:t>认购对象罗会军、</w:t>
            </w:r>
            <w:r>
              <w:rPr>
                <w:rFonts w:ascii="宋体" w:hAnsi="宋体" w:cs="宋体" w:eastAsia="宋体" w:hint="default"/>
                <w:spacing w:val="-23"/>
                <w:sz w:val="18"/>
                <w:szCs w:val="18"/>
              </w:rPr>
              <w:t> </w:t>
            </w:r>
            <w:r>
              <w:rPr>
                <w:rFonts w:ascii="宋体" w:hAnsi="宋体" w:cs="宋体" w:eastAsia="宋体" w:hint="default"/>
                <w:sz w:val="18"/>
                <w:szCs w:val="18"/>
              </w:rPr>
              <w:t>柳楠、吴凤辉</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09" w:lineRule="auto" w:before="1"/>
              <w:ind w:left="22" w:right="23"/>
              <w:jc w:val="left"/>
              <w:rPr>
                <w:rFonts w:ascii="宋体" w:hAnsi="宋体" w:cs="宋体" w:eastAsia="宋体" w:hint="default"/>
                <w:sz w:val="18"/>
                <w:szCs w:val="18"/>
              </w:rPr>
            </w:pPr>
            <w:r>
              <w:rPr>
                <w:rFonts w:ascii="宋体" w:hAnsi="宋体" w:cs="宋体" w:eastAsia="宋体" w:hint="default"/>
                <w:sz w:val="18"/>
                <w:szCs w:val="18"/>
              </w:rPr>
              <w:t>将向新开普支付股份认购款总金额</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的违约金；本人资产状 况良好，用于认购新开普本次募集配套资金非公开发行股份 的资金来源真实合法、不存在违法违规的情形、不存在被有</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47"/>
              <w:jc w:val="both"/>
              <w:rPr>
                <w:rFonts w:ascii="宋体" w:hAnsi="宋体" w:cs="宋体" w:eastAsia="宋体" w:hint="default"/>
                <w:sz w:val="18"/>
                <w:szCs w:val="18"/>
              </w:rPr>
            </w:pPr>
            <w:r>
              <w:rPr>
                <w:rFonts w:ascii="宋体" w:hAnsi="宋体" w:cs="宋体" w:eastAsia="宋体" w:hint="default"/>
                <w:sz w:val="18"/>
                <w:szCs w:val="18"/>
              </w:rPr>
              <w:t>事处罚，未涉及与经 济纠纷有关的重大民 事诉讼或仲裁，不存</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关部门收缴、追索等法律风险；</w:t>
            </w:r>
            <w:r>
              <w:rPr>
                <w:rFonts w:ascii="Times New Roman" w:hAnsi="Times New Roman" w:cs="Times New Roman" w:eastAsia="Times New Roman" w:hint="default"/>
                <w:sz w:val="18"/>
                <w:szCs w:val="18"/>
              </w:rPr>
              <w:t>2</w:t>
            </w:r>
            <w:r>
              <w:rPr>
                <w:rFonts w:ascii="宋体" w:hAnsi="宋体" w:cs="宋体" w:eastAsia="宋体" w:hint="default"/>
                <w:sz w:val="18"/>
                <w:szCs w:val="18"/>
              </w:rPr>
              <w:t>、本人承诺遵守相关法律法</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在尚未了结的或可预</w:t>
            </w:r>
          </w:p>
        </w:tc>
      </w:tr>
      <w:tr>
        <w:trPr>
          <w:trHeight w:val="313"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规及监管部门规定的关于短线交易、内幕交易和高级管理人</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见的重大诉讼、仲裁</w:t>
            </w:r>
          </w:p>
        </w:tc>
      </w:tr>
      <w:tr>
        <w:trPr>
          <w:trHeight w:val="321"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员持股变动管理规则等的相关义务。</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或行政处罚案件，不</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存在被中国证监会或</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证券交易所采取监管</w:t>
            </w: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措施的情形；</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、本次</w:t>
            </w: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重大资产重组完成</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后，本人将直接持有</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新开普的股份，本人</w:t>
            </w:r>
          </w:p>
        </w:tc>
      </w:tr>
      <w:tr>
        <w:trPr>
          <w:trHeight w:val="318"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未就该等股份设置任</w:t>
            </w:r>
          </w:p>
        </w:tc>
      </w:tr>
    </w:tbl>
    <w:p>
      <w:pPr>
        <w:spacing w:after="0" w:line="240" w:lineRule="auto"/>
        <w:jc w:val="left"/>
        <w:rPr>
          <w:rFonts w:ascii="宋体" w:hAnsi="宋体" w:cs="宋体" w:eastAsia="宋体" w:hint="default"/>
          <w:sz w:val="18"/>
          <w:szCs w:val="18"/>
        </w:rPr>
        <w:sectPr>
          <w:pgSz w:w="16840" w:h="11910" w:orient="landscape"/>
          <w:pgMar w:header="867" w:footer="978" w:top="1060" w:bottom="1160" w:left="1320" w:right="1340"/>
        </w:sectPr>
      </w:pPr>
    </w:p>
    <w:tbl>
      <w:tblPr>
        <w:tblW w:w="0" w:type="auto"/>
        <w:jc w:val="left"/>
        <w:tblInd w:w="115" w:type="dxa"/>
        <w:tblLayout w:type="fixed"/>
        <w:tblCellMar>
          <w:top w:w="0" w:type="dxa"/>
          <w:left w:w="0" w:type="dxa"/>
          <w:bottom w:w="0" w:type="dxa"/>
          <w:right w:w="0" w:type="dxa"/>
        </w:tblCellMar>
        <w:tblLook w:val="01E0"/>
      </w:tblPr>
      <w:tblGrid>
        <w:gridCol w:w="1985"/>
        <w:gridCol w:w="1417"/>
        <w:gridCol w:w="1134"/>
        <w:gridCol w:w="4820"/>
        <w:gridCol w:w="1559"/>
        <w:gridCol w:w="1276"/>
        <w:gridCol w:w="1702"/>
      </w:tblGrid>
      <w:tr>
        <w:trPr>
          <w:trHeight w:val="331" w:hRule="exact"/>
        </w:trPr>
        <w:tc>
          <w:tcPr>
            <w:tcW w:w="1985"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4820" w:type="dxa"/>
            <w:vMerge w:val="restart"/>
            <w:tcBorders>
              <w:top w:val="single" w:sz="15" w:space="0" w:color="000000"/>
              <w:left w:val="single" w:sz="4" w:space="0" w:color="000000"/>
              <w:right w:val="single" w:sz="4" w:space="0" w:color="000000"/>
            </w:tcBorders>
          </w:tcPr>
          <w:p>
            <w:pPr/>
          </w:p>
        </w:tc>
        <w:tc>
          <w:tcPr>
            <w:tcW w:w="1559" w:type="dxa"/>
            <w:vMerge w:val="restart"/>
            <w:tcBorders>
              <w:top w:val="single" w:sz="15" w:space="0" w:color="000000"/>
              <w:left w:val="single" w:sz="4" w:space="0" w:color="000000"/>
              <w:right w:val="single" w:sz="4" w:space="0" w:color="000000"/>
            </w:tcBorders>
          </w:tcPr>
          <w:p>
            <w:pPr/>
          </w:p>
        </w:tc>
        <w:tc>
          <w:tcPr>
            <w:tcW w:w="1276" w:type="dxa"/>
            <w:vMerge w:val="restart"/>
            <w:tcBorders>
              <w:top w:val="single" w:sz="15" w:space="0" w:color="000000"/>
              <w:left w:val="single" w:sz="4" w:space="0" w:color="000000"/>
              <w:right w:val="single" w:sz="4" w:space="0" w:color="000000"/>
            </w:tcBorders>
          </w:tcPr>
          <w:p>
            <w:pPr/>
          </w:p>
        </w:tc>
        <w:tc>
          <w:tcPr>
            <w:tcW w:w="1702" w:type="dxa"/>
            <w:tcBorders>
              <w:top w:val="single" w:sz="15" w:space="0" w:color="000000"/>
              <w:left w:val="single" w:sz="4" w:space="0" w:color="000000"/>
              <w:bottom w:val="nil" w:sz="6" w:space="0" w:color="auto"/>
              <w:right w:val="single" w:sz="4" w:space="0" w:color="000000"/>
            </w:tcBorders>
          </w:tcPr>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pacing w:val="-8"/>
                <w:sz w:val="18"/>
                <w:szCs w:val="18"/>
              </w:rPr>
              <w:t>何质押、托管、委托</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信托、第三方权利、</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被依法限制表决权等</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情形，不存在代其他</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方持有的情形，不存</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在利益输送或其他权</w:t>
            </w: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2" w:right="0"/>
              <w:jc w:val="left"/>
              <w:rPr>
                <w:rFonts w:ascii="宋体" w:hAnsi="宋体" w:cs="宋体" w:eastAsia="宋体" w:hint="default"/>
                <w:sz w:val="18"/>
                <w:szCs w:val="18"/>
              </w:rPr>
            </w:pPr>
            <w:r>
              <w:rPr>
                <w:rFonts w:ascii="宋体" w:hAnsi="宋体" w:cs="宋体" w:eastAsia="宋体" w:hint="default"/>
                <w:spacing w:val="-7"/>
                <w:sz w:val="18"/>
                <w:szCs w:val="18"/>
              </w:rPr>
              <w:t>益安排；</w:t>
            </w:r>
            <w:r>
              <w:rPr>
                <w:rFonts w:ascii="Times New Roman" w:hAnsi="Times New Roman" w:cs="Times New Roman" w:eastAsia="Times New Roman" w:hint="default"/>
                <w:spacing w:val="-7"/>
                <w:sz w:val="18"/>
                <w:szCs w:val="18"/>
              </w:rPr>
              <w:t>6</w:t>
            </w:r>
            <w:r>
              <w:rPr>
                <w:rFonts w:ascii="宋体" w:hAnsi="宋体" w:cs="宋体" w:eastAsia="宋体" w:hint="default"/>
                <w:spacing w:val="-7"/>
                <w:sz w:val="18"/>
                <w:szCs w:val="18"/>
              </w:rPr>
              <w:t>、本人不存</w:t>
            </w: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22" w:right="0"/>
              <w:jc w:val="left"/>
              <w:rPr>
                <w:rFonts w:ascii="宋体" w:hAnsi="宋体" w:cs="宋体" w:eastAsia="宋体" w:hint="default"/>
                <w:sz w:val="18"/>
                <w:szCs w:val="18"/>
              </w:rPr>
            </w:pPr>
            <w:r>
              <w:rPr>
                <w:rFonts w:ascii="宋体" w:hAnsi="宋体" w:cs="宋体" w:eastAsia="宋体" w:hint="default"/>
                <w:sz w:val="18"/>
                <w:szCs w:val="18"/>
              </w:rPr>
              <w:t>在法律法规规定的不</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得认购上市公司非公</w:t>
            </w: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开发行股份的情形。</w:t>
            </w:r>
            <w:r>
              <w:rPr>
                <w:rFonts w:ascii="Times New Roman" w:hAnsi="Times New Roman" w:cs="Times New Roman" w:eastAsia="Times New Roman" w:hint="default"/>
                <w:spacing w:val="-5"/>
                <w:sz w:val="18"/>
                <w:szCs w:val="18"/>
              </w:rPr>
              <w:t>"</w:t>
            </w: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22" w:right="0"/>
              <w:jc w:val="left"/>
              <w:rPr>
                <w:rFonts w:ascii="宋体" w:hAnsi="宋体" w:cs="宋体" w:eastAsia="宋体" w:hint="default"/>
                <w:sz w:val="18"/>
                <w:szCs w:val="18"/>
              </w:rPr>
            </w:pPr>
            <w:r>
              <w:rPr>
                <w:rFonts w:ascii="宋体" w:hAnsi="宋体" w:cs="宋体" w:eastAsia="宋体" w:hint="default"/>
                <w:sz w:val="18"/>
                <w:szCs w:val="18"/>
              </w:rPr>
              <w:t>等内容已经履行完</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毕，其余承诺内容由</w:t>
            </w:r>
          </w:p>
        </w:tc>
      </w:tr>
      <w:tr>
        <w:trPr>
          <w:trHeight w:val="313"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承诺方继续履行承</w:t>
            </w:r>
          </w:p>
        </w:tc>
      </w:tr>
      <w:tr>
        <w:trPr>
          <w:trHeight w:val="35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820"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诺。</w:t>
            </w:r>
          </w:p>
        </w:tc>
      </w:tr>
      <w:tr>
        <w:trPr>
          <w:trHeight w:val="362" w:hRule="exact"/>
        </w:trPr>
        <w:tc>
          <w:tcPr>
            <w:tcW w:w="1985"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本次交易的交易对方承诺：</w:t>
            </w:r>
            <w:r>
              <w:rPr>
                <w:rFonts w:ascii="Times New Roman" w:hAnsi="Times New Roman" w:cs="Times New Roman" w:eastAsia="Times New Roman" w:hint="default"/>
                <w:sz w:val="18"/>
                <w:szCs w:val="18"/>
              </w:rPr>
              <w:t>1</w:t>
            </w:r>
            <w:r>
              <w:rPr>
                <w:rFonts w:ascii="宋体" w:hAnsi="宋体" w:cs="宋体" w:eastAsia="宋体" w:hint="default"/>
                <w:sz w:val="18"/>
                <w:szCs w:val="18"/>
              </w:rPr>
              <w:t>、于本协议签订之日，交易对方</w:t>
            </w:r>
          </w:p>
        </w:tc>
        <w:tc>
          <w:tcPr>
            <w:tcW w:w="1559"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21" w:lineRule="exact"/>
              <w:ind w:right="83"/>
              <w:jc w:val="center"/>
              <w:rPr>
                <w:rFonts w:ascii="宋体" w:hAnsi="宋体" w:cs="宋体" w:eastAsia="宋体" w:hint="default"/>
                <w:sz w:val="18"/>
                <w:szCs w:val="18"/>
              </w:rPr>
            </w:pPr>
            <w:r>
              <w:rPr>
                <w:rFonts w:ascii="宋体" w:hAnsi="宋体" w:cs="宋体" w:eastAsia="宋体" w:hint="default"/>
                <w:sz w:val="18"/>
                <w:szCs w:val="18"/>
              </w:rPr>
              <w:t>对标的资产具有合法、完整的所有权，有权签署本协议并转</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83"/>
              <w:jc w:val="center"/>
              <w:rPr>
                <w:rFonts w:ascii="宋体" w:hAnsi="宋体" w:cs="宋体" w:eastAsia="宋体" w:hint="default"/>
                <w:sz w:val="18"/>
                <w:szCs w:val="18"/>
              </w:rPr>
            </w:pPr>
            <w:r>
              <w:rPr>
                <w:rFonts w:ascii="宋体" w:hAnsi="宋体" w:cs="宋体" w:eastAsia="宋体" w:hint="default"/>
                <w:sz w:val="18"/>
                <w:szCs w:val="18"/>
              </w:rPr>
              <w:t>让标的资产，该等标的资产或与其相关的任何权利和利益，</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83"/>
              <w:jc w:val="center"/>
              <w:rPr>
                <w:rFonts w:ascii="宋体" w:hAnsi="宋体" w:cs="宋体" w:eastAsia="宋体" w:hint="default"/>
                <w:sz w:val="18"/>
                <w:szCs w:val="18"/>
              </w:rPr>
            </w:pPr>
            <w:r>
              <w:rPr>
                <w:rFonts w:ascii="宋体" w:hAnsi="宋体" w:cs="宋体" w:eastAsia="宋体" w:hint="default"/>
                <w:sz w:val="18"/>
                <w:szCs w:val="18"/>
              </w:rPr>
              <w:t>不存在司法冻结或为任何其他第三方设定质押、抵押或其他</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2496"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9" w:lineRule="auto" w:before="128"/>
              <w:ind w:left="22" w:right="22"/>
              <w:jc w:val="left"/>
              <w:rPr>
                <w:rFonts w:ascii="宋体" w:hAnsi="宋体" w:cs="宋体" w:eastAsia="宋体" w:hint="default"/>
                <w:sz w:val="18"/>
                <w:szCs w:val="18"/>
              </w:rPr>
            </w:pPr>
            <w:r>
              <w:rPr>
                <w:rFonts w:ascii="宋体" w:hAnsi="宋体" w:cs="宋体" w:eastAsia="宋体" w:hint="default"/>
                <w:sz w:val="18"/>
                <w:szCs w:val="18"/>
              </w:rPr>
              <w:t>现金购买资产的 </w:t>
            </w:r>
            <w:r>
              <w:rPr>
                <w:rFonts w:ascii="宋体" w:hAnsi="宋体" w:cs="宋体" w:eastAsia="宋体" w:hint="default"/>
                <w:spacing w:val="-10"/>
                <w:sz w:val="18"/>
                <w:szCs w:val="18"/>
              </w:rPr>
              <w:t>交易对方何伟、乔</w:t>
            </w:r>
            <w:r>
              <w:rPr>
                <w:rFonts w:ascii="宋体" w:hAnsi="宋体" w:cs="宋体" w:eastAsia="宋体" w:hint="default"/>
                <w:sz w:val="18"/>
                <w:szCs w:val="18"/>
              </w:rPr>
              <w:t> </w:t>
            </w:r>
            <w:r>
              <w:rPr>
                <w:rFonts w:ascii="宋体" w:hAnsi="宋体" w:cs="宋体" w:eastAsia="宋体" w:hint="default"/>
                <w:spacing w:val="-10"/>
                <w:sz w:val="18"/>
                <w:szCs w:val="18"/>
              </w:rPr>
              <w:t>志刚、杨宏生、周</w:t>
            </w:r>
            <w:r>
              <w:rPr>
                <w:rFonts w:ascii="宋体" w:hAnsi="宋体" w:cs="宋体" w:eastAsia="宋体" w:hint="default"/>
                <w:sz w:val="18"/>
                <w:szCs w:val="18"/>
              </w:rPr>
              <w:t> </w:t>
            </w:r>
            <w:r>
              <w:rPr>
                <w:rFonts w:ascii="宋体" w:hAnsi="宋体" w:cs="宋体" w:eastAsia="宋体" w:hint="default"/>
                <w:spacing w:val="-22"/>
                <w:sz w:val="18"/>
                <w:szCs w:val="18"/>
              </w:rPr>
              <w:t>华、王建成、吴琼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上海君略投资管</w:t>
            </w:r>
            <w:r>
              <w:rPr>
                <w:rFonts w:ascii="宋体" w:hAnsi="宋体" w:cs="宋体" w:eastAsia="宋体" w:hint="default"/>
                <w:sz w:val="18"/>
                <w:szCs w:val="18"/>
              </w:rPr>
              <w:t> </w:t>
            </w:r>
            <w:r>
              <w:rPr>
                <w:rFonts w:ascii="宋体" w:hAnsi="宋体" w:cs="宋体" w:eastAsia="宋体" w:hint="default"/>
                <w:spacing w:val="-10"/>
                <w:sz w:val="18"/>
                <w:szCs w:val="18"/>
              </w:rPr>
              <w:t>理合伙企业（有限</w:t>
            </w:r>
            <w:r>
              <w:rPr>
                <w:rFonts w:ascii="宋体" w:hAnsi="宋体" w:cs="宋体" w:eastAsia="宋体" w:hint="default"/>
                <w:sz w:val="18"/>
                <w:szCs w:val="18"/>
              </w:rPr>
              <w:t> 合伙）</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14" w:lineRule="auto"/>
              <w:ind w:left="22" w:right="21"/>
              <w:jc w:val="left"/>
              <w:rPr>
                <w:rFonts w:ascii="宋体" w:hAnsi="宋体" w:cs="宋体" w:eastAsia="宋体" w:hint="default"/>
                <w:sz w:val="18"/>
                <w:szCs w:val="18"/>
              </w:rPr>
            </w:pPr>
            <w:r>
              <w:rPr>
                <w:rFonts w:ascii="宋体" w:hAnsi="宋体" w:cs="宋体" w:eastAsia="宋体" w:hint="default"/>
                <w:sz w:val="18"/>
                <w:szCs w:val="18"/>
              </w:rPr>
              <w:t>承诺致使交易对方无法将本协议所述标的资产转让给新开普 的限制情形；新开普于标的资产交割日将享有作为标的资产 的所有者依法应享有的一切权利（包括但不限于依法占有、 </w:t>
            </w:r>
            <w:r>
              <w:rPr>
                <w:rFonts w:ascii="宋体" w:hAnsi="宋体" w:cs="宋体" w:eastAsia="宋体" w:hint="default"/>
                <w:spacing w:val="-4"/>
                <w:sz w:val="18"/>
                <w:szCs w:val="18"/>
              </w:rPr>
              <w:t>使用、收益和处分标的资产的权利）；标的资产并不会因中国</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法律或第三人的权利主张而被没收或扣押， 抵押或其他任何形式的负担。</w:t>
            </w:r>
            <w:r>
              <w:rPr>
                <w:rFonts w:ascii="Times New Roman" w:hAnsi="Times New Roman" w:cs="Times New Roman" w:eastAsia="Times New Roman" w:hint="default"/>
                <w:sz w:val="18"/>
                <w:szCs w:val="18"/>
              </w:rPr>
              <w:t>2</w:t>
            </w:r>
            <w:r>
              <w:rPr>
                <w:rFonts w:ascii="宋体" w:hAnsi="宋体" w:cs="宋体" w:eastAsia="宋体" w:hint="default"/>
                <w:sz w:val="18"/>
                <w:szCs w:val="18"/>
              </w:rPr>
              <w:t>、截至本协议签署日，交易对 方对标的资产的权利的行使没有侵犯任何第三方的在先权 利，并无任何第三方提出关于标的资产侵犯其合法权益的任</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319" w:lineRule="auto"/>
              <w:ind w:left="22" w:right="47"/>
              <w:jc w:val="left"/>
              <w:rPr>
                <w:rFonts w:ascii="宋体" w:hAnsi="宋体" w:cs="宋体" w:eastAsia="宋体" w:hint="default"/>
                <w:sz w:val="18"/>
                <w:szCs w:val="18"/>
              </w:rPr>
            </w:pPr>
            <w:r>
              <w:rPr>
                <w:rFonts w:ascii="宋体" w:hAnsi="宋体" w:cs="宋体" w:eastAsia="宋体" w:hint="default"/>
                <w:sz w:val="18"/>
                <w:szCs w:val="18"/>
              </w:rPr>
              <w:t>截至报告期末，上述 承诺人严格信守承 诺，未发生违反承诺 的情况。</w:t>
            </w: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1"/>
              <w:jc w:val="center"/>
              <w:rPr>
                <w:rFonts w:ascii="宋体" w:hAnsi="宋体" w:cs="宋体" w:eastAsia="宋体" w:hint="default"/>
                <w:sz w:val="18"/>
                <w:szCs w:val="18"/>
              </w:rPr>
            </w:pPr>
            <w:r>
              <w:rPr>
                <w:rFonts w:ascii="宋体" w:hAnsi="宋体" w:cs="宋体" w:eastAsia="宋体" w:hint="default"/>
                <w:sz w:val="18"/>
                <w:szCs w:val="18"/>
              </w:rPr>
              <w:t>何相关权利主张或要求。</w:t>
            </w:r>
            <w:r>
              <w:rPr>
                <w:rFonts w:ascii="Times New Roman" w:hAnsi="Times New Roman" w:cs="Times New Roman" w:eastAsia="Times New Roman" w:hint="default"/>
                <w:sz w:val="18"/>
                <w:szCs w:val="18"/>
              </w:rPr>
              <w:t>3</w:t>
            </w:r>
            <w:r>
              <w:rPr>
                <w:rFonts w:ascii="宋体" w:hAnsi="宋体" w:cs="宋体" w:eastAsia="宋体" w:hint="default"/>
                <w:sz w:val="18"/>
                <w:szCs w:val="18"/>
              </w:rPr>
              <w:t>、截至本协议签署日，无任何第三</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83"/>
              <w:jc w:val="center"/>
              <w:rPr>
                <w:rFonts w:ascii="宋体" w:hAnsi="宋体" w:cs="宋体" w:eastAsia="宋体" w:hint="default"/>
                <w:sz w:val="18"/>
                <w:szCs w:val="18"/>
              </w:rPr>
            </w:pPr>
            <w:r>
              <w:rPr>
                <w:rFonts w:ascii="宋体" w:hAnsi="宋体" w:cs="宋体" w:eastAsia="宋体" w:hint="default"/>
                <w:sz w:val="18"/>
                <w:szCs w:val="18"/>
              </w:rPr>
              <w:t>人就标的资产或其任何部分行使或声称将行使任何对标的资</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83"/>
              <w:jc w:val="center"/>
              <w:rPr>
                <w:rFonts w:ascii="宋体" w:hAnsi="宋体" w:cs="宋体" w:eastAsia="宋体" w:hint="default"/>
                <w:sz w:val="18"/>
                <w:szCs w:val="18"/>
              </w:rPr>
            </w:pPr>
            <w:r>
              <w:rPr>
                <w:rFonts w:ascii="宋体" w:hAnsi="宋体" w:cs="宋体" w:eastAsia="宋体" w:hint="default"/>
                <w:sz w:val="18"/>
                <w:szCs w:val="18"/>
              </w:rPr>
              <w:t>产有不利影响的权利；亦无任何直接或间接与标的资产有关</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18"/>
                <w:szCs w:val="18"/>
              </w:rPr>
            </w:pPr>
            <w:r>
              <w:rPr>
                <w:rFonts w:ascii="宋体" w:hAnsi="宋体" w:cs="宋体" w:eastAsia="宋体" w:hint="default"/>
                <w:sz w:val="18"/>
                <w:szCs w:val="18"/>
              </w:rPr>
              <w:t>的争议、行政处罚、诉讼或仲裁。</w:t>
            </w:r>
            <w:r>
              <w:rPr>
                <w:rFonts w:ascii="Times New Roman" w:hAnsi="Times New Roman" w:cs="Times New Roman" w:eastAsia="Times New Roman" w:hint="default"/>
                <w:sz w:val="18"/>
                <w:szCs w:val="18"/>
              </w:rPr>
              <w:t>4</w:t>
            </w:r>
            <w:r>
              <w:rPr>
                <w:rFonts w:ascii="宋体" w:hAnsi="宋体" w:cs="宋体" w:eastAsia="宋体" w:hint="default"/>
                <w:sz w:val="18"/>
                <w:szCs w:val="18"/>
              </w:rPr>
              <w:t>、自本协议签署之日起，</w:t>
            </w:r>
          </w:p>
        </w:tc>
        <w:tc>
          <w:tcPr>
            <w:tcW w:w="1559"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r>
    </w:tbl>
    <w:p>
      <w:pPr>
        <w:rPr>
          <w:sz w:val="2"/>
          <w:szCs w:val="2"/>
        </w:rPr>
      </w:pPr>
      <w:r>
        <w:rPr/>
        <w:pict>
          <v:shape style="position:absolute;margin-left:236.149597pt;margin-top:278.100006pt;width:62.45pt;height:251.6pt;mso-position-horizontal-relative:page;mso-position-vertical-relative:page;z-index:-15989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470.870819pt;margin-top:278.100006pt;width:146.65pt;height:251.6pt;mso-position-horizontal-relative:page;mso-position-vertical-relative:page;z-index:-15989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或被施加以质押、</w:t>
                  </w:r>
                </w:p>
              </w:txbxContent>
            </v:textbox>
            <w10:wrap type="none"/>
          </v:shape>
        </w:pict>
      </w:r>
      <w:r>
        <w:rPr/>
        <w:pict>
          <v:group style="position:absolute;margin-left:242.330994pt;margin-top:278.100006pt;width:56.25pt;height:251.6pt;mso-position-horizontal-relative:page;mso-position-vertical-relative:page;z-index:-1598896" coordorigin="4847,5562" coordsize="1125,5032">
            <v:group style="position:absolute;left:4847;top:5562;width:1125;height:5032" coordorigin="4847,5562" coordsize="1125,5032">
              <v:shape style="position:absolute;left:4847;top:5562;width:1125;height:5032" coordorigin="4847,5562" coordsize="1125,5032" path="m4847,5562l4847,10594,5971,10594,5971,5562,4847,5562xe" filled="true" fillcolor="#ffffff" stroked="false">
                <v:path arrowok="t"/>
                <v:fill type="solid"/>
              </v:shape>
            </v:group>
            <v:group style="position:absolute;left:4869;top:7882;width:1079;height:393" coordorigin="4869,7882" coordsize="1079,393">
              <v:shape style="position:absolute;left:4869;top:7882;width:1079;height:393" coordorigin="4869,7882" coordsize="1079,393" path="m4869,7882l4869,8274,5948,8274,5948,7882,4869,7882xe" filled="true" fillcolor="#ffffff" stroked="false">
                <v:path arrowok="t"/>
                <v:fill type="solid"/>
              </v:shape>
            </v:group>
            <w10:wrap type="none"/>
          </v:group>
        </w:pict>
      </w:r>
      <w:r>
        <w:rPr/>
        <w:pict>
          <v:group style="position:absolute;margin-left:540.049988pt;margin-top:278.100006pt;width:77.5pt;height:251.6pt;mso-position-horizontal-relative:page;mso-position-vertical-relative:page;z-index:-1598872" coordorigin="10801,5562" coordsize="1550,5032">
            <v:group style="position:absolute;left:10801;top:5562;width:1550;height:5032" coordorigin="10801,5562" coordsize="1550,5032">
              <v:shape style="position:absolute;left:10801;top:5562;width:1550;height:5032" coordorigin="10801,5562" coordsize="1550,5032" path="m10801,5562l12350,5562,12350,10594,10801,10594,10801,5562xe" filled="true" fillcolor="#ffffff" stroked="false">
                <v:path arrowok="t"/>
                <v:fill type="solid"/>
              </v:shape>
            </v:group>
            <v:group style="position:absolute;left:10824;top:7882;width:1503;height:393" coordorigin="10824,7882" coordsize="1503,393">
              <v:shape style="position:absolute;left:10824;top:7882;width:1503;height:393" coordorigin="10824,7882" coordsize="1503,393" path="m10824,7882l10824,8274,12326,8274,12326,7882,10824,7882xe" filled="true" fillcolor="#ffffff" stroked="false">
                <v:path arrowok="t"/>
                <v:fill type="solid"/>
              </v:shape>
            </v:group>
            <w10:wrap type="none"/>
          </v:group>
        </w:pict>
      </w:r>
    </w:p>
    <w:p>
      <w:pPr>
        <w:spacing w:after="0"/>
        <w:rPr>
          <w:sz w:val="2"/>
          <w:szCs w:val="2"/>
        </w:rPr>
        <w:sectPr>
          <w:headerReference w:type="default" r:id="rId23"/>
          <w:pgSz w:w="16840" w:h="11910" w:orient="landscape"/>
          <w:pgMar w:header="877" w:footer="978" w:top="1120" w:bottom="1160" w:left="1320" w:right="1340"/>
        </w:sectPr>
      </w:pPr>
    </w:p>
    <w:p>
      <w:pPr>
        <w:spacing w:line="240" w:lineRule="auto" w:before="4"/>
        <w:rPr>
          <w:rFonts w:ascii="Times New Roman" w:hAnsi="Times New Roman" w:cs="Times New Roman" w:eastAsia="Times New Roman" w:hint="default"/>
          <w:sz w:val="3"/>
          <w:szCs w:val="3"/>
        </w:rPr>
      </w:pPr>
      <w:r>
        <w:rPr/>
        <w:pict>
          <v:shape style="position:absolute;margin-left:236.149597pt;margin-top:168.899994pt;width:62.45pt;height:360.8pt;mso-position-horizontal-relative:page;mso-position-vertical-relative:page;z-index:-15988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416.869904pt;margin-top:168.899994pt;width:200.65pt;height:360.8pt;mso-position-horizontal-relative:page;mso-position-vertical-relative:page;z-index:-159882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上海树维及其分公司依法设立，</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6"/>
                      <w:szCs w:val="26"/>
                    </w:rPr>
                  </w:pPr>
                </w:p>
                <w:p>
                  <w:pPr>
                    <w:spacing w:before="0"/>
                    <w:ind w:left="484" w:right="0" w:firstLine="0"/>
                    <w:jc w:val="center"/>
                    <w:rPr>
                      <w:rFonts w:ascii="宋体" w:hAnsi="宋体" w:cs="宋体" w:eastAsia="宋体" w:hint="default"/>
                      <w:sz w:val="18"/>
                      <w:szCs w:val="18"/>
                    </w:rPr>
                  </w:pPr>
                  <w:r>
                    <w:rPr>
                      <w:rFonts w:ascii="宋体" w:hAnsi="宋体" w:cs="宋体" w:eastAsia="宋体" w:hint="default"/>
                      <w:sz w:val="18"/>
                      <w:szCs w:val="18"/>
                    </w:rPr>
                    <w:t>认购、</w:t>
                  </w:r>
                </w:p>
              </w:txbxContent>
            </v:textbox>
            <w10:wrap type="none"/>
          </v:shape>
        </w:pict>
      </w:r>
      <w:r>
        <w:rPr/>
        <w:pict>
          <v:group style="position:absolute;margin-left:242.330994pt;margin-top:168.899994pt;width:56.25pt;height:360.8pt;mso-position-horizontal-relative:page;mso-position-vertical-relative:page;z-index:-1598800" coordorigin="4847,3378" coordsize="1125,7216">
            <v:group style="position:absolute;left:4847;top:3378;width:1125;height:7216" coordorigin="4847,3378" coordsize="1125,7216">
              <v:shape style="position:absolute;left:4847;top:3378;width:1125;height:7216" coordorigin="4847,3378" coordsize="1125,7216" path="m4847,3378l4847,10594,5971,10594,5971,3378,4847,3378xe" filled="true" fillcolor="#ffffff" stroked="false">
                <v:path arrowok="t"/>
                <v:fill type="solid"/>
              </v:shape>
            </v:group>
            <v:group style="position:absolute;left:4869;top:6790;width:1079;height:393" coordorigin="4869,6790" coordsize="1079,393">
              <v:shape style="position:absolute;left:4869;top:6790;width:1079;height:393" coordorigin="4869,6790" coordsize="1079,393" path="m4869,6790l4869,7182,5948,7182,5948,6790,4869,6790xe" filled="true" fillcolor="#ffffff" stroked="false">
                <v:path arrowok="t"/>
                <v:fill type="solid"/>
              </v:shape>
            </v:group>
            <w10:wrap type="none"/>
          </v:group>
        </w:pict>
      </w:r>
      <w:r>
        <w:rPr/>
        <w:pict>
          <v:group style="position:absolute;margin-left:540.049988pt;margin-top:168.899994pt;width:77.5pt;height:360.8pt;mso-position-horizontal-relative:page;mso-position-vertical-relative:page;z-index:-1598776" coordorigin="10801,3378" coordsize="1550,7216">
            <v:group style="position:absolute;left:10801;top:3378;width:1550;height:7216" coordorigin="10801,3378" coordsize="1550,7216">
              <v:shape style="position:absolute;left:10801;top:3378;width:1550;height:7216" coordorigin="10801,3378" coordsize="1550,7216" path="m10801,3378l12350,3378,12350,10594,10801,10594,10801,3378xe" filled="true" fillcolor="#ffffff" stroked="false">
                <v:path arrowok="t"/>
                <v:fill type="solid"/>
              </v:shape>
            </v:group>
            <v:group style="position:absolute;left:10824;top:6790;width:1503;height:393" coordorigin="10824,6790" coordsize="1503,393">
              <v:shape style="position:absolute;left:10824;top:6790;width:1503;height:393" coordorigin="10824,6790" coordsize="1503,393" path="m10824,6790l10824,7182,12326,7182,12326,6790,10824,6790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985"/>
        <w:gridCol w:w="1417"/>
        <w:gridCol w:w="1134"/>
        <w:gridCol w:w="4820"/>
        <w:gridCol w:w="1559"/>
        <w:gridCol w:w="1276"/>
        <w:gridCol w:w="1702"/>
      </w:tblGrid>
      <w:tr>
        <w:trPr>
          <w:trHeight w:val="331" w:hRule="exact"/>
        </w:trPr>
        <w:tc>
          <w:tcPr>
            <w:tcW w:w="1985"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482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交易对方保证不会对标的资产进行再次出售、抵押、质押、</w:t>
            </w:r>
          </w:p>
        </w:tc>
        <w:tc>
          <w:tcPr>
            <w:tcW w:w="1559" w:type="dxa"/>
            <w:vMerge w:val="restart"/>
            <w:tcBorders>
              <w:top w:val="single" w:sz="15" w:space="0" w:color="000000"/>
              <w:left w:val="single" w:sz="4" w:space="0" w:color="000000"/>
              <w:right w:val="single" w:sz="4" w:space="0" w:color="000000"/>
            </w:tcBorders>
          </w:tcPr>
          <w:p>
            <w:pPr/>
          </w:p>
        </w:tc>
        <w:tc>
          <w:tcPr>
            <w:tcW w:w="1276" w:type="dxa"/>
            <w:vMerge w:val="restart"/>
            <w:tcBorders>
              <w:top w:val="single" w:sz="15" w:space="0" w:color="000000"/>
              <w:left w:val="single" w:sz="4" w:space="0" w:color="000000"/>
              <w:right w:val="single" w:sz="4" w:space="0" w:color="000000"/>
            </w:tcBorders>
          </w:tcPr>
          <w:p>
            <w:pPr/>
          </w:p>
        </w:tc>
        <w:tc>
          <w:tcPr>
            <w:tcW w:w="1702" w:type="dxa"/>
            <w:vMerge w:val="restart"/>
            <w:tcBorders>
              <w:top w:val="single" w:sz="15" w:space="0" w:color="000000"/>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托管或设置任何形式的权利负担或第三方权利（包括优先购</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买权或购股权等</w:t>
            </w:r>
            <w:r>
              <w:rPr>
                <w:rFonts w:ascii="宋体" w:hAnsi="宋体" w:cs="宋体" w:eastAsia="宋体" w:hint="default"/>
                <w:spacing w:val="-9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亦不就标的资产的转让</w:t>
            </w:r>
            <w:r>
              <w:rPr>
                <w:rFonts w:ascii="宋体" w:hAnsi="宋体" w:cs="宋体" w:eastAsia="宋体" w:hint="default"/>
                <w:spacing w:val="-2"/>
                <w:sz w:val="18"/>
                <w:szCs w:val="18"/>
              </w:rPr>
              <w:t>、</w:t>
            </w:r>
            <w:r>
              <w:rPr>
                <w:rFonts w:ascii="宋体" w:hAnsi="宋体" w:cs="宋体" w:eastAsia="宋体" w:hint="default"/>
                <w:sz w:val="18"/>
                <w:szCs w:val="18"/>
              </w:rPr>
              <w:t>抵押</w:t>
            </w:r>
            <w:r>
              <w:rPr>
                <w:rFonts w:ascii="宋体" w:hAnsi="宋体" w:cs="宋体" w:eastAsia="宋体" w:hint="default"/>
                <w:spacing w:val="-2"/>
                <w:sz w:val="18"/>
                <w:szCs w:val="18"/>
              </w:rPr>
              <w:t>、</w:t>
            </w:r>
            <w:r>
              <w:rPr>
                <w:rFonts w:ascii="宋体" w:hAnsi="宋体" w:cs="宋体" w:eastAsia="宋体" w:hint="default"/>
                <w:sz w:val="18"/>
                <w:szCs w:val="18"/>
              </w:rPr>
              <w:t>质</w:t>
            </w:r>
            <w:r>
              <w:rPr>
                <w:rFonts w:ascii="宋体" w:hAnsi="宋体" w:cs="宋体" w:eastAsia="宋体" w:hint="default"/>
                <w:spacing w:val="-2"/>
                <w:sz w:val="18"/>
                <w:szCs w:val="18"/>
              </w:rPr>
              <w:t>押、</w:t>
            </w:r>
            <w:r>
              <w:rPr>
                <w:rFonts w:ascii="宋体" w:hAnsi="宋体" w:cs="宋体" w:eastAsia="宋体" w:hint="default"/>
                <w:sz w:val="18"/>
                <w:szCs w:val="18"/>
              </w:rPr>
              <w:t>托</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管或设置任何形式的权利负担或第三方权利等事宜与其它任</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何第三方进行交易性接触，签订备忘录、合同书、谅解备忘</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3"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录，或与标的资产转让相冲突、或包含禁止或限制标的资产</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转让条款的各种形式的法律文件。</w:t>
            </w:r>
          </w:p>
        </w:tc>
        <w:tc>
          <w:tcPr>
            <w:tcW w:w="155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362" w:hRule="exact"/>
        </w:trPr>
        <w:tc>
          <w:tcPr>
            <w:tcW w:w="1985"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本次交易的交易对方承诺：</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p>
        </w:tc>
        <w:tc>
          <w:tcPr>
            <w:tcW w:w="1559"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且自设立以来持续合法经营；上海树维及其分公司的注册资</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本均已由股东全额缴纳，上海树维及其分公司不存在出资不</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实或影响其合法存续的情形；上海树维及其分公司的历次出</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资、股权转让及其他公司变更均已取得主管部门的批准和内</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部决策机构的授权，并已完成法律、法规、其他规范性文件</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或监管规则所要求的程序，合法有效，有关出资款或股权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29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份转让款均按时、足额支付，资金来源合法，并依法办理了</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现金购买资产的</w:t>
            </w: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必要的批准、登记或备案程序，不存在任何虚假出资、抽逃</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1561"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22"/>
              <w:jc w:val="left"/>
              <w:rPr>
                <w:rFonts w:ascii="宋体" w:hAnsi="宋体" w:cs="宋体" w:eastAsia="宋体" w:hint="default"/>
                <w:sz w:val="18"/>
                <w:szCs w:val="18"/>
              </w:rPr>
            </w:pPr>
            <w:r>
              <w:rPr>
                <w:rFonts w:ascii="宋体" w:hAnsi="宋体" w:cs="宋体" w:eastAsia="宋体" w:hint="default"/>
                <w:spacing w:val="-10"/>
                <w:sz w:val="18"/>
                <w:szCs w:val="18"/>
              </w:rPr>
              <w:t>交易对方何伟、乔</w:t>
            </w:r>
            <w:r>
              <w:rPr>
                <w:rFonts w:ascii="宋体" w:hAnsi="宋体" w:cs="宋体" w:eastAsia="宋体" w:hint="default"/>
                <w:sz w:val="18"/>
                <w:szCs w:val="18"/>
              </w:rPr>
              <w:t> </w:t>
            </w:r>
            <w:r>
              <w:rPr>
                <w:rFonts w:ascii="宋体" w:hAnsi="宋体" w:cs="宋体" w:eastAsia="宋体" w:hint="default"/>
                <w:spacing w:val="-10"/>
                <w:sz w:val="18"/>
                <w:szCs w:val="18"/>
              </w:rPr>
              <w:t>志刚、杨宏生、周</w:t>
            </w:r>
            <w:r>
              <w:rPr>
                <w:rFonts w:ascii="宋体" w:hAnsi="宋体" w:cs="宋体" w:eastAsia="宋体" w:hint="default"/>
                <w:sz w:val="18"/>
                <w:szCs w:val="18"/>
              </w:rPr>
              <w:t> </w:t>
            </w:r>
            <w:r>
              <w:rPr>
                <w:rFonts w:ascii="宋体" w:hAnsi="宋体" w:cs="宋体" w:eastAsia="宋体" w:hint="default"/>
                <w:spacing w:val="-22"/>
                <w:sz w:val="18"/>
                <w:szCs w:val="18"/>
              </w:rPr>
              <w:t>华、王建成、吴琼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上海君略投资管</w:t>
            </w:r>
            <w:r>
              <w:rPr>
                <w:rFonts w:ascii="宋体" w:hAnsi="宋体" w:cs="宋体" w:eastAsia="宋体" w:hint="default"/>
                <w:sz w:val="18"/>
                <w:szCs w:val="18"/>
              </w:rPr>
              <w:t> </w:t>
            </w:r>
            <w:r>
              <w:rPr>
                <w:rFonts w:ascii="宋体" w:hAnsi="宋体" w:cs="宋体" w:eastAsia="宋体" w:hint="default"/>
                <w:spacing w:val="-10"/>
                <w:sz w:val="18"/>
                <w:szCs w:val="18"/>
              </w:rPr>
              <w:t>理合伙企业（有限</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107"/>
              <w:jc w:val="left"/>
              <w:rPr>
                <w:rFonts w:ascii="宋体" w:hAnsi="宋体" w:cs="宋体" w:eastAsia="宋体" w:hint="default"/>
                <w:sz w:val="18"/>
                <w:szCs w:val="18"/>
              </w:rPr>
            </w:pPr>
            <w:r>
              <w:rPr>
                <w:rFonts w:ascii="宋体" w:hAnsi="宋体" w:cs="宋体" w:eastAsia="宋体" w:hint="default"/>
                <w:sz w:val="18"/>
                <w:szCs w:val="18"/>
              </w:rPr>
              <w:t>出资等违反股东所应当承担的义务及责任的行为，不存在虚 假转让、以合法形式掩盖非法目的等违法情况；上海树维及 其分公司不存在依据有关法律规定及其章程需要终止的情 形；提供的关于上海树维及其分公司合法存续以及设立以来 股权变动的相关资料及说明是真实、准确、完整的，没有任</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319" w:lineRule="auto" w:before="157"/>
              <w:ind w:left="22" w:right="47"/>
              <w:jc w:val="left"/>
              <w:rPr>
                <w:rFonts w:ascii="宋体" w:hAnsi="宋体" w:cs="宋体" w:eastAsia="宋体" w:hint="default"/>
                <w:sz w:val="18"/>
                <w:szCs w:val="18"/>
              </w:rPr>
            </w:pPr>
            <w:r>
              <w:rPr>
                <w:rFonts w:ascii="宋体" w:hAnsi="宋体" w:cs="宋体" w:eastAsia="宋体" w:hint="default"/>
                <w:sz w:val="18"/>
                <w:szCs w:val="18"/>
              </w:rPr>
              <w:t>截至报告期末，上述 承诺人严格信守承 诺，未发生违反承诺 的情况。</w:t>
            </w:r>
          </w:p>
        </w:tc>
      </w:tr>
      <w:tr>
        <w:trPr>
          <w:trHeight w:val="326"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何隐瞒或重大误导。</w:t>
            </w:r>
            <w:r>
              <w:rPr>
                <w:rFonts w:ascii="Times New Roman" w:hAnsi="Times New Roman" w:cs="Times New Roman" w:eastAsia="Times New Roman" w:hint="default"/>
                <w:sz w:val="18"/>
                <w:szCs w:val="18"/>
              </w:rPr>
              <w:t>2</w:t>
            </w:r>
            <w:r>
              <w:rPr>
                <w:rFonts w:ascii="宋体" w:hAnsi="宋体" w:cs="宋体" w:eastAsia="宋体" w:hint="default"/>
                <w:sz w:val="18"/>
                <w:szCs w:val="18"/>
              </w:rPr>
              <w:t>、上海树维及其分公司不存在任何尚未</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审批（如需）或备案登记的股东或第三人向上海树维及其分</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公司投资（包括但不限于增资、股权转让）的合同、协议、</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相关文件或相关安排；除了法律法规明文赋予的权利且已向</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新开普披露的情形外，不存在任何约定上海树维及其分公司</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与其股东之间权利义务（包括但不限于优先购买、优先</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股权回售和赎回、优先清算、股权调整以及其他任何形式的</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股权或现金补偿等）的合同、协议、相关文件或相关安排；</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上海树维及其分公司不存在其他任何如果实施、履行将导致</w:t>
            </w:r>
          </w:p>
        </w:tc>
        <w:tc>
          <w:tcPr>
            <w:tcW w:w="1559"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r>
    </w:tbl>
    <w:p>
      <w:pPr>
        <w:spacing w:after="0"/>
        <w:sectPr>
          <w:headerReference w:type="default" r:id="rId24"/>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r>
        <w:rPr/>
        <w:pict>
          <v:shape style="position:absolute;margin-left:515.870789pt;margin-top:57.18pt;width:101.65pt;height:468pt;mso-position-horizontal-relative:page;mso-position-vertical-relative:page;z-index:-15987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同意、</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1985"/>
        <w:gridCol w:w="1417"/>
        <w:gridCol w:w="1134"/>
        <w:gridCol w:w="4820"/>
        <w:gridCol w:w="1559"/>
        <w:gridCol w:w="1276"/>
        <w:gridCol w:w="1702"/>
      </w:tblGrid>
      <w:tr>
        <w:trPr>
          <w:trHeight w:val="331" w:hRule="exact"/>
        </w:trPr>
        <w:tc>
          <w:tcPr>
            <w:tcW w:w="1985"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482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股东股权清晰、稳定受到影响或存在重大不确定性的合同、</w:t>
            </w:r>
          </w:p>
        </w:tc>
        <w:tc>
          <w:tcPr>
            <w:tcW w:w="1559" w:type="dxa"/>
            <w:vMerge w:val="restart"/>
            <w:tcBorders>
              <w:top w:val="single" w:sz="15" w:space="0" w:color="000000"/>
              <w:left w:val="single" w:sz="4" w:space="0" w:color="000000"/>
              <w:right w:val="single" w:sz="4" w:space="0" w:color="000000"/>
            </w:tcBorders>
          </w:tcPr>
          <w:p>
            <w:pPr>
              <w:pStyle w:val="TableParagraph"/>
              <w:spacing w:line="936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77.5pt;height:468pt;mso-position-horizontal-relative:char;mso-position-vertical-relative:line" coordorigin="0,0" coordsize="1550,9360">
                  <v:group style="position:absolute;left:0;top:0;width:1550;height:9360" coordorigin="0,0" coordsize="1550,9360">
                    <v:shape style="position:absolute;left:0;top:0;width:1550;height:9360" coordorigin="0,0" coordsize="1550,9360" path="m0,0l1549,0,1549,9360,0,9360,0,0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1276" w:type="dxa"/>
            <w:vMerge w:val="restart"/>
            <w:tcBorders>
              <w:top w:val="single" w:sz="15" w:space="0" w:color="000000"/>
              <w:left w:val="single" w:sz="4" w:space="0" w:color="000000"/>
              <w:right w:val="single" w:sz="4" w:space="0" w:color="000000"/>
            </w:tcBorders>
          </w:tcPr>
          <w:p>
            <w:pPr/>
          </w:p>
        </w:tc>
        <w:tc>
          <w:tcPr>
            <w:tcW w:w="1702" w:type="dxa"/>
            <w:vMerge w:val="restart"/>
            <w:tcBorders>
              <w:top w:val="single" w:sz="15" w:space="0" w:color="000000"/>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协议、相关文件或相关安排。</w:t>
            </w:r>
            <w:r>
              <w:rPr>
                <w:rFonts w:ascii="Times New Roman" w:hAnsi="Times New Roman" w:cs="Times New Roman" w:eastAsia="Times New Roman" w:hint="default"/>
                <w:sz w:val="18"/>
                <w:szCs w:val="18"/>
              </w:rPr>
              <w:t>3</w:t>
            </w:r>
            <w:r>
              <w:rPr>
                <w:rFonts w:ascii="宋体" w:hAnsi="宋体" w:cs="宋体" w:eastAsia="宋体" w:hint="default"/>
                <w:sz w:val="18"/>
                <w:szCs w:val="18"/>
              </w:rPr>
              <w:t>、上海树维及其分公司已分别</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合法取得生产经营活动所需的全部证照、批准、批复、</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授权和许可，且现有业务所需的全部证照、批准、批复、同</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意、授权和许可均有效存在；上海树维及其分公司不存在任</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何违反或超出上述证照、批准、批复、同意、授权和许可要</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求的行为或者情形；上海树维及其分公司不存在任何尚未取</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得相关必备证照、批准、批复、同意、授权和许可而违规开</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展业务的情况。</w:t>
            </w:r>
            <w:r>
              <w:rPr>
                <w:rFonts w:ascii="Times New Roman" w:hAnsi="Times New Roman" w:cs="Times New Roman" w:eastAsia="Times New Roman" w:hint="default"/>
                <w:sz w:val="18"/>
                <w:szCs w:val="18"/>
              </w:rPr>
              <w:t>4</w:t>
            </w:r>
            <w:r>
              <w:rPr>
                <w:rFonts w:ascii="宋体" w:hAnsi="宋体" w:cs="宋体" w:eastAsia="宋体" w:hint="default"/>
                <w:sz w:val="18"/>
                <w:szCs w:val="18"/>
              </w:rPr>
              <w:t>、对新开普披露的上海树维及其分公司的对</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外投资情况是真实、准确、完整的，上海树维及其分公司没</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有在任何其他公司、企业及实体中持有股权、股份、股票、</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可转换公司债券等资本性权益。</w:t>
            </w:r>
            <w:r>
              <w:rPr>
                <w:rFonts w:ascii="Times New Roman" w:hAnsi="Times New Roman" w:cs="Times New Roman" w:eastAsia="Times New Roman" w:hint="default"/>
                <w:sz w:val="18"/>
                <w:szCs w:val="18"/>
              </w:rPr>
              <w:t>5</w:t>
            </w:r>
            <w:r>
              <w:rPr>
                <w:rFonts w:ascii="宋体" w:hAnsi="宋体" w:cs="宋体" w:eastAsia="宋体" w:hint="default"/>
                <w:sz w:val="18"/>
                <w:szCs w:val="18"/>
              </w:rPr>
              <w:t>、上海树维及其分公司拥有</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其正常经营所需要的全部资产，包括但不限于固定资产、流</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动资金、知识产权等，该等资产均处于良好状态，具备正常</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的功能或适用性，不存在可能危及上海树维及其分公司正常</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经营的情形，且在可预见的将来不需要发生不合理的重大支</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w:t>
            </w:r>
            <w:r>
              <w:rPr>
                <w:rFonts w:ascii="Times New Roman" w:hAnsi="Times New Roman" w:cs="Times New Roman" w:eastAsia="Times New Roman" w:hint="default"/>
                <w:sz w:val="18"/>
                <w:szCs w:val="18"/>
              </w:rPr>
              <w:t>6</w:t>
            </w:r>
            <w:r>
              <w:rPr>
                <w:rFonts w:ascii="宋体" w:hAnsi="宋体" w:cs="宋体" w:eastAsia="宋体" w:hint="default"/>
                <w:sz w:val="18"/>
                <w:szCs w:val="18"/>
              </w:rPr>
              <w:t>、对于向新开普披露的属于上海树维及其分公司的任何</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资产，完全为上海树维及其分公司所合法拥有、管理、控制</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和经营，不存在任何权属瑕疵，不附带任何负债或其他潜在</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责任，不存在侵犯任何第三方合法权益的情形，亦不存在任</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何针对上述资产的诉讼、仲裁或争议等；上述资产所需之批</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准文件、注册、登记和其他手续已全部取得或完成，并仍然</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有效；该等资产上不存在任何抵押、质押或其它担保权利；</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该等资产不存在下列任何情况</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）任何对该等资产的信托</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或类似的安排，或（</w:t>
            </w:r>
            <w:r>
              <w:rPr>
                <w:rFonts w:ascii="Times New Roman" w:hAnsi="Times New Roman" w:cs="Times New Roman" w:eastAsia="Times New Roman" w:hint="default"/>
                <w:sz w:val="18"/>
                <w:szCs w:val="18"/>
              </w:rPr>
              <w:t>2</w:t>
            </w:r>
            <w:r>
              <w:rPr>
                <w:rFonts w:ascii="宋体" w:hAnsi="宋体" w:cs="宋体" w:eastAsia="宋体" w:hint="default"/>
                <w:sz w:val="18"/>
                <w:szCs w:val="18"/>
              </w:rPr>
              <w:t>）任何司法或行政部门对该等资产实施</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的查封、扣留、冻结或强制转让措施，或（</w:t>
            </w:r>
            <w:r>
              <w:rPr>
                <w:rFonts w:ascii="Times New Roman" w:hAnsi="Times New Roman" w:cs="Times New Roman" w:eastAsia="Times New Roman" w:hint="default"/>
                <w:sz w:val="18"/>
                <w:szCs w:val="18"/>
              </w:rPr>
              <w:t>3</w:t>
            </w:r>
            <w:r>
              <w:rPr>
                <w:rFonts w:ascii="宋体" w:hAnsi="宋体" w:cs="宋体" w:eastAsia="宋体" w:hint="default"/>
                <w:sz w:val="18"/>
                <w:szCs w:val="18"/>
              </w:rPr>
              <w:t>）任何可能影响</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到对该等资产享有权利和权益的情况，或可能致使任何第三</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人直接或者间接获取任何该等资产的权利和权益的情况。</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上海树维及其分公司租赁的不动产属于依法可用于该项租赁</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8"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之目的的不动产，且租赁合同合法有效，上海树维及其分公</w:t>
            </w:r>
          </w:p>
        </w:tc>
        <w:tc>
          <w:tcPr>
            <w:tcW w:w="155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r>
        <w:rPr/>
        <w:pict>
          <v:shape style="position:absolute;margin-left:488.929321pt;margin-top:57.18pt;width:128.6pt;height:468pt;mso-position-horizontal-relative:page;mso-position-vertical-relative:page;z-index:-15986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法规的情况，</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1985"/>
        <w:gridCol w:w="1417"/>
        <w:gridCol w:w="1134"/>
        <w:gridCol w:w="4820"/>
        <w:gridCol w:w="1559"/>
        <w:gridCol w:w="1276"/>
        <w:gridCol w:w="1702"/>
      </w:tblGrid>
      <w:tr>
        <w:trPr>
          <w:trHeight w:val="336" w:hRule="exact"/>
        </w:trPr>
        <w:tc>
          <w:tcPr>
            <w:tcW w:w="1985"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482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司有权按照租赁用途占有、使用该等租赁不动产。</w:t>
            </w:r>
            <w:r>
              <w:rPr>
                <w:rFonts w:ascii="Times New Roman" w:hAnsi="Times New Roman" w:cs="Times New Roman" w:eastAsia="Times New Roman" w:hint="default"/>
                <w:sz w:val="18"/>
                <w:szCs w:val="18"/>
              </w:rPr>
              <w:t>8</w:t>
            </w:r>
            <w:r>
              <w:rPr>
                <w:rFonts w:ascii="宋体" w:hAnsi="宋体" w:cs="宋体" w:eastAsia="宋体" w:hint="default"/>
                <w:sz w:val="18"/>
                <w:szCs w:val="18"/>
              </w:rPr>
              <w:t>、上海树</w:t>
            </w:r>
          </w:p>
        </w:tc>
        <w:tc>
          <w:tcPr>
            <w:tcW w:w="1559" w:type="dxa"/>
            <w:vMerge w:val="restart"/>
            <w:tcBorders>
              <w:top w:val="single" w:sz="15" w:space="0" w:color="000000"/>
              <w:left w:val="single" w:sz="4" w:space="0" w:color="000000"/>
              <w:right w:val="single" w:sz="4" w:space="0" w:color="000000"/>
            </w:tcBorders>
          </w:tcPr>
          <w:p>
            <w:pPr>
              <w:pStyle w:val="TableParagraph"/>
              <w:spacing w:line="936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77.5pt;height:468pt;mso-position-horizontal-relative:char;mso-position-vertical-relative:line" coordorigin="0,0" coordsize="1550,9360">
                  <v:group style="position:absolute;left:0;top:0;width:1550;height:9360" coordorigin="0,0" coordsize="1550,9360">
                    <v:shape style="position:absolute;left:0;top:0;width:1550;height:9360" coordorigin="0,0" coordsize="1550,9360" path="m0,0l1549,0,1549,9360,0,9360,0,0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1276" w:type="dxa"/>
            <w:vMerge w:val="restart"/>
            <w:tcBorders>
              <w:top w:val="single" w:sz="15" w:space="0" w:color="000000"/>
              <w:left w:val="single" w:sz="4" w:space="0" w:color="000000"/>
              <w:right w:val="single" w:sz="4" w:space="0" w:color="000000"/>
            </w:tcBorders>
          </w:tcPr>
          <w:p>
            <w:pPr/>
          </w:p>
        </w:tc>
        <w:tc>
          <w:tcPr>
            <w:tcW w:w="1702" w:type="dxa"/>
            <w:vMerge w:val="restart"/>
            <w:tcBorders>
              <w:top w:val="single" w:sz="15" w:space="0" w:color="000000"/>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维及其分公司对与其主营业务相关的知识产权合法取得、有</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效拥有，未侵犯任何第三人合法权益的行为。</w:t>
            </w:r>
            <w:r>
              <w:rPr>
                <w:rFonts w:ascii="Times New Roman" w:hAnsi="Times New Roman" w:cs="Times New Roman" w:eastAsia="Times New Roman" w:hint="default"/>
                <w:sz w:val="18"/>
                <w:szCs w:val="18"/>
              </w:rPr>
              <w:t>9</w:t>
            </w:r>
            <w:r>
              <w:rPr>
                <w:rFonts w:ascii="宋体" w:hAnsi="宋体" w:cs="宋体" w:eastAsia="宋体" w:hint="default"/>
                <w:sz w:val="18"/>
                <w:szCs w:val="18"/>
              </w:rPr>
              <w:t>、上海树维及</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其分公司完全是依照《公司法》及有关法律法规经营、运作</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和管理的，不存在违反《公司法》及其他法律、</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也不存在因违反《公司法》及其他法律法规而导致的行政责</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任、民事责任或其他责任。</w:t>
            </w:r>
            <w:r>
              <w:rPr>
                <w:rFonts w:ascii="Times New Roman" w:hAnsi="Times New Roman" w:cs="Times New Roman" w:eastAsia="Times New Roman" w:hint="default"/>
                <w:sz w:val="18"/>
                <w:szCs w:val="18"/>
              </w:rPr>
              <w:t>10</w:t>
            </w:r>
            <w:r>
              <w:rPr>
                <w:rFonts w:ascii="宋体" w:hAnsi="宋体" w:cs="宋体" w:eastAsia="宋体" w:hint="default"/>
                <w:sz w:val="18"/>
                <w:szCs w:val="18"/>
              </w:rPr>
              <w:t>、上海树维及其分公司向新开</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普提供的各项财务报表及账目反映了上海树维及其分公司在</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相关报表日的真实的业务状况，并且包括了应当予以记录之</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全部信息的完整、准确且无误导的记录内容；除上海树维及</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其分公司向新开普提供的各项财务报表及账目反映的情况</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外，上海树维及其分公司没有任何其他的未偿还贷款、应付</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帐款、其他应付款或其他形式的负债（包括对实际控制人的</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负债</w:t>
            </w:r>
            <w:r>
              <w:rPr>
                <w:rFonts w:ascii="宋体" w:hAnsi="宋体" w:cs="宋体" w:eastAsia="宋体" w:hint="default"/>
                <w:spacing w:val="-90"/>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没有无对价支出</w:t>
            </w:r>
            <w:r>
              <w:rPr>
                <w:rFonts w:ascii="宋体" w:hAnsi="宋体" w:cs="宋体" w:eastAsia="宋体" w:hint="default"/>
                <w:spacing w:val="-3"/>
                <w:sz w:val="18"/>
                <w:szCs w:val="18"/>
              </w:rPr>
              <w:t>、</w:t>
            </w:r>
            <w:r>
              <w:rPr>
                <w:rFonts w:ascii="宋体" w:hAnsi="宋体" w:cs="宋体" w:eastAsia="宋体" w:hint="default"/>
                <w:sz w:val="18"/>
                <w:szCs w:val="18"/>
              </w:rPr>
              <w:t>非公允性支出等</w:t>
            </w:r>
            <w:r>
              <w:rPr>
                <w:rFonts w:ascii="宋体" w:hAnsi="宋体" w:cs="宋体" w:eastAsia="宋体" w:hint="default"/>
                <w:spacing w:val="-3"/>
                <w:sz w:val="18"/>
                <w:szCs w:val="18"/>
              </w:rPr>
              <w:t>，</w:t>
            </w:r>
            <w:r>
              <w:rPr>
                <w:rFonts w:ascii="宋体" w:hAnsi="宋体" w:cs="宋体" w:eastAsia="宋体" w:hint="default"/>
                <w:sz w:val="18"/>
                <w:szCs w:val="18"/>
              </w:rPr>
              <w:t>没有任何其他的</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对外担保或任何其他形式的保证责任（但日常经营中与客户</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签订的合同</w:t>
            </w:r>
            <w:r>
              <w:rPr>
                <w:rFonts w:ascii="宋体" w:hAnsi="宋体" w:cs="宋体" w:eastAsia="宋体" w:hint="default"/>
                <w:spacing w:val="-3"/>
                <w:sz w:val="18"/>
                <w:szCs w:val="18"/>
              </w:rPr>
              <w:t>、</w:t>
            </w:r>
            <w:r>
              <w:rPr>
                <w:rFonts w:ascii="宋体" w:hAnsi="宋体" w:cs="宋体" w:eastAsia="宋体" w:hint="default"/>
                <w:sz w:val="18"/>
                <w:szCs w:val="18"/>
              </w:rPr>
              <w:t>协议</w:t>
            </w:r>
            <w:r>
              <w:rPr>
                <w:rFonts w:ascii="宋体" w:hAnsi="宋体" w:cs="宋体" w:eastAsia="宋体" w:hint="default"/>
                <w:spacing w:val="-3"/>
                <w:sz w:val="18"/>
                <w:szCs w:val="18"/>
              </w:rPr>
              <w:t>、</w:t>
            </w:r>
            <w:r>
              <w:rPr>
                <w:rFonts w:ascii="宋体" w:hAnsi="宋体" w:cs="宋体" w:eastAsia="宋体" w:hint="default"/>
                <w:sz w:val="18"/>
                <w:szCs w:val="18"/>
              </w:rPr>
              <w:t>备忘等类似文件中的相关保证除外</w:t>
            </w:r>
            <w:r>
              <w:rPr>
                <w:rFonts w:ascii="宋体" w:hAnsi="宋体" w:cs="宋体" w:eastAsia="宋体" w:hint="default"/>
                <w:spacing w:val="-90"/>
                <w:sz w:val="18"/>
                <w:szCs w:val="18"/>
              </w:rPr>
              <w:t>）</w:t>
            </w:r>
            <w:r>
              <w:rPr>
                <w:rFonts w:ascii="宋体" w:hAnsi="宋体" w:cs="宋体" w:eastAsia="宋体" w:hint="default"/>
                <w:spacing w:val="-3"/>
                <w:sz w:val="18"/>
                <w:szCs w:val="18"/>
              </w:rPr>
              <w:t>；自</w:t>
            </w:r>
            <w:r>
              <w:rPr>
                <w:rFonts w:ascii="宋体" w:hAnsi="宋体" w:cs="宋体" w:eastAsia="宋体" w:hint="default"/>
                <w:sz w:val="18"/>
                <w:szCs w:val="18"/>
              </w:rPr>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评估基准日至本协议签署日，上海树维及其分公司的财务或</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经营状况或前景均未曾发生任何重大不利变化，并且未曾发</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生可能引起任何该等变化的事件、事实或情况。</w:t>
            </w:r>
            <w:r>
              <w:rPr>
                <w:rFonts w:ascii="Times New Roman" w:hAnsi="Times New Roman" w:cs="Times New Roman" w:eastAsia="Times New Roman" w:hint="default"/>
                <w:spacing w:val="-4"/>
                <w:sz w:val="18"/>
                <w:szCs w:val="18"/>
              </w:rPr>
              <w:t>11</w:t>
            </w:r>
            <w:r>
              <w:rPr>
                <w:rFonts w:ascii="宋体" w:hAnsi="宋体" w:cs="宋体" w:eastAsia="宋体" w:hint="default"/>
                <w:spacing w:val="-4"/>
                <w:sz w:val="18"/>
                <w:szCs w:val="18"/>
              </w:rPr>
              <w:t>、上海树维</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及其分公司主要财务制度、账册管理、凭证和发票使用以及</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税务申报、代扣代缴均符合中国财务会计和税务法律法规的</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规定，不存在因拖欠税款、迟缴税款、逃税、骗税、漏税、</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未完全或适时履行代扣代缴义务或其他违反税收法律法规的</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行为而被公开调查或处罚或可能被公开调查或处罚的情形；</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上海树维及其分公司亦不存在依据依国家及地方法律法规应</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交纳但尚未交纳或拖欠的各项费用、规费等，不存在可能被</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收回的政府补助；上海树维及其分公司不存在未依法缴纳的</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税款，如上海树维及其分公司因在交割日前未按规定缴纳任</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何税款而于交割日后被要求补缴和</w:t>
            </w:r>
            <w:r>
              <w:rPr>
                <w:rFonts w:ascii="Times New Roman" w:hAnsi="Times New Roman" w:cs="Times New Roman" w:eastAsia="Times New Roman" w:hint="default"/>
                <w:sz w:val="18"/>
                <w:szCs w:val="18"/>
              </w:rPr>
              <w:t>/</w:t>
            </w:r>
            <w:r>
              <w:rPr>
                <w:rFonts w:ascii="宋体" w:hAnsi="宋体" w:cs="宋体" w:eastAsia="宋体" w:hint="default"/>
                <w:sz w:val="18"/>
                <w:szCs w:val="18"/>
              </w:rPr>
              <w:t>或承担其他法律责任，交</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3"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易对方应就上海树维及其分公司的该等损失承担赔偿责任；</w:t>
            </w:r>
          </w:p>
        </w:tc>
        <w:tc>
          <w:tcPr>
            <w:tcW w:w="155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r>
        <w:rPr/>
        <w:pict>
          <v:shape style="position:absolute;margin-left:461.870819pt;margin-top:57.18pt;width:155.65pt;height:468pt;mso-position-horizontal-relative:page;mso-position-vertical-relative:page;z-index:-15986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31"/>
                    <w:ind w:left="0" w:right="0" w:firstLine="0"/>
                    <w:jc w:val="left"/>
                    <w:rPr>
                      <w:rFonts w:ascii="宋体" w:hAnsi="宋体" w:cs="宋体" w:eastAsia="宋体" w:hint="default"/>
                      <w:sz w:val="18"/>
                      <w:szCs w:val="18"/>
                    </w:rPr>
                  </w:pPr>
                  <w:r>
                    <w:rPr>
                      <w:rFonts w:ascii="宋体" w:hAnsi="宋体" w:cs="宋体" w:eastAsia="宋体" w:hint="default"/>
                      <w:sz w:val="18"/>
                      <w:szCs w:val="18"/>
                    </w:rPr>
                    <w:t>该等合同均是真实、</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5"/>
                      <w:szCs w:val="25"/>
                    </w:rPr>
                  </w:pPr>
                </w:p>
                <w:p>
                  <w:pPr>
                    <w:spacing w:before="0"/>
                    <w:ind w:left="0" w:right="410" w:firstLine="0"/>
                    <w:jc w:val="center"/>
                    <w:rPr>
                      <w:rFonts w:ascii="宋体" w:hAnsi="宋体" w:cs="宋体" w:eastAsia="宋体" w:hint="default"/>
                      <w:sz w:val="18"/>
                      <w:szCs w:val="18"/>
                    </w:rPr>
                  </w:pPr>
                  <w:r>
                    <w:rPr>
                      <w:rFonts w:ascii="宋体" w:hAnsi="宋体" w:cs="宋体" w:eastAsia="宋体" w:hint="default"/>
                      <w:sz w:val="18"/>
                      <w:szCs w:val="18"/>
                    </w:rPr>
                    <w:t>相似、</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1985"/>
        <w:gridCol w:w="1417"/>
        <w:gridCol w:w="1134"/>
        <w:gridCol w:w="4820"/>
        <w:gridCol w:w="1559"/>
        <w:gridCol w:w="1276"/>
        <w:gridCol w:w="1702"/>
      </w:tblGrid>
      <w:tr>
        <w:trPr>
          <w:trHeight w:val="331" w:hRule="exact"/>
        </w:trPr>
        <w:tc>
          <w:tcPr>
            <w:tcW w:w="1985"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482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如该等损失由上海树维及其分公司先行承担，交易对方应在</w:t>
            </w:r>
          </w:p>
        </w:tc>
        <w:tc>
          <w:tcPr>
            <w:tcW w:w="1559" w:type="dxa"/>
            <w:vMerge w:val="restart"/>
            <w:tcBorders>
              <w:top w:val="single" w:sz="15" w:space="0" w:color="000000"/>
              <w:left w:val="single" w:sz="4" w:space="0" w:color="000000"/>
              <w:right w:val="single" w:sz="4" w:space="0" w:color="000000"/>
            </w:tcBorders>
          </w:tcPr>
          <w:p>
            <w:pPr>
              <w:pStyle w:val="TableParagraph"/>
              <w:spacing w:line="936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77.5pt;height:468pt;mso-position-horizontal-relative:char;mso-position-vertical-relative:line" coordorigin="0,0" coordsize="1550,9360">
                  <v:group style="position:absolute;left:0;top:0;width:1550;height:9360" coordorigin="0,0" coordsize="1550,9360">
                    <v:shape style="position:absolute;left:0;top:0;width:1550;height:9360" coordorigin="0,0" coordsize="1550,9360" path="m0,0l1549,0,1549,9360,0,9360,0,0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1276" w:type="dxa"/>
            <w:vMerge w:val="restart"/>
            <w:tcBorders>
              <w:top w:val="single" w:sz="15" w:space="0" w:color="000000"/>
              <w:left w:val="single" w:sz="4" w:space="0" w:color="000000"/>
              <w:right w:val="single" w:sz="4" w:space="0" w:color="000000"/>
            </w:tcBorders>
          </w:tcPr>
          <w:p>
            <w:pPr/>
          </w:p>
        </w:tc>
        <w:tc>
          <w:tcPr>
            <w:tcW w:w="1702" w:type="dxa"/>
            <w:vMerge w:val="restart"/>
            <w:tcBorders>
              <w:top w:val="single" w:sz="15" w:space="0" w:color="000000"/>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上海树维及其分公司承担该等损失之日起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日内以除上海树</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维股权以外的其他合法财产对上海树维及其分公司承担全部</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补偿责任。</w:t>
            </w:r>
            <w:r>
              <w:rPr>
                <w:rFonts w:ascii="Times New Roman" w:hAnsi="Times New Roman" w:cs="Times New Roman" w:eastAsia="Times New Roman" w:hint="default"/>
                <w:sz w:val="18"/>
                <w:szCs w:val="18"/>
              </w:rPr>
              <w:t>12</w:t>
            </w:r>
            <w:r>
              <w:rPr>
                <w:rFonts w:ascii="宋体" w:hAnsi="宋体" w:cs="宋体" w:eastAsia="宋体" w:hint="default"/>
                <w:sz w:val="18"/>
                <w:szCs w:val="18"/>
              </w:rPr>
              <w:t>、截至本协议签署日，除了正常的业务合作之</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外，上海树维及其分公司没有与任何第三方开展任何合资、</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合作及其他资本性交易等，或者通过口头或书面形式向第三</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方作出的准备合资、合作或类似行动的实质性承诺；上海树</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维及其分公司目前不存在拟进行的资产置换、资产剥离、资</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产出售或收购等重大资产变化情况。</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上海树维及其分公司</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已向新开普提交了所有重要的正在履行的业务合同、合作合</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同，重要的正在履行的知识产权开发、许可或转让合同，所</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有的正在履行的借款、担保、抵押合同；</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合法、有效的，并能得到有效执行。</w:t>
            </w:r>
            <w:r>
              <w:rPr>
                <w:rFonts w:ascii="Times New Roman" w:hAnsi="Times New Roman" w:cs="Times New Roman" w:eastAsia="Times New Roman" w:hint="default"/>
                <w:sz w:val="18"/>
                <w:szCs w:val="18"/>
              </w:rPr>
              <w:t>14</w:t>
            </w:r>
            <w:r>
              <w:rPr>
                <w:rFonts w:ascii="宋体" w:hAnsi="宋体" w:cs="宋体" w:eastAsia="宋体" w:hint="default"/>
                <w:sz w:val="18"/>
                <w:szCs w:val="18"/>
              </w:rPr>
              <w:t>、交易对方与上海树</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维及其分公司及其任何关联方（包括但不限于上海树维及其</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分公司董事、监事、管理人员、股东及上述人士以任何方式</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控制的其他自然人或实体）之间不存在任何损害上海树维及</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其分公司利益的关联交易。除向新开普已披露的或新开普已</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知悉的外，交易对方及其关联方（包括但不限于关联方的董</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事、监事、管理人员、股东及上述人士以任何方式控制的其</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他自然人或实体）不存在以任何形式在任何地区从事或参与</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任何与上海树维及其分公司目前所实际经营业务相同、</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构成或可能构成直接或间接竞争关系的业务或活动。</w:t>
            </w:r>
            <w:r>
              <w:rPr>
                <w:rFonts w:ascii="Times New Roman" w:hAnsi="Times New Roman" w:cs="Times New Roman" w:eastAsia="Times New Roman" w:hint="default"/>
                <w:sz w:val="18"/>
                <w:szCs w:val="18"/>
              </w:rPr>
              <w:t>15</w:t>
            </w:r>
            <w:r>
              <w:rPr>
                <w:rFonts w:ascii="宋体" w:hAnsi="宋体" w:cs="宋体" w:eastAsia="宋体" w:hint="default"/>
                <w:sz w:val="18"/>
                <w:szCs w:val="18"/>
              </w:rPr>
              <w:t>、截</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至本协议签署日，上海树维及其分公司不存在任何可能对上</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海树维及其分公司业务及经营情况产生重大不利影响的情</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形。</w:t>
            </w:r>
            <w:r>
              <w:rPr>
                <w:rFonts w:ascii="Times New Roman" w:hAnsi="Times New Roman" w:cs="Times New Roman" w:eastAsia="Times New Roman" w:hint="default"/>
                <w:sz w:val="18"/>
                <w:szCs w:val="18"/>
              </w:rPr>
              <w:t>16</w:t>
            </w:r>
            <w:r>
              <w:rPr>
                <w:rFonts w:ascii="宋体" w:hAnsi="宋体" w:cs="宋体" w:eastAsia="宋体" w:hint="default"/>
                <w:sz w:val="18"/>
                <w:szCs w:val="18"/>
              </w:rPr>
              <w:t>、上海树维及其分公司已及时与其在职员工依法签署</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了劳动合同；除上海树维及其分公司在本协议签署日前实际</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一直持续实施的常规性奖励方案或制度或已向新开普披露的</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或新开普已知悉的外，上海树维及其分公司不存在（或拟采</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取）为其所有或任何董事、高级管理人员或其他雇员的任何</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8"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股权激励方案、股权期权方案或利润分享、佣金或其他该等</w:t>
            </w:r>
          </w:p>
        </w:tc>
        <w:tc>
          <w:tcPr>
            <w:tcW w:w="155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r>
        <w:rPr/>
        <w:pict>
          <v:shape style="position:absolute;margin-left:335.870789pt;margin-top:57.18pt;width:281.650pt;height:468pt;mso-position-horizontal-relative:page;mso-position-vertical-relative:page;z-index:-15985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5"/>
                    <w:ind w:left="0" w:right="0" w:firstLine="0"/>
                    <w:jc w:val="left"/>
                    <w:rPr>
                      <w:rFonts w:ascii="宋体" w:hAnsi="宋体" w:cs="宋体" w:eastAsia="宋体" w:hint="default"/>
                      <w:sz w:val="18"/>
                      <w:szCs w:val="18"/>
                    </w:rPr>
                  </w:pPr>
                  <w:r>
                    <w:rPr>
                      <w:rFonts w:ascii="宋体" w:hAnsi="宋体" w:cs="宋体" w:eastAsia="宋体" w:hint="default"/>
                      <w:sz w:val="18"/>
                      <w:szCs w:val="18"/>
                    </w:rPr>
                    <w:t>上海树维及其分公司不存在尚未了结的其所提起的、</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spacing w:before="0"/>
                    <w:ind w:left="2701" w:right="0" w:firstLine="0"/>
                    <w:jc w:val="left"/>
                    <w:rPr>
                      <w:rFonts w:ascii="宋体" w:hAnsi="宋体" w:cs="宋体" w:eastAsia="宋体" w:hint="default"/>
                      <w:sz w:val="18"/>
                      <w:szCs w:val="18"/>
                    </w:rPr>
                  </w:pPr>
                  <w:r>
                    <w:rPr>
                      <w:rFonts w:ascii="宋体" w:hAnsi="宋体" w:cs="宋体" w:eastAsia="宋体" w:hint="default"/>
                      <w:sz w:val="18"/>
                      <w:szCs w:val="18"/>
                    </w:rPr>
                    <w:t>申诉等法律程序，</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1985"/>
        <w:gridCol w:w="1417"/>
        <w:gridCol w:w="1134"/>
        <w:gridCol w:w="4820"/>
        <w:gridCol w:w="1559"/>
        <w:gridCol w:w="1276"/>
        <w:gridCol w:w="1702"/>
      </w:tblGrid>
      <w:tr>
        <w:trPr>
          <w:trHeight w:val="331" w:hRule="exact"/>
        </w:trPr>
        <w:tc>
          <w:tcPr>
            <w:tcW w:w="1985"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482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奖励方案，经新开普书面同意的除外；如上海树维及其分公</w:t>
            </w:r>
          </w:p>
        </w:tc>
        <w:tc>
          <w:tcPr>
            <w:tcW w:w="1559" w:type="dxa"/>
            <w:vMerge w:val="restart"/>
            <w:tcBorders>
              <w:top w:val="single" w:sz="15" w:space="0" w:color="000000"/>
              <w:left w:val="single" w:sz="4" w:space="0" w:color="000000"/>
              <w:right w:val="single" w:sz="4" w:space="0" w:color="000000"/>
            </w:tcBorders>
          </w:tcPr>
          <w:p>
            <w:pPr>
              <w:pStyle w:val="TableParagraph"/>
              <w:spacing w:line="936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77.5pt;height:468pt;mso-position-horizontal-relative:char;mso-position-vertical-relative:line" coordorigin="0,0" coordsize="1550,9360">
                  <v:group style="position:absolute;left:0;top:0;width:1550;height:9360" coordorigin="0,0" coordsize="1550,9360">
                    <v:shape style="position:absolute;left:0;top:0;width:1550;height:9360" coordorigin="0,0" coordsize="1550,9360" path="m0,0l1549,0,1549,9360,0,9360,0,0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1276" w:type="dxa"/>
            <w:vMerge w:val="restart"/>
            <w:tcBorders>
              <w:top w:val="single" w:sz="15" w:space="0" w:color="000000"/>
              <w:left w:val="single" w:sz="4" w:space="0" w:color="000000"/>
              <w:right w:val="single" w:sz="4" w:space="0" w:color="000000"/>
            </w:tcBorders>
          </w:tcPr>
          <w:p>
            <w:pPr/>
          </w:p>
        </w:tc>
        <w:tc>
          <w:tcPr>
            <w:tcW w:w="1702" w:type="dxa"/>
            <w:vMerge w:val="restart"/>
            <w:tcBorders>
              <w:top w:val="single" w:sz="15" w:space="0" w:color="000000"/>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司因在交割日前未依法为员工缴纳社会保险费或住房公积金</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而在交割日后受到任何处罚、追索、索赔或受到任何损失（包</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括但不限于依法需为员工补缴的社会保险费、住房公积金及</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33"/>
              <w:jc w:val="left"/>
              <w:rPr>
                <w:rFonts w:ascii="宋体" w:hAnsi="宋体" w:cs="宋体" w:eastAsia="宋体" w:hint="default"/>
                <w:sz w:val="18"/>
                <w:szCs w:val="18"/>
              </w:rPr>
            </w:pPr>
            <w:r>
              <w:rPr>
                <w:rFonts w:ascii="宋体" w:hAnsi="宋体" w:cs="宋体" w:eastAsia="宋体" w:hint="default"/>
                <w:sz w:val="18"/>
                <w:szCs w:val="18"/>
              </w:rPr>
              <w:t>任何滞纳金、罚款、损害赔偿金和</w:t>
            </w:r>
            <w:r>
              <w:rPr>
                <w:rFonts w:ascii="Times New Roman" w:hAnsi="Times New Roman" w:cs="Times New Roman" w:eastAsia="Times New Roman" w:hint="default"/>
                <w:sz w:val="18"/>
                <w:szCs w:val="18"/>
              </w:rPr>
              <w:t>/</w:t>
            </w:r>
            <w:r>
              <w:rPr>
                <w:rFonts w:ascii="宋体" w:hAnsi="宋体" w:cs="宋体" w:eastAsia="宋体" w:hint="default"/>
                <w:sz w:val="18"/>
                <w:szCs w:val="18"/>
              </w:rPr>
              <w:t>或承担其他法律责任等</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交易对方应就上海树维及其分公司的该等损失承担赔偿责</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任；如该等损失由上海树维及其分公司先行承担，交易对方</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应在上海树维及其分公司承担该等损失之日起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日内以除上</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海树维股权以外的其他合法财产对上海树维及其分公司承担</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全部补偿责任。</w:t>
            </w:r>
            <w:r>
              <w:rPr>
                <w:rFonts w:ascii="Times New Roman" w:hAnsi="Times New Roman" w:cs="Times New Roman" w:eastAsia="Times New Roman" w:hint="default"/>
                <w:sz w:val="18"/>
                <w:szCs w:val="18"/>
              </w:rPr>
              <w:t>17</w:t>
            </w:r>
            <w:r>
              <w:rPr>
                <w:rFonts w:ascii="宋体" w:hAnsi="宋体" w:cs="宋体" w:eastAsia="宋体" w:hint="default"/>
                <w:sz w:val="18"/>
                <w:szCs w:val="18"/>
              </w:rPr>
              <w:t>、上海树维及其分公司的经营活动符合相</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关法律法规的规定；上海树维及其分公司不存在严重违反工</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商、税务、海关、外汇、房产、土地使用和管理、环保、劳</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动及社会保障等方面法律法规和规范性文件的情形（前述所</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称</w:t>
            </w:r>
            <w:r>
              <w:rPr>
                <w:rFonts w:ascii="Times New Roman" w:hAnsi="Times New Roman" w:cs="Times New Roman" w:eastAsia="Times New Roman" w:hint="default"/>
                <w:sz w:val="18"/>
                <w:szCs w:val="18"/>
              </w:rPr>
              <w:t>"</w:t>
            </w:r>
            <w:r>
              <w:rPr>
                <w:rFonts w:ascii="宋体" w:hAnsi="宋体" w:cs="宋体" w:eastAsia="宋体" w:hint="default"/>
                <w:sz w:val="18"/>
                <w:szCs w:val="18"/>
              </w:rPr>
              <w:t>严重违反</w:t>
            </w:r>
            <w:r>
              <w:rPr>
                <w:rFonts w:ascii="Times New Roman" w:hAnsi="Times New Roman" w:cs="Times New Roman" w:eastAsia="Times New Roman" w:hint="default"/>
                <w:sz w:val="18"/>
                <w:szCs w:val="18"/>
              </w:rPr>
              <w:t>"</w:t>
            </w:r>
            <w:r>
              <w:rPr>
                <w:rFonts w:ascii="宋体" w:hAnsi="宋体" w:cs="宋体" w:eastAsia="宋体" w:hint="default"/>
                <w:sz w:val="18"/>
                <w:szCs w:val="18"/>
              </w:rPr>
              <w:t>是指依据前述相关法律法规或被主管部门认定</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重大违法</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，或违反前述法律法规和规范性文件的规定足以</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对上海树维及其分公司造成重大不利影响的情形</w:t>
            </w:r>
            <w:r>
              <w:rPr>
                <w:rFonts w:ascii="宋体" w:hAnsi="宋体" w:cs="宋体" w:eastAsia="宋体" w:hint="default"/>
                <w:spacing w:val="-90"/>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t>除已向新</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开普书面披露的情形外，上海树维及其分公司不存在其他任</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何政府机关的行政处罚（包括但不限于工商、税务、海关、</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外汇、房产、土地使用和管理、环保、劳动及社会保障等方</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面的行政处罚</w:t>
            </w:r>
            <w:r>
              <w:rPr>
                <w:rFonts w:ascii="宋体" w:hAnsi="宋体" w:cs="宋体" w:eastAsia="宋体" w:hint="default"/>
                <w:spacing w:val="-90"/>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t>不存在任何正在进行的或将要发生的为一方</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（或以其财产或资产为标的）诉讼、仲裁、争议及索赔；自</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交割日起，若因上海树维及其分公司在交割日前的经营过程</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中存在违法违规情形、侵权行为或未能及时获得相关资质或</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许可的等原因而导致的一切民事、行政或刑事责任而直接或</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间接致使新开普遭受损失，交易对方将对新开普承担连带赔</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偿责任。</w:t>
            </w:r>
            <w:r>
              <w:rPr>
                <w:rFonts w:ascii="Times New Roman" w:hAnsi="Times New Roman" w:cs="Times New Roman" w:eastAsia="Times New Roman" w:hint="default"/>
                <w:sz w:val="18"/>
                <w:szCs w:val="18"/>
              </w:rPr>
              <w:t>18</w:t>
            </w:r>
            <w:r>
              <w:rPr>
                <w:rFonts w:ascii="宋体" w:hAnsi="宋体" w:cs="宋体" w:eastAsia="宋体" w:hint="default"/>
                <w:sz w:val="18"/>
                <w:szCs w:val="18"/>
              </w:rPr>
              <w:t>、上海树维及其分公司不存在由于违反任何劳动</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和社会保障方面的法律法规而受到任何政府机关的处罚的情</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形。</w:t>
            </w:r>
            <w:r>
              <w:rPr>
                <w:rFonts w:ascii="Times New Roman" w:hAnsi="Times New Roman" w:cs="Times New Roman" w:eastAsia="Times New Roman" w:hint="default"/>
                <w:sz w:val="18"/>
                <w:szCs w:val="18"/>
              </w:rPr>
              <w:t>19</w:t>
            </w:r>
            <w:r>
              <w:rPr>
                <w:rFonts w:ascii="宋体" w:hAnsi="宋体" w:cs="宋体" w:eastAsia="宋体" w:hint="default"/>
                <w:sz w:val="18"/>
                <w:szCs w:val="18"/>
              </w:rPr>
              <w:t>、</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或以上海树维及其分公司作为相对方的或与之相关的任何进</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8"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行中的诉讼、仲裁、行政处罚、行政复议、</w:t>
            </w:r>
          </w:p>
        </w:tc>
        <w:tc>
          <w:tcPr>
            <w:tcW w:w="155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985"/>
        <w:gridCol w:w="1417"/>
        <w:gridCol w:w="1134"/>
        <w:gridCol w:w="4820"/>
        <w:gridCol w:w="1559"/>
        <w:gridCol w:w="1276"/>
        <w:gridCol w:w="1702"/>
      </w:tblGrid>
      <w:tr>
        <w:trPr>
          <w:trHeight w:val="331" w:hRule="exact"/>
        </w:trPr>
        <w:tc>
          <w:tcPr>
            <w:tcW w:w="1985"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482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且上海树维及其分公司不存在依照法院、仲裁机构或其他司</w:t>
            </w:r>
          </w:p>
        </w:tc>
        <w:tc>
          <w:tcPr>
            <w:tcW w:w="1559" w:type="dxa"/>
            <w:vMerge w:val="restart"/>
            <w:tcBorders>
              <w:top w:val="single" w:sz="15" w:space="0" w:color="000000"/>
              <w:left w:val="single" w:sz="4" w:space="0" w:color="000000"/>
              <w:right w:val="single" w:sz="4" w:space="0" w:color="000000"/>
            </w:tcBorders>
          </w:tcPr>
          <w:p>
            <w:pPr/>
          </w:p>
        </w:tc>
        <w:tc>
          <w:tcPr>
            <w:tcW w:w="1276" w:type="dxa"/>
            <w:vMerge w:val="restart"/>
            <w:tcBorders>
              <w:top w:val="single" w:sz="15" w:space="0" w:color="000000"/>
              <w:left w:val="single" w:sz="4" w:space="0" w:color="000000"/>
              <w:right w:val="single" w:sz="4" w:space="0" w:color="000000"/>
            </w:tcBorders>
          </w:tcPr>
          <w:p>
            <w:pPr/>
          </w:p>
        </w:tc>
        <w:tc>
          <w:tcPr>
            <w:tcW w:w="1702" w:type="dxa"/>
            <w:vMerge w:val="restart"/>
            <w:tcBorders>
              <w:top w:val="single" w:sz="15" w:space="0" w:color="000000"/>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法、行政部门作出的判决、裁决或决定应承担法律责任或义</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务但尚未履行完毕的情况。</w:t>
            </w:r>
            <w:r>
              <w:rPr>
                <w:rFonts w:ascii="Times New Roman" w:hAnsi="Times New Roman" w:cs="Times New Roman" w:eastAsia="Times New Roman" w:hint="default"/>
                <w:sz w:val="18"/>
                <w:szCs w:val="18"/>
              </w:rPr>
              <w:t>20</w:t>
            </w:r>
            <w:r>
              <w:rPr>
                <w:rFonts w:ascii="宋体" w:hAnsi="宋体" w:cs="宋体" w:eastAsia="宋体" w:hint="default"/>
                <w:sz w:val="18"/>
                <w:szCs w:val="18"/>
              </w:rPr>
              <w:t>、交易对方已向新开普完全及</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正确披露了上海树维及其分公司截至本协议签署日的所有正</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在履行期限内的债务；交易对方及上海树维及其分公司不存</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在可能严重影响到按本协议项下条款和条件进行本次交易的</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未清偿债务和法律责任；并且，在未获得新开普事先书面同</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意之前，交易对方及上海树维及其分公司将不会发生该等未</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清偿债务和法律责任。</w:t>
            </w:r>
            <w:r>
              <w:rPr>
                <w:rFonts w:ascii="Times New Roman" w:hAnsi="Times New Roman" w:cs="Times New Roman" w:eastAsia="Times New Roman" w:hint="default"/>
                <w:sz w:val="18"/>
                <w:szCs w:val="18"/>
              </w:rPr>
              <w:t>21</w:t>
            </w:r>
            <w:r>
              <w:rPr>
                <w:rFonts w:ascii="宋体" w:hAnsi="宋体" w:cs="宋体" w:eastAsia="宋体" w:hint="default"/>
                <w:sz w:val="18"/>
                <w:szCs w:val="18"/>
              </w:rPr>
              <w:t>、截至本协议签署日，上海树维及</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其分公司业务独立于控股股东、实际控制人及其控制的其他</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企业，与控股股东、实际控制人及其控制的其他企业间不存</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在同业竞争，以及严重影响上海树维及其分公司独立性或显</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失公允的关联交易。</w:t>
            </w:r>
            <w:r>
              <w:rPr>
                <w:rFonts w:ascii="Times New Roman" w:hAnsi="Times New Roman" w:cs="Times New Roman" w:eastAsia="Times New Roman" w:hint="default"/>
                <w:sz w:val="18"/>
                <w:szCs w:val="18"/>
              </w:rPr>
              <w:t>22</w:t>
            </w:r>
            <w:r>
              <w:rPr>
                <w:rFonts w:ascii="宋体" w:hAnsi="宋体" w:cs="宋体" w:eastAsia="宋体" w:hint="default"/>
                <w:sz w:val="18"/>
                <w:szCs w:val="18"/>
              </w:rPr>
              <w:t>、自本协议签署日起至交割日，上海</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树维及其分公司的财务、业务、生产和其他经营状况将不会</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发生实质性不利变化。</w:t>
            </w:r>
            <w:r>
              <w:rPr>
                <w:rFonts w:ascii="Times New Roman" w:hAnsi="Times New Roman" w:cs="Times New Roman" w:eastAsia="Times New Roman" w:hint="default"/>
                <w:sz w:val="18"/>
                <w:szCs w:val="18"/>
              </w:rPr>
              <w:t>23</w:t>
            </w:r>
            <w:r>
              <w:rPr>
                <w:rFonts w:ascii="宋体" w:hAnsi="宋体" w:cs="宋体" w:eastAsia="宋体" w:hint="default"/>
                <w:sz w:val="18"/>
                <w:szCs w:val="18"/>
              </w:rPr>
              <w:t>、上海树维及其分公司作为协议一</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方的任何重大协议、合同和法律文件均合法有效并对相关方</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具有约束力；上海树维及其分公司不存在会导致重大不利影</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响的违约行为，并且不存在可能导致任何此类违约的情形。</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宋体" w:hAnsi="宋体" w:cs="宋体" w:eastAsia="宋体" w:hint="default"/>
                <w:sz w:val="18"/>
                <w:szCs w:val="18"/>
              </w:rPr>
              <w:t>、上海树维及其分公司之董事、监事、高级管理人员不存</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在任何违反法律、法规或规范性文件的行为，不存在任何影</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响上海树维及其分公司正常运营以及本协议项下交易的重大</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索赔、诉讼、仲裁、司法调查程序、行政调查或处罚。</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交易对方承诺并促使上海树维及其分公司自本协议签署之日</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起将不会从事任何对上海树维及其分公司的正常生产经营或</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本次交易具有实质性不利影响的行为。</w:t>
            </w:r>
            <w:r>
              <w:rPr>
                <w:rFonts w:ascii="Times New Roman" w:hAnsi="Times New Roman" w:cs="Times New Roman" w:eastAsia="Times New Roman" w:hint="default"/>
                <w:sz w:val="18"/>
                <w:szCs w:val="18"/>
              </w:rPr>
              <w:t>26</w:t>
            </w:r>
            <w:r>
              <w:rPr>
                <w:rFonts w:ascii="宋体" w:hAnsi="宋体" w:cs="宋体" w:eastAsia="宋体" w:hint="default"/>
                <w:sz w:val="18"/>
                <w:szCs w:val="18"/>
              </w:rPr>
              <w:t>、上海树维及其分</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公司不存在任何未向新开普披露的或有负债，且上海树维及</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3"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其分公司没有为任何实体和自然人作出任何形式的担保或保</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证（日常交易中的保证除外</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5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714"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2"/>
              <w:jc w:val="left"/>
              <w:rPr>
                <w:rFonts w:ascii="宋体" w:hAnsi="宋体" w:cs="宋体" w:eastAsia="宋体" w:hint="default"/>
                <w:sz w:val="18"/>
                <w:szCs w:val="18"/>
              </w:rPr>
            </w:pPr>
            <w:r>
              <w:rPr>
                <w:rFonts w:ascii="宋体" w:hAnsi="宋体" w:cs="宋体" w:eastAsia="宋体" w:hint="default"/>
                <w:sz w:val="18"/>
                <w:szCs w:val="18"/>
              </w:rPr>
              <w:t>现金购买资产的 </w:t>
            </w:r>
            <w:r>
              <w:rPr>
                <w:rFonts w:ascii="宋体" w:hAnsi="宋体" w:cs="宋体" w:eastAsia="宋体" w:hint="default"/>
                <w:spacing w:val="-10"/>
                <w:sz w:val="18"/>
                <w:szCs w:val="18"/>
              </w:rPr>
              <w:t>交易对方何伟、乔</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2" w:right="23"/>
              <w:jc w:val="left"/>
              <w:rPr>
                <w:rFonts w:ascii="宋体" w:hAnsi="宋体" w:cs="宋体" w:eastAsia="宋体" w:hint="default"/>
                <w:sz w:val="18"/>
                <w:szCs w:val="18"/>
              </w:rPr>
            </w:pPr>
            <w:r>
              <w:rPr>
                <w:rFonts w:ascii="宋体" w:hAnsi="宋体" w:cs="宋体" w:eastAsia="宋体" w:hint="default"/>
                <w:sz w:val="18"/>
                <w:szCs w:val="18"/>
              </w:rPr>
              <w:t>本次交易的交易对方承诺：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、本协议约定的内容并不违反上 海树维及其分公司的章程或其他形式的文件或应适用于上海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7"/>
              <w:jc w:val="left"/>
              <w:rPr>
                <w:rFonts w:ascii="宋体" w:hAnsi="宋体" w:cs="宋体" w:eastAsia="宋体" w:hint="default"/>
                <w:sz w:val="18"/>
                <w:szCs w:val="18"/>
              </w:rPr>
            </w:pPr>
            <w:r>
              <w:rPr>
                <w:rFonts w:ascii="宋体" w:hAnsi="宋体" w:cs="宋体" w:eastAsia="宋体" w:hint="default"/>
                <w:sz w:val="18"/>
                <w:szCs w:val="18"/>
              </w:rPr>
              <w:t>截至报告期末，上述 承诺人严格信守承</w:t>
            </w:r>
          </w:p>
        </w:tc>
      </w:tr>
    </w:tbl>
    <w:p>
      <w:pPr>
        <w:spacing w:after="0" w:line="316" w:lineRule="auto"/>
        <w:jc w:val="left"/>
        <w:rPr>
          <w:rFonts w:ascii="宋体" w:hAnsi="宋体" w:cs="宋体" w:eastAsia="宋体" w:hint="default"/>
          <w:sz w:val="18"/>
          <w:szCs w:val="18"/>
        </w:rPr>
        <w:sectPr>
          <w:pgSz w:w="16840" w:h="11910" w:orient="landscape"/>
          <w:pgMar w:header="867" w:footer="978" w:top="1060" w:bottom="1260" w:left="1320" w:right="1340"/>
        </w:sectPr>
      </w:pPr>
    </w:p>
    <w:p>
      <w:pPr>
        <w:spacing w:line="240" w:lineRule="auto" w:before="4"/>
        <w:rPr>
          <w:rFonts w:ascii="Times New Roman" w:hAnsi="Times New Roman" w:cs="Times New Roman" w:eastAsia="Times New Roman" w:hint="default"/>
          <w:sz w:val="3"/>
          <w:szCs w:val="3"/>
        </w:rPr>
      </w:pPr>
      <w:r>
        <w:rPr/>
        <w:pict>
          <v:shape style="position:absolute;margin-left:236.149597pt;margin-top:57.18pt;width:62.45pt;height:470.05pt;mso-position-horizontal-relative:page;mso-position-vertical-relative:page;z-index:-15985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1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15.870789pt;margin-top:57.18pt;width:101.65pt;height:470.05pt;mso-position-horizontal-relative:page;mso-position-vertical-relative:page;z-index:-15984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43"/>
                    <w:ind w:left="0" w:right="0" w:firstLine="0"/>
                    <w:jc w:val="left"/>
                    <w:rPr>
                      <w:rFonts w:ascii="宋体" w:hAnsi="宋体" w:cs="宋体" w:eastAsia="宋体" w:hint="default"/>
                      <w:sz w:val="18"/>
                      <w:szCs w:val="18"/>
                    </w:rPr>
                  </w:pPr>
                  <w:r>
                    <w:rPr>
                      <w:rFonts w:ascii="宋体" w:hAnsi="宋体" w:cs="宋体" w:eastAsia="宋体" w:hint="default"/>
                      <w:sz w:val="18"/>
                      <w:szCs w:val="18"/>
                    </w:rPr>
                    <w:t>声明、</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1985"/>
        <w:gridCol w:w="1417"/>
        <w:gridCol w:w="1134"/>
        <w:gridCol w:w="4820"/>
        <w:gridCol w:w="1559"/>
        <w:gridCol w:w="1276"/>
        <w:gridCol w:w="1702"/>
      </w:tblGrid>
      <w:tr>
        <w:trPr>
          <w:trHeight w:val="331" w:hRule="exact"/>
        </w:trPr>
        <w:tc>
          <w:tcPr>
            <w:tcW w:w="1985" w:type="dxa"/>
            <w:vMerge w:val="restart"/>
            <w:tcBorders>
              <w:top w:val="single" w:sz="15" w:space="0" w:color="000000"/>
              <w:left w:val="single" w:sz="4" w:space="0" w:color="000000"/>
              <w:right w:val="single" w:sz="4" w:space="0" w:color="000000"/>
            </w:tcBorders>
            <w:shd w:val="clear" w:color="auto" w:fill="D3D3D3"/>
          </w:tcPr>
          <w:p>
            <w:pPr/>
          </w:p>
        </w:tc>
        <w:tc>
          <w:tcPr>
            <w:tcW w:w="1417"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志刚、杨宏生、周</w:t>
            </w:r>
          </w:p>
        </w:tc>
        <w:tc>
          <w:tcPr>
            <w:tcW w:w="1134" w:type="dxa"/>
            <w:vMerge w:val="restart"/>
            <w:tcBorders>
              <w:top w:val="single" w:sz="15" w:space="0" w:color="000000"/>
              <w:left w:val="single" w:sz="4" w:space="0" w:color="000000"/>
              <w:right w:val="single" w:sz="4" w:space="0" w:color="000000"/>
            </w:tcBorders>
          </w:tcPr>
          <w:p>
            <w:pPr>
              <w:pStyle w:val="TableParagraph"/>
              <w:spacing w:line="940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7"/>
                <w:sz w:val="20"/>
                <w:szCs w:val="20"/>
              </w:rPr>
              <w:pict>
                <v:group style="width:56.25pt;height:470.05pt;mso-position-horizontal-relative:char;mso-position-vertical-relative:line" coordorigin="0,0" coordsize="1125,9401">
                  <v:group style="position:absolute;left:0;top:0;width:1125;height:9401" coordorigin="0,0" coordsize="1125,9401">
                    <v:shape style="position:absolute;left:0;top:0;width:1125;height:9401" coordorigin="0,0" coordsize="1125,9401" path="m0,0l0,9401,1124,9401,1124,0,0,0xe" filled="true" fillcolor="#ffffff" stroked="false">
                      <v:path arrowok="t"/>
                      <v:fill type="solid"/>
                    </v:shape>
                  </v:group>
                </v:group>
              </w:pict>
            </w:r>
            <w:r>
              <w:rPr>
                <w:rFonts w:ascii="Times New Roman" w:hAnsi="Times New Roman" w:cs="Times New Roman" w:eastAsia="Times New Roman" w:hint="default"/>
                <w:position w:val="-187"/>
                <w:sz w:val="20"/>
                <w:szCs w:val="20"/>
              </w:rPr>
            </w:r>
          </w:p>
        </w:tc>
        <w:tc>
          <w:tcPr>
            <w:tcW w:w="482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树维及其分公司及其股东的法律、法规和政府机关的行政命</w:t>
            </w:r>
          </w:p>
        </w:tc>
        <w:tc>
          <w:tcPr>
            <w:tcW w:w="1559" w:type="dxa"/>
            <w:vMerge w:val="restart"/>
            <w:tcBorders>
              <w:top w:val="single" w:sz="15" w:space="0" w:color="000000"/>
              <w:left w:val="single" w:sz="4" w:space="0" w:color="000000"/>
              <w:right w:val="single" w:sz="4" w:space="0" w:color="000000"/>
            </w:tcBorders>
          </w:tcPr>
          <w:p>
            <w:pPr>
              <w:pStyle w:val="TableParagraph"/>
              <w:spacing w:line="940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7"/>
                <w:sz w:val="20"/>
                <w:szCs w:val="20"/>
              </w:rPr>
              <w:pict>
                <v:group style="width:77.5pt;height:470.05pt;mso-position-horizontal-relative:char;mso-position-vertical-relative:line" coordorigin="0,0" coordsize="1550,9401">
                  <v:group style="position:absolute;left:0;top:0;width:1550;height:9401" coordorigin="0,0" coordsize="1550,9401">
                    <v:shape style="position:absolute;left:0;top:0;width:1550;height:9401" coordorigin="0,0" coordsize="1550,9401" path="m0,0l1549,0,1549,9401,0,9401,0,0xe" filled="true" fillcolor="#ffffff" stroked="false">
                      <v:path arrowok="t"/>
                      <v:fill type="solid"/>
                    </v:shape>
                  </v:group>
                </v:group>
              </w:pict>
            </w:r>
            <w:r>
              <w:rPr>
                <w:rFonts w:ascii="Times New Roman" w:hAnsi="Times New Roman" w:cs="Times New Roman" w:eastAsia="Times New Roman" w:hint="default"/>
                <w:position w:val="-187"/>
                <w:sz w:val="20"/>
                <w:szCs w:val="20"/>
              </w:rPr>
            </w:r>
          </w:p>
        </w:tc>
        <w:tc>
          <w:tcPr>
            <w:tcW w:w="1276" w:type="dxa"/>
            <w:vMerge w:val="restart"/>
            <w:tcBorders>
              <w:top w:val="single" w:sz="15" w:space="0" w:color="000000"/>
              <w:left w:val="single" w:sz="4" w:space="0" w:color="000000"/>
              <w:right w:val="single" w:sz="4" w:space="0" w:color="000000"/>
            </w:tcBorders>
          </w:tcPr>
          <w:p>
            <w:pPr/>
          </w:p>
        </w:tc>
        <w:tc>
          <w:tcPr>
            <w:tcW w:w="1702"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诺，未发生违反承诺</w:t>
            </w:r>
          </w:p>
        </w:tc>
      </w:tr>
      <w:tr>
        <w:trPr>
          <w:trHeight w:val="313"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w:t>
            </w:r>
            <w:r>
              <w:rPr>
                <w:rFonts w:ascii="宋体" w:hAnsi="宋体" w:cs="宋体" w:eastAsia="宋体" w:hint="default"/>
                <w:spacing w:val="-84"/>
                <w:sz w:val="18"/>
                <w:szCs w:val="18"/>
              </w:rPr>
              <w:t>、</w:t>
            </w:r>
            <w:r>
              <w:rPr>
                <w:rFonts w:ascii="宋体" w:hAnsi="宋体" w:cs="宋体" w:eastAsia="宋体" w:hint="default"/>
                <w:sz w:val="18"/>
                <w:szCs w:val="18"/>
              </w:rPr>
              <w:t>王建成</w:t>
            </w:r>
            <w:r>
              <w:rPr>
                <w:rFonts w:ascii="宋体" w:hAnsi="宋体" w:cs="宋体" w:eastAsia="宋体" w:hint="default"/>
                <w:spacing w:val="-84"/>
                <w:sz w:val="18"/>
                <w:szCs w:val="18"/>
              </w:rPr>
              <w:t>、</w:t>
            </w:r>
            <w:r>
              <w:rPr>
                <w:rFonts w:ascii="宋体" w:hAnsi="宋体" w:cs="宋体" w:eastAsia="宋体" w:hint="default"/>
                <w:spacing w:val="-2"/>
                <w:sz w:val="18"/>
                <w:szCs w:val="18"/>
              </w:rPr>
              <w:t>吴琼</w:t>
            </w:r>
            <w:r>
              <w:rPr>
                <w:rFonts w:ascii="宋体" w:hAnsi="宋体" w:cs="宋体" w:eastAsia="宋体" w:hint="default"/>
                <w:sz w:val="18"/>
                <w:szCs w:val="18"/>
              </w:rPr>
            </w: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令，或其他任何上海树维及其分公司及其股东为其中一方订</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311"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上海君略投资管</w:t>
            </w: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立的合同或法律文件。本协议约定的内容并不会解除任何第</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理合伙企</w:t>
            </w:r>
            <w:r>
              <w:rPr>
                <w:rFonts w:ascii="宋体" w:hAnsi="宋体" w:cs="宋体" w:eastAsia="宋体" w:hint="default"/>
                <w:spacing w:val="-80"/>
                <w:sz w:val="18"/>
                <w:szCs w:val="18"/>
              </w:rPr>
              <w:t>业</w:t>
            </w:r>
            <w:r>
              <w:rPr>
                <w:rFonts w:ascii="宋体" w:hAnsi="宋体" w:cs="宋体" w:eastAsia="宋体" w:hint="default"/>
                <w:sz w:val="18"/>
                <w:szCs w:val="18"/>
              </w:rPr>
              <w:t>（有限</w:t>
            </w: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三方的义务或者授予其行使任何权利（包括任何终止权、优</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先取得权或其他选择权</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、交易对方及上海树维及其分公</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司未从事或达成任何可能严重影响到依本协议项下条款和条</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件所达成预期交易之合同、协议、文件或安排；如存在前述</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合同、协议、文件或安排，交易对方承诺并保证相关合同、</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协议、文件或安排已经被依法终止、解除或已经采取其他有</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效措施以避免前述合同、协议、文件或安排影响本协议项下</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条款和条件的达成。</w:t>
            </w:r>
            <w:r>
              <w:rPr>
                <w:rFonts w:ascii="Times New Roman" w:hAnsi="Times New Roman" w:cs="Times New Roman" w:eastAsia="Times New Roman" w:hint="default"/>
                <w:sz w:val="18"/>
                <w:szCs w:val="18"/>
              </w:rPr>
              <w:t>3</w:t>
            </w:r>
            <w:r>
              <w:rPr>
                <w:rFonts w:ascii="宋体" w:hAnsi="宋体" w:cs="宋体" w:eastAsia="宋体" w:hint="default"/>
                <w:sz w:val="18"/>
                <w:szCs w:val="18"/>
              </w:rPr>
              <w:t>、交易对方及上海树维及其分公司向新</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开普及其聘请的中介机构提供的与本协议所述交易有关的所</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有文件、资料和信息是真实、准确、完整和有效的，不存在</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任何重大遗漏或误导，并已经向新开普披露了新开普于交割</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日后正常行使标的资产所有权所需的关于标的资产及上海树</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维及其分公司的信息，并未保留任何一经披露便会影响本协</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议签署、履行或新开普决策的信息；所有提交文件的复印件</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与其原件均是一致的；所有文件均由相关当事方合法授权、</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签署和递交且文件上的签字、印章均是真实的；交易对方及</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上海树维及其分公司对新开普做出的有关事实的阐述、</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保证均为真实、准确、完整和可靠的。</w:t>
            </w:r>
            <w:r>
              <w:rPr>
                <w:rFonts w:ascii="Times New Roman" w:hAnsi="Times New Roman" w:cs="Times New Roman" w:eastAsia="Times New Roman" w:hint="default"/>
                <w:sz w:val="18"/>
                <w:szCs w:val="18"/>
              </w:rPr>
              <w:t>4</w:t>
            </w:r>
            <w:r>
              <w:rPr>
                <w:rFonts w:ascii="宋体" w:hAnsi="宋体" w:cs="宋体" w:eastAsia="宋体" w:hint="default"/>
                <w:sz w:val="18"/>
                <w:szCs w:val="18"/>
              </w:rPr>
              <w:t>、交易对方保证将切</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实履行本协议约定的其在过渡期内的各项义务和责任，并承</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担应当由其承担的相关税项和费用；</w:t>
            </w:r>
            <w:r>
              <w:rPr>
                <w:rFonts w:ascii="Times New Roman" w:hAnsi="Times New Roman" w:cs="Times New Roman" w:eastAsia="Times New Roman" w:hint="default"/>
                <w:sz w:val="18"/>
                <w:szCs w:val="18"/>
              </w:rPr>
              <w:t>5</w:t>
            </w:r>
            <w:r>
              <w:rPr>
                <w:rFonts w:ascii="宋体" w:hAnsi="宋体" w:cs="宋体" w:eastAsia="宋体" w:hint="default"/>
                <w:sz w:val="18"/>
                <w:szCs w:val="18"/>
              </w:rPr>
              <w:t>、交易对方保证承担并</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促使上海树维及其分公司承担本协议约定的相关义务和责</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任，并在新开普提出与本协议所述交易事项有关的其他合理</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要求时给予必要的协助。</w:t>
            </w:r>
            <w:r>
              <w:rPr>
                <w:rFonts w:ascii="Times New Roman" w:hAnsi="Times New Roman" w:cs="Times New Roman" w:eastAsia="Times New Roman" w:hint="default"/>
                <w:sz w:val="18"/>
                <w:szCs w:val="18"/>
              </w:rPr>
              <w:t>6</w:t>
            </w:r>
            <w:r>
              <w:rPr>
                <w:rFonts w:ascii="宋体" w:hAnsi="宋体" w:cs="宋体" w:eastAsia="宋体" w:hint="default"/>
                <w:sz w:val="18"/>
                <w:szCs w:val="18"/>
              </w:rPr>
              <w:t>、交易对方保证不存在假借订立本</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协议进行恶意磋商或其他违背诚实信用原则的情形。</w:t>
            </w:r>
            <w:r>
              <w:rPr>
                <w:rFonts w:ascii="Times New Roman" w:hAnsi="Times New Roman" w:cs="Times New Roman" w:eastAsia="Times New Roman" w:hint="default"/>
                <w:sz w:val="18"/>
                <w:szCs w:val="18"/>
              </w:rPr>
              <w:t>7</w:t>
            </w:r>
            <w:r>
              <w:rPr>
                <w:rFonts w:ascii="宋体" w:hAnsi="宋体" w:cs="宋体" w:eastAsia="宋体" w:hint="default"/>
                <w:sz w:val="18"/>
                <w:szCs w:val="18"/>
              </w:rPr>
              <w:t>、截至</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本协议签署日，除已向各方披露的情形外，交易对方均不存</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在针对其自身任何可能影响其签署或履行本协议及本协议项</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下交易能力的诉讼、仲裁或行政处罚。</w:t>
            </w:r>
          </w:p>
        </w:tc>
        <w:tc>
          <w:tcPr>
            <w:tcW w:w="155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r>
        <w:rPr/>
        <w:pict>
          <v:shape style="position:absolute;margin-left:398.870819pt;margin-top:57.18pt;width:218.65pt;height:470.05pt;mso-position-horizontal-relative:page;mso-position-vertical-relative:page;z-index:-15984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不得在其他与新开普及其关联公司、</w:t>
                  </w:r>
                </w:p>
              </w:txbxContent>
            </v:textbox>
            <w10:wrap type="none"/>
          </v:shape>
        </w:pict>
      </w:r>
      <w:r>
        <w:rPr/>
        <w:pict>
          <v:group style="position:absolute;margin-left:540.049988pt;margin-top:57.18pt;width:77.5pt;height:470.05pt;mso-position-horizontal-relative:page;mso-position-vertical-relative:page;z-index:-1598440" coordorigin="10801,1144" coordsize="1550,9401">
            <v:group style="position:absolute;left:10801;top:1144;width:1550;height:9401" coordorigin="10801,1144" coordsize="1550,9401">
              <v:shape style="position:absolute;left:10801;top:1144;width:1550;height:9401" coordorigin="10801,1144" coordsize="1550,9401" path="m10801,1144l12350,1144,12350,10544,10801,10544,10801,1144xe" filled="true" fillcolor="#ffffff" stroked="false">
                <v:path arrowok="t"/>
                <v:fill type="solid"/>
              </v:shape>
            </v:group>
            <v:group style="position:absolute;left:10824;top:5648;width:1503;height:392" coordorigin="10824,5648" coordsize="1503,392">
              <v:shape style="position:absolute;left:10824;top:5648;width:1503;height:392" coordorigin="10824,5648" coordsize="1503,392" path="m10824,5648l10824,6040,12326,6040,12326,5648,10824,5648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985"/>
        <w:gridCol w:w="1417"/>
        <w:gridCol w:w="1134"/>
        <w:gridCol w:w="4820"/>
        <w:gridCol w:w="1559"/>
        <w:gridCol w:w="1276"/>
        <w:gridCol w:w="1702"/>
      </w:tblGrid>
      <w:tr>
        <w:trPr>
          <w:trHeight w:val="377" w:hRule="exact"/>
        </w:trPr>
        <w:tc>
          <w:tcPr>
            <w:tcW w:w="1985" w:type="dxa"/>
            <w:vMerge w:val="restart"/>
            <w:tcBorders>
              <w:top w:val="single" w:sz="15" w:space="0" w:color="000000"/>
              <w:left w:val="single" w:sz="4" w:space="0" w:color="000000"/>
              <w:right w:val="single" w:sz="4" w:space="0" w:color="000000"/>
            </w:tcBorders>
            <w:shd w:val="clear" w:color="auto" w:fill="D3D3D3"/>
          </w:tcPr>
          <w:p>
            <w:pPr/>
          </w:p>
        </w:tc>
        <w:tc>
          <w:tcPr>
            <w:tcW w:w="1417" w:type="dxa"/>
            <w:tcBorders>
              <w:top w:val="single" w:sz="15" w:space="0" w:color="000000"/>
              <w:left w:val="single" w:sz="4" w:space="0" w:color="000000"/>
              <w:bottom w:val="nil" w:sz="6" w:space="0" w:color="auto"/>
              <w:right w:val="single" w:sz="4" w:space="0" w:color="000000"/>
            </w:tcBorders>
          </w:tcPr>
          <w:p>
            <w:pPr/>
          </w:p>
        </w:tc>
        <w:tc>
          <w:tcPr>
            <w:tcW w:w="1134" w:type="dxa"/>
            <w:tcBorders>
              <w:top w:val="single" w:sz="15" w:space="0" w:color="000000"/>
              <w:left w:val="single" w:sz="4" w:space="0" w:color="000000"/>
              <w:bottom w:val="nil" w:sz="6" w:space="0" w:color="auto"/>
              <w:right w:val="single" w:sz="4" w:space="0" w:color="000000"/>
            </w:tcBorders>
          </w:tcPr>
          <w:p>
            <w:pPr/>
          </w:p>
        </w:tc>
        <w:tc>
          <w:tcPr>
            <w:tcW w:w="482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、为保证上海树维持续发展和持续竞争优势，本人承诺，自</w:t>
            </w:r>
          </w:p>
        </w:tc>
        <w:tc>
          <w:tcPr>
            <w:tcW w:w="1559" w:type="dxa"/>
            <w:tcBorders>
              <w:top w:val="single" w:sz="15" w:space="0" w:color="000000"/>
              <w:left w:val="single" w:sz="4" w:space="0" w:color="000000"/>
              <w:bottom w:val="nil" w:sz="6" w:space="0" w:color="auto"/>
              <w:right w:val="single" w:sz="4" w:space="0" w:color="000000"/>
            </w:tcBorders>
          </w:tcPr>
          <w:p>
            <w:pPr/>
          </w:p>
        </w:tc>
        <w:tc>
          <w:tcPr>
            <w:tcW w:w="1276" w:type="dxa"/>
            <w:tcBorders>
              <w:top w:val="single" w:sz="15" w:space="0" w:color="000000"/>
              <w:left w:val="single" w:sz="4" w:space="0" w:color="000000"/>
              <w:bottom w:val="nil" w:sz="6" w:space="0" w:color="auto"/>
              <w:right w:val="single" w:sz="4" w:space="0" w:color="000000"/>
            </w:tcBorders>
          </w:tcPr>
          <w:p>
            <w:pPr/>
          </w:p>
        </w:tc>
        <w:tc>
          <w:tcPr>
            <w:tcW w:w="1702" w:type="dxa"/>
            <w:tcBorders>
              <w:top w:val="single" w:sz="15" w:space="0" w:color="000000"/>
              <w:left w:val="single" w:sz="4" w:space="0" w:color="000000"/>
              <w:bottom w:val="nil" w:sz="6" w:space="0" w:color="auto"/>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本承诺函签署之日起至本次交易完成期间在上海树维或其下</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属公司任职，自本次交易完成之日起至少在上海树维或其下</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属公司任职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个月，且在上海树维或其下属公司任职期限内</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未经新开普同意，不得在新开普及其关联公司、上海树维及</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其下属公司以外的单位任职或担任任何形式的顾问（不包括</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担任董事职务</w:t>
            </w:r>
            <w:r>
              <w:rPr>
                <w:rFonts w:ascii="宋体" w:hAnsi="宋体" w:cs="宋体" w:eastAsia="宋体" w:hint="default"/>
                <w:spacing w:val="-90"/>
                <w:sz w:val="18"/>
                <w:szCs w:val="18"/>
              </w:rPr>
              <w:t>）</w:t>
            </w:r>
            <w:r>
              <w:rPr>
                <w:rFonts w:ascii="宋体" w:hAnsi="宋体" w:cs="宋体" w:eastAsia="宋体" w:hint="default"/>
                <w:spacing w:val="-4"/>
                <w:sz w:val="18"/>
                <w:szCs w:val="18"/>
              </w:rPr>
              <w:t>，</w:t>
            </w:r>
            <w:r>
              <w:rPr>
                <w:rFonts w:ascii="宋体" w:hAnsi="宋体" w:cs="宋体" w:eastAsia="宋体" w:hint="default"/>
                <w:sz w:val="18"/>
                <w:szCs w:val="18"/>
              </w:rPr>
              <w:t>或从事与新开普及其关联公司</w:t>
            </w:r>
            <w:r>
              <w:rPr>
                <w:rFonts w:ascii="宋体" w:hAnsi="宋体" w:cs="宋体" w:eastAsia="宋体" w:hint="default"/>
                <w:spacing w:val="-3"/>
                <w:sz w:val="18"/>
                <w:szCs w:val="18"/>
              </w:rPr>
              <w:t>、</w:t>
            </w:r>
            <w:r>
              <w:rPr>
                <w:rFonts w:ascii="宋体" w:hAnsi="宋体" w:cs="宋体" w:eastAsia="宋体" w:hint="default"/>
                <w:sz w:val="18"/>
                <w:szCs w:val="18"/>
              </w:rPr>
              <w:t>上海</w:t>
            </w:r>
            <w:r>
              <w:rPr>
                <w:rFonts w:ascii="宋体" w:hAnsi="宋体" w:cs="宋体" w:eastAsia="宋体" w:hint="default"/>
                <w:spacing w:val="-2"/>
                <w:sz w:val="18"/>
                <w:szCs w:val="18"/>
              </w:rPr>
              <w:t>树</w:t>
            </w:r>
            <w:r>
              <w:rPr>
                <w:rFonts w:ascii="宋体" w:hAnsi="宋体" w:cs="宋体" w:eastAsia="宋体" w:hint="default"/>
                <w:sz w:val="18"/>
                <w:szCs w:val="18"/>
              </w:rPr>
              <w:t>维及</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其下属公司相同或类似的业务或通过直接或间接控制的其他</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经营主体从事该等业务，</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上海树维及其下属公司有竞争关系的公司任职或担任任何形</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式的顾</w:t>
            </w:r>
            <w:r>
              <w:rPr>
                <w:rFonts w:ascii="宋体" w:hAnsi="宋体" w:cs="宋体" w:eastAsia="宋体" w:hint="default"/>
                <w:spacing w:val="-4"/>
                <w:sz w:val="18"/>
                <w:szCs w:val="18"/>
              </w:rPr>
              <w:t>问</w:t>
            </w:r>
            <w:r>
              <w:rPr>
                <w:rFonts w:ascii="宋体" w:hAnsi="宋体" w:cs="宋体" w:eastAsia="宋体" w:hint="default"/>
                <w:sz w:val="18"/>
                <w:szCs w:val="18"/>
              </w:rPr>
              <w:t>（不包括担任董事职务</w:t>
            </w:r>
            <w:r>
              <w:rPr>
                <w:rFonts w:ascii="宋体" w:hAnsi="宋体" w:cs="宋体" w:eastAsia="宋体" w:hint="default"/>
                <w:spacing w:val="-90"/>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违反</w:t>
            </w:r>
            <w:r>
              <w:rPr>
                <w:rFonts w:ascii="宋体" w:hAnsi="宋体" w:cs="宋体" w:eastAsia="宋体" w:hint="default"/>
                <w:spacing w:val="-2"/>
                <w:sz w:val="18"/>
                <w:szCs w:val="18"/>
              </w:rPr>
              <w:t>前</w:t>
            </w:r>
            <w:r>
              <w:rPr>
                <w:rFonts w:ascii="宋体" w:hAnsi="宋体" w:cs="宋体" w:eastAsia="宋体" w:hint="default"/>
                <w:sz w:val="18"/>
                <w:szCs w:val="18"/>
              </w:rPr>
              <w:t>述承诺将承担因此</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给新开普和上海树维造成的一切损失，但是，本人有权对与</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新开普无竞争关系的相关公司进行投资，且不构成对本承诺</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1258"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2" w:right="22"/>
              <w:jc w:val="left"/>
              <w:rPr>
                <w:rFonts w:ascii="宋体" w:hAnsi="宋体" w:cs="宋体" w:eastAsia="宋体" w:hint="default"/>
                <w:sz w:val="18"/>
                <w:szCs w:val="18"/>
              </w:rPr>
            </w:pPr>
            <w:r>
              <w:rPr>
                <w:rFonts w:ascii="宋体" w:hAnsi="宋体" w:cs="宋体" w:eastAsia="宋体" w:hint="default"/>
                <w:sz w:val="18"/>
                <w:szCs w:val="18"/>
              </w:rPr>
              <w:t>现金购买资产的 </w:t>
            </w:r>
            <w:r>
              <w:rPr>
                <w:rFonts w:ascii="宋体" w:hAnsi="宋体" w:cs="宋体" w:eastAsia="宋体" w:hint="default"/>
                <w:spacing w:val="-10"/>
                <w:sz w:val="18"/>
                <w:szCs w:val="18"/>
              </w:rPr>
              <w:t>交易对方何伟、杨</w:t>
            </w:r>
            <w:r>
              <w:rPr>
                <w:rFonts w:ascii="宋体" w:hAnsi="宋体" w:cs="宋体" w:eastAsia="宋体" w:hint="default"/>
                <w:sz w:val="18"/>
                <w:szCs w:val="18"/>
              </w:rPr>
              <w:t> 宏生、王建成</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22"/>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12" w:lineRule="auto" w:before="20"/>
              <w:ind w:left="22" w:right="107"/>
              <w:jc w:val="both"/>
              <w:rPr>
                <w:rFonts w:ascii="宋体" w:hAnsi="宋体" w:cs="宋体" w:eastAsia="宋体" w:hint="default"/>
                <w:sz w:val="18"/>
                <w:szCs w:val="18"/>
              </w:rPr>
            </w:pPr>
            <w:r>
              <w:rPr>
                <w:rFonts w:ascii="宋体" w:hAnsi="宋体" w:cs="宋体" w:eastAsia="宋体" w:hint="default"/>
                <w:sz w:val="18"/>
                <w:szCs w:val="18"/>
              </w:rPr>
              <w:t>的违反。</w:t>
            </w:r>
            <w:r>
              <w:rPr>
                <w:rFonts w:ascii="Times New Roman" w:hAnsi="Times New Roman" w:cs="Times New Roman" w:eastAsia="Times New Roman" w:hint="default"/>
                <w:sz w:val="18"/>
                <w:szCs w:val="18"/>
              </w:rPr>
              <w:t>2</w:t>
            </w:r>
            <w:r>
              <w:rPr>
                <w:rFonts w:ascii="宋体" w:hAnsi="宋体" w:cs="宋体" w:eastAsia="宋体" w:hint="default"/>
                <w:sz w:val="18"/>
                <w:szCs w:val="18"/>
              </w:rPr>
              <w:t>、本人承诺，自上海树维或其子公司离职后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 月内不得在新开普及其关联公司以及、上海树维及其下属公 司以外，从事主营业务与新开普及其关联公司、上海树维及 其下属公司于离职时相同或类似的经营业务或通过直接或间</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47"/>
              <w:jc w:val="left"/>
              <w:rPr>
                <w:rFonts w:ascii="宋体" w:hAnsi="宋体" w:cs="宋体" w:eastAsia="宋体" w:hint="default"/>
                <w:sz w:val="18"/>
                <w:szCs w:val="18"/>
              </w:rPr>
            </w:pPr>
            <w:r>
              <w:rPr>
                <w:rFonts w:ascii="宋体" w:hAnsi="宋体" w:cs="宋体" w:eastAsia="宋体" w:hint="default"/>
                <w:sz w:val="18"/>
                <w:szCs w:val="18"/>
              </w:rPr>
              <w:t>截至报告期末，上述 承诺人严格信守承 诺，未发生违反承诺 的情况。</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接控制的其他经营主体从事该等业务；不在主营业务同新开</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普及其关联公司、上海树维及其下属公司于离职时存在相同</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或类似的经营业务的单位任职或者担任任何形式的顾问（不</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包括担任董事职务</w:t>
            </w:r>
            <w:r>
              <w:rPr>
                <w:rFonts w:ascii="宋体" w:hAnsi="宋体" w:cs="宋体" w:eastAsia="宋体" w:hint="default"/>
                <w:spacing w:val="-90"/>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t>不以上海树维及其下属公司以外的名义</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为上海树维及其下属公司现有及潜在客户提供与于离职时上</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海树维及其下属公司所从事的相同或类似的经营业务，违反</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前述承诺将承担因此给新开普和上海树维造成的一切损失。</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、本人承诺，严格遵守劳动合同的约定，尽责为上海树维提</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供相应的服务，并严格遵守新开普及上海树维的相关规章制</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度</w:t>
            </w:r>
            <w:r>
              <w:rPr>
                <w:rFonts w:ascii="宋体" w:hAnsi="宋体" w:cs="宋体" w:eastAsia="宋体" w:hint="default"/>
                <w:spacing w:val="-2"/>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2"/>
                <w:sz w:val="18"/>
                <w:szCs w:val="18"/>
              </w:rPr>
              <w:t>、</w:t>
            </w:r>
            <w:r>
              <w:rPr>
                <w:rFonts w:ascii="宋体" w:hAnsi="宋体" w:cs="宋体" w:eastAsia="宋体" w:hint="default"/>
                <w:sz w:val="18"/>
                <w:szCs w:val="18"/>
              </w:rPr>
              <w:t>存在以下情形的</w:t>
            </w:r>
            <w:r>
              <w:rPr>
                <w:rFonts w:ascii="宋体" w:hAnsi="宋体" w:cs="宋体" w:eastAsia="宋体" w:hint="default"/>
                <w:spacing w:val="-2"/>
                <w:sz w:val="18"/>
                <w:szCs w:val="18"/>
              </w:rPr>
              <w:t>，</w:t>
            </w:r>
            <w:r>
              <w:rPr>
                <w:rFonts w:ascii="宋体" w:hAnsi="宋体" w:cs="宋体" w:eastAsia="宋体" w:hint="default"/>
                <w:sz w:val="18"/>
                <w:szCs w:val="18"/>
              </w:rPr>
              <w:t>不视为本人违反本承诺函</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2"/>
                <w:sz w:val="18"/>
                <w:szCs w:val="18"/>
              </w:rPr>
              <w:t>）本</w:t>
            </w:r>
            <w:r>
              <w:rPr>
                <w:rFonts w:ascii="宋体" w:hAnsi="宋体" w:cs="宋体" w:eastAsia="宋体" w:hint="default"/>
                <w:sz w:val="18"/>
                <w:szCs w:val="18"/>
              </w:rPr>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人丧失或部分丧失民事行为能力、被宣告失踪、死亡或被宣</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告死亡而当然与新开普或上海树维及其下属公司终止劳动关</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系的</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）因新开普或上海树维及其下属公司自身原因主动</w:t>
            </w:r>
          </w:p>
        </w:tc>
        <w:tc>
          <w:tcPr>
            <w:tcW w:w="1559"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r>
        <w:rPr/>
        <w:pict>
          <v:shape style="position:absolute;margin-left:488.869904pt;margin-top:469.799988pt;width:128.65pt;height:64.4pt;mso-position-horizontal-relative:page;mso-position-vertical-relative:page;z-index:-159841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保证及承诺：</w:t>
                  </w:r>
                </w:p>
              </w:txbxContent>
            </v:textbox>
            <w10:wrap type="none"/>
          </v:shape>
        </w:pict>
      </w:r>
      <w:r>
        <w:rPr/>
        <w:pict>
          <v:group style="position:absolute;margin-left:242.330994pt;margin-top:309.299988pt;width:56.25pt;height:224.9pt;mso-position-horizontal-relative:page;mso-position-vertical-relative:page;z-index:-1598392" coordorigin="4847,6186" coordsize="1125,4498">
            <v:group style="position:absolute;left:4847;top:6186;width:1125;height:3201" coordorigin="4847,6186" coordsize="1125,3201">
              <v:shape style="position:absolute;left:4847;top:6186;width:1125;height:3201" coordorigin="4847,6186" coordsize="1125,3201" path="m4847,6186l4847,9386,5971,9386,5971,6186,4847,6186xe" filled="true" fillcolor="#ffffff" stroked="false">
                <v:path arrowok="t"/>
                <v:fill type="solid"/>
              </v:shape>
            </v:group>
            <v:group style="position:absolute;left:4869;top:7122;width:1079;height:352" coordorigin="4869,7122" coordsize="1079,352">
              <v:shape style="position:absolute;left:4869;top:7122;width:1079;height:352" coordorigin="4869,7122" coordsize="1079,352" path="m4869,7122l4869,7474,5948,7474,5948,7122,4869,7122xe" filled="true" fillcolor="#ffffff" stroked="false">
                <v:path arrowok="t"/>
                <v:fill type="solid"/>
              </v:shape>
            </v:group>
            <v:group style="position:absolute;left:4869;top:7474;width:1079;height:312" coordorigin="4869,7474" coordsize="1079,312">
              <v:shape style="position:absolute;left:4869;top:7474;width:1079;height:312" coordorigin="4869,7474" coordsize="1079,312" path="m4869,7474l4869,7786,5948,7786,5948,7474,4869,7474xe" filled="true" fillcolor="#ffffff" stroked="false">
                <v:path arrowok="t"/>
                <v:fill type="solid"/>
              </v:shape>
            </v:group>
            <v:group style="position:absolute;left:4869;top:7786;width:1079;height:312" coordorigin="4869,7786" coordsize="1079,312">
              <v:shape style="position:absolute;left:4869;top:7786;width:1079;height:312" coordorigin="4869,7786" coordsize="1079,312" path="m4869,7786l4869,8098,5948,8098,5948,7786,4869,7786xe" filled="true" fillcolor="#ffffff" stroked="false">
                <v:path arrowok="t"/>
                <v:fill type="solid"/>
              </v:shape>
            </v:group>
            <v:group style="position:absolute;left:4869;top:8098;width:1079;height:353" coordorigin="4869,8098" coordsize="1079,353">
              <v:shape style="position:absolute;left:4869;top:8098;width:1079;height:353" coordorigin="4869,8098" coordsize="1079,353" path="m4869,8098l4869,8450,5948,8450,5948,8098,4869,8098xe" filled="true" fillcolor="#ffffff" stroked="false">
                <v:path arrowok="t"/>
                <v:fill type="solid"/>
              </v:shape>
            </v:group>
            <v:group style="position:absolute;left:4847;top:9396;width:1125;height:1288" coordorigin="4847,9396" coordsize="1125,1288">
              <v:shape style="position:absolute;left:4847;top:9396;width:1125;height:1288" coordorigin="4847,9396" coordsize="1125,1288" path="m4847,9396l4847,10684,5971,10684,5971,9396,4847,9396xe" filled="true" fillcolor="#ffffff" stroked="false">
                <v:path arrowok="t"/>
                <v:fill type="solid"/>
              </v:shape>
            </v:group>
            <v:group style="position:absolute;left:4869;top:9844;width:1079;height:393" coordorigin="4869,9844" coordsize="1079,393">
              <v:shape style="position:absolute;left:4869;top:9844;width:1079;height:393" coordorigin="4869,9844" coordsize="1079,393" path="m4869,9844l4869,10236,5948,10236,5948,9844,4869,9844xe" filled="true" fillcolor="#ffffff" stroked="false">
                <v:path arrowok="t"/>
                <v:fill type="solid"/>
              </v:shape>
            </v:group>
            <w10:wrap type="none"/>
          </v:group>
        </w:pict>
      </w:r>
      <w:r>
        <w:rPr/>
        <w:pict>
          <v:group style="position:absolute;margin-left:540.049988pt;margin-top:469.799988pt;width:77.5pt;height:64.4pt;mso-position-horizontal-relative:page;mso-position-vertical-relative:page;z-index:-1598368" coordorigin="10801,9396" coordsize="1550,1288">
            <v:group style="position:absolute;left:10801;top:9396;width:1550;height:1288" coordorigin="10801,9396" coordsize="1550,1288">
              <v:shape style="position:absolute;left:10801;top:9396;width:1550;height:1288" coordorigin="10801,9396" coordsize="1550,1288" path="m10801,9396l12350,9396,12350,10684,10801,10684,10801,9396xe" filled="true" fillcolor="#ffffff" stroked="false">
                <v:path arrowok="t"/>
                <v:fill type="solid"/>
              </v:shape>
            </v:group>
            <v:group style="position:absolute;left:10824;top:9844;width:1503;height:393" coordorigin="10824,9844" coordsize="1503,393">
              <v:shape style="position:absolute;left:10824;top:9844;width:1503;height:393" coordorigin="10824,9844" coordsize="1503,393" path="m10824,9844l10824,10236,12326,10236,12326,9844,10824,9844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985"/>
        <w:gridCol w:w="1417"/>
        <w:gridCol w:w="1134"/>
        <w:gridCol w:w="4820"/>
        <w:gridCol w:w="1559"/>
        <w:gridCol w:w="1276"/>
        <w:gridCol w:w="1702"/>
      </w:tblGrid>
      <w:tr>
        <w:trPr>
          <w:trHeight w:val="331" w:hRule="exact"/>
        </w:trPr>
        <w:tc>
          <w:tcPr>
            <w:tcW w:w="1985"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482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解聘本人或者批准本人离职的，或因新开普或上海树维调动</w:t>
            </w:r>
          </w:p>
        </w:tc>
        <w:tc>
          <w:tcPr>
            <w:tcW w:w="1559" w:type="dxa"/>
            <w:vMerge w:val="restart"/>
            <w:tcBorders>
              <w:top w:val="single" w:sz="15" w:space="0" w:color="000000"/>
              <w:left w:val="single" w:sz="4" w:space="0" w:color="000000"/>
              <w:right w:val="single" w:sz="4" w:space="0" w:color="000000"/>
            </w:tcBorders>
          </w:tcPr>
          <w:p>
            <w:pPr/>
          </w:p>
        </w:tc>
        <w:tc>
          <w:tcPr>
            <w:tcW w:w="1276" w:type="dxa"/>
            <w:vMerge w:val="restart"/>
            <w:tcBorders>
              <w:top w:val="single" w:sz="15" w:space="0" w:color="000000"/>
              <w:left w:val="single" w:sz="4" w:space="0" w:color="000000"/>
              <w:right w:val="single" w:sz="4" w:space="0" w:color="000000"/>
            </w:tcBorders>
          </w:tcPr>
          <w:p>
            <w:pPr/>
          </w:p>
        </w:tc>
        <w:tc>
          <w:tcPr>
            <w:tcW w:w="1702" w:type="dxa"/>
            <w:vMerge w:val="restart"/>
            <w:tcBorders>
              <w:top w:val="single" w:sz="15" w:space="0" w:color="000000"/>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本人的工作城市、减少薪酬导致劳动关系终止的，不视为本</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人违反本承诺函约定的任职期限承诺</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）新开普书面同意</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修改本承诺函约定的任职期限及竞业禁止承诺的。</w:t>
            </w:r>
            <w:r>
              <w:rPr>
                <w:rFonts w:ascii="Times New Roman" w:hAnsi="Times New Roman" w:cs="Times New Roman" w:eastAsia="Times New Roman" w:hint="default"/>
                <w:sz w:val="18"/>
                <w:szCs w:val="18"/>
              </w:rPr>
              <w:t>5</w:t>
            </w:r>
            <w:r>
              <w:rPr>
                <w:rFonts w:ascii="宋体" w:hAnsi="宋体" w:cs="宋体" w:eastAsia="宋体" w:hint="default"/>
                <w:sz w:val="18"/>
                <w:szCs w:val="18"/>
              </w:rPr>
              <w:t>、本人承</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诺，截至本承诺函签署日，在上海树维及其子公司任职不存</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在违反上海树维的任何规章制度、不存在与其他单位签署的</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任何劳动合同的情形。</w:t>
            </w:r>
            <w:r>
              <w:rPr>
                <w:rFonts w:ascii="Times New Roman" w:hAnsi="Times New Roman" w:cs="Times New Roman" w:eastAsia="Times New Roman" w:hint="default"/>
                <w:sz w:val="18"/>
                <w:szCs w:val="18"/>
              </w:rPr>
              <w:t>6</w:t>
            </w:r>
            <w:r>
              <w:rPr>
                <w:rFonts w:ascii="宋体" w:hAnsi="宋体" w:cs="宋体" w:eastAsia="宋体" w:hint="default"/>
                <w:sz w:val="18"/>
                <w:szCs w:val="18"/>
              </w:rPr>
              <w:t>、自本承诺函签署之日起，如本人自</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上海树维或其下属企业单方离职的，本人应当向新开普支付</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违约金，应支付的违约金为：本人任职未满承诺任职期限（自</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本承诺函签署之日起至本次交易完成届满四十八个月的期间</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的差额）月度数量</w:t>
            </w:r>
            <w:r>
              <w:rPr>
                <w:rFonts w:ascii="Times New Roman" w:hAnsi="Times New Roman" w:cs="Times New Roman" w:eastAsia="Times New Roman" w:hint="default"/>
                <w:sz w:val="18"/>
                <w:szCs w:val="18"/>
              </w:rPr>
              <w:t>×</w:t>
            </w:r>
            <w:r>
              <w:rPr>
                <w:rFonts w:ascii="宋体" w:hAnsi="宋体" w:cs="宋体" w:eastAsia="宋体" w:hint="default"/>
                <w:sz w:val="18"/>
                <w:szCs w:val="18"/>
              </w:rPr>
              <w:t>本人离职前一年从上海树维或其下属公司</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取得的平均年收入（包括但不限工资、奖金、绩效等全部收</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入）</w:t>
            </w:r>
            <w:r>
              <w:rPr>
                <w:rFonts w:ascii="Times New Roman" w:hAnsi="Times New Roman" w:cs="Times New Roman" w:eastAsia="Times New Roman" w:hint="default"/>
                <w:sz w:val="18"/>
                <w:szCs w:val="18"/>
              </w:rPr>
              <w:t>÷12</w:t>
            </w:r>
            <w:r>
              <w:rPr>
                <w:rFonts w:ascii="宋体" w:hAnsi="宋体" w:cs="宋体" w:eastAsia="宋体" w:hint="default"/>
                <w:sz w:val="18"/>
                <w:szCs w:val="18"/>
              </w:rPr>
              <w:t>；同时，本人承诺本人或本人控制的其他公司、企业</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或其他经营实体因违反上述声明与承诺所得的收入全部归新</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3"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开普、上海树维所有，并赔偿新开普及上海树维因此遭受的</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全部损失。</w:t>
            </w:r>
          </w:p>
        </w:tc>
        <w:tc>
          <w:tcPr>
            <w:tcW w:w="155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362" w:hRule="exact"/>
        </w:trPr>
        <w:tc>
          <w:tcPr>
            <w:tcW w:w="1985"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、自本承诺函签署日起五年内，本人不再从事主营业务（包</w:t>
            </w:r>
          </w:p>
        </w:tc>
        <w:tc>
          <w:tcPr>
            <w:tcW w:w="1559"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括直接和间接）与上海树维在本协议签署日所从事业务（上</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海树维在本协议签署日所从事的业务为：高校一卡通、高校</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1253"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22"/>
              <w:jc w:val="both"/>
              <w:rPr>
                <w:rFonts w:ascii="宋体" w:hAnsi="宋体" w:cs="宋体" w:eastAsia="宋体" w:hint="default"/>
                <w:sz w:val="18"/>
                <w:szCs w:val="18"/>
              </w:rPr>
            </w:pPr>
            <w:r>
              <w:rPr>
                <w:rFonts w:ascii="宋体" w:hAnsi="宋体" w:cs="宋体" w:eastAsia="宋体" w:hint="default"/>
                <w:sz w:val="18"/>
                <w:szCs w:val="18"/>
              </w:rPr>
              <w:t>现金购买资产的 交易对方乔志刚 吴琼</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关于同业竞</w:t>
            </w:r>
          </w:p>
          <w:p>
            <w:pPr>
              <w:pStyle w:val="TableParagraph"/>
              <w:spacing w:line="196" w:lineRule="exact" w:before="75"/>
              <w:ind w:left="22" w:right="0"/>
              <w:jc w:val="left"/>
              <w:rPr>
                <w:rFonts w:ascii="宋体" w:hAnsi="宋体" w:cs="宋体" w:eastAsia="宋体" w:hint="default"/>
                <w:sz w:val="18"/>
                <w:szCs w:val="18"/>
              </w:rPr>
            </w:pPr>
            <w:r>
              <w:rPr>
                <w:rFonts w:ascii="宋体" w:hAnsi="宋体" w:cs="宋体" w:eastAsia="宋体" w:hint="default"/>
                <w:sz w:val="18"/>
                <w:szCs w:val="18"/>
              </w:rPr>
              <w:t>争、关联交</w:t>
            </w:r>
          </w:p>
          <w:p>
            <w:pPr>
              <w:pStyle w:val="TableParagraph"/>
              <w:spacing w:line="156"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易、资金占用</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2" w:right="17"/>
              <w:jc w:val="left"/>
              <w:rPr>
                <w:rFonts w:ascii="宋体" w:hAnsi="宋体" w:cs="宋体" w:eastAsia="宋体" w:hint="default"/>
                <w:sz w:val="18"/>
                <w:szCs w:val="18"/>
              </w:rPr>
            </w:pPr>
            <w:r>
              <w:rPr>
                <w:rFonts w:ascii="宋体" w:hAnsi="宋体" w:cs="宋体" w:eastAsia="宋体" w:hint="default"/>
                <w:sz w:val="18"/>
                <w:szCs w:val="18"/>
              </w:rPr>
              <w:t>数字化校园与教务管理系统软件及服务）相竞争的业务。</w:t>
            </w:r>
            <w:r>
              <w:rPr>
                <w:rFonts w:ascii="Times New Roman" w:hAnsi="Times New Roman" w:cs="Times New Roman" w:eastAsia="Times New Roman" w:hint="default"/>
                <w:sz w:val="18"/>
                <w:szCs w:val="18"/>
              </w:rPr>
              <w:t>2</w:t>
            </w:r>
            <w:r>
              <w:rPr>
                <w:rFonts w:ascii="宋体" w:hAnsi="宋体" w:cs="宋体" w:eastAsia="宋体" w:hint="default"/>
                <w:sz w:val="18"/>
                <w:szCs w:val="18"/>
              </w:rPr>
              <w:t>、 自本承诺函签署日起五年内，本人不得投资主营业务与竞争 业务相同的企业、公司或其他组织（不包括二级市场购买股 </w:t>
            </w:r>
            <w:r>
              <w:rPr>
                <w:rFonts w:ascii="宋体" w:hAnsi="宋体" w:cs="宋体" w:eastAsia="宋体" w:hint="default"/>
                <w:spacing w:val="-9"/>
                <w:sz w:val="18"/>
                <w:szCs w:val="18"/>
              </w:rPr>
              <w:t>票）。以上承诺均有效期</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pacing w:val="-1"/>
                <w:sz w:val="18"/>
                <w:szCs w:val="18"/>
              </w:rPr>
              <w:t>年，如违反上述承诺，本人愿意赔</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47"/>
              <w:jc w:val="left"/>
              <w:rPr>
                <w:rFonts w:ascii="宋体" w:hAnsi="宋体" w:cs="宋体" w:eastAsia="宋体" w:hint="default"/>
                <w:sz w:val="18"/>
                <w:szCs w:val="18"/>
              </w:rPr>
            </w:pPr>
            <w:r>
              <w:rPr>
                <w:rFonts w:ascii="宋体" w:hAnsi="宋体" w:cs="宋体" w:eastAsia="宋体" w:hint="default"/>
                <w:sz w:val="18"/>
                <w:szCs w:val="18"/>
              </w:rPr>
              <w:t>截至报告期末，上述 承诺人严格信守承 诺，未发生违反承诺 的情况。</w:t>
            </w: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偿新开普及其关联公司、上海树维及其下属企业所遭受的一</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切经济损失及因此而支出的额外费用并承担相应的法律责</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任。</w:t>
            </w:r>
          </w:p>
        </w:tc>
        <w:tc>
          <w:tcPr>
            <w:tcW w:w="1559"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r>
      <w:tr>
        <w:trPr>
          <w:trHeight w:val="1298"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吴凤辉、王权汉 王爱娟、陈军方 </w:t>
            </w:r>
            <w:r>
              <w:rPr>
                <w:rFonts w:ascii="宋体" w:hAnsi="宋体" w:cs="宋体" w:eastAsia="宋体" w:hint="default"/>
                <w:spacing w:val="-10"/>
                <w:sz w:val="18"/>
                <w:szCs w:val="18"/>
              </w:rPr>
              <w:t>叶泽泉、福建新开</w:t>
            </w:r>
            <w:r>
              <w:rPr>
                <w:rFonts w:ascii="宋体" w:hAnsi="宋体" w:cs="宋体" w:eastAsia="宋体" w:hint="default"/>
                <w:sz w:val="18"/>
                <w:szCs w:val="18"/>
              </w:rPr>
              <w:t> 普信息科技有限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6" w:lineRule="exact" w:before="75"/>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6" w:lineRule="exact"/>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、关于协议及本次交易相关批准和授权的声明、</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）福建新开普信息科技有限公司为依据中国法律依法设立 并合法有效存续的企业法人，吴凤辉、王权汉、王爱娟、陈 军方、叶泽泉、为福建新开普信息科技有限公司股东，合法</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7"/>
              <w:jc w:val="left"/>
              <w:rPr>
                <w:rFonts w:ascii="宋体" w:hAnsi="宋体" w:cs="宋体" w:eastAsia="宋体" w:hint="default"/>
                <w:sz w:val="18"/>
                <w:szCs w:val="18"/>
              </w:rPr>
            </w:pPr>
            <w:r>
              <w:rPr>
                <w:rFonts w:ascii="宋体" w:hAnsi="宋体" w:cs="宋体" w:eastAsia="宋体" w:hint="default"/>
                <w:sz w:val="18"/>
                <w:szCs w:val="18"/>
              </w:rPr>
              <w:t>截至报告期末，上述 承诺人严格信守承 诺，未发生违反承诺</w:t>
            </w:r>
          </w:p>
        </w:tc>
      </w:tr>
    </w:tbl>
    <w:p>
      <w:pPr>
        <w:spacing w:after="0" w:line="316" w:lineRule="auto"/>
        <w:jc w:val="left"/>
        <w:rPr>
          <w:rFonts w:ascii="宋体" w:hAnsi="宋体" w:cs="宋体" w:eastAsia="宋体" w:hint="default"/>
          <w:sz w:val="18"/>
          <w:szCs w:val="18"/>
        </w:rPr>
        <w:sectPr>
          <w:pgSz w:w="16840" w:h="11910" w:orient="landscape"/>
          <w:pgMar w:header="867" w:footer="978" w:top="1060" w:bottom="1200" w:left="1320" w:right="1340"/>
        </w:sectPr>
      </w:pPr>
    </w:p>
    <w:p>
      <w:pPr>
        <w:spacing w:line="240" w:lineRule="auto" w:before="4"/>
        <w:rPr>
          <w:rFonts w:ascii="Times New Roman" w:hAnsi="Times New Roman" w:cs="Times New Roman" w:eastAsia="Times New Roman" w:hint="default"/>
          <w:sz w:val="3"/>
          <w:szCs w:val="3"/>
        </w:rPr>
      </w:pPr>
      <w:r>
        <w:rPr/>
        <w:pict>
          <v:shape style="position:absolute;margin-left:407.810516pt;margin-top:57.18pt;width:209.7pt;height:468pt;mso-position-horizontal-relative:page;mso-position-vertical-relative:page;z-index:-15983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34"/>
                    <w:ind w:left="0" w:right="0" w:firstLine="361"/>
                    <w:jc w:val="left"/>
                    <w:rPr>
                      <w:rFonts w:ascii="宋体" w:hAnsi="宋体" w:cs="宋体" w:eastAsia="宋体" w:hint="default"/>
                      <w:sz w:val="18"/>
                      <w:szCs w:val="18"/>
                    </w:rPr>
                  </w:pPr>
                  <w:r>
                    <w:rPr>
                      <w:rFonts w:ascii="宋体" w:hAnsi="宋体" w:cs="宋体" w:eastAsia="宋体" w:hint="default"/>
                      <w:sz w:val="18"/>
                      <w:szCs w:val="18"/>
                    </w:rPr>
                    <w:t>叶泽泉对标的资产具有合法、</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证不会对标的资产进行再次出售、</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1985"/>
        <w:gridCol w:w="1417"/>
        <w:gridCol w:w="1134"/>
        <w:gridCol w:w="4820"/>
        <w:gridCol w:w="1559"/>
        <w:gridCol w:w="1276"/>
        <w:gridCol w:w="1702"/>
      </w:tblGrid>
      <w:tr>
        <w:trPr>
          <w:trHeight w:val="332" w:hRule="exact"/>
        </w:trPr>
        <w:tc>
          <w:tcPr>
            <w:tcW w:w="1985" w:type="dxa"/>
            <w:vMerge w:val="restart"/>
            <w:tcBorders>
              <w:top w:val="single" w:sz="15" w:space="0" w:color="000000"/>
              <w:left w:val="single" w:sz="4" w:space="0" w:color="000000"/>
              <w:right w:val="single" w:sz="4" w:space="0" w:color="000000"/>
            </w:tcBorders>
            <w:shd w:val="clear" w:color="auto" w:fill="D3D3D3"/>
          </w:tcPr>
          <w:p>
            <w:pPr/>
          </w:p>
        </w:tc>
        <w:tc>
          <w:tcPr>
            <w:tcW w:w="1417"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4" w:type="dxa"/>
            <w:vMerge w:val="restart"/>
            <w:tcBorders>
              <w:top w:val="single" w:sz="15" w:space="0" w:color="000000"/>
              <w:left w:val="single" w:sz="4" w:space="0" w:color="000000"/>
              <w:right w:val="single" w:sz="4" w:space="0" w:color="000000"/>
            </w:tcBorders>
          </w:tcPr>
          <w:p>
            <w:pPr/>
          </w:p>
        </w:tc>
        <w:tc>
          <w:tcPr>
            <w:tcW w:w="482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持有福建新开普信息科技有限公司股权；吴凤辉、王权汉、</w:t>
            </w:r>
          </w:p>
        </w:tc>
        <w:tc>
          <w:tcPr>
            <w:tcW w:w="1559" w:type="dxa"/>
            <w:vMerge w:val="restart"/>
            <w:tcBorders>
              <w:top w:val="single" w:sz="15" w:space="0" w:color="000000"/>
              <w:left w:val="single" w:sz="4" w:space="0" w:color="000000"/>
              <w:right w:val="single" w:sz="4" w:space="0" w:color="000000"/>
            </w:tcBorders>
          </w:tcPr>
          <w:p>
            <w:pPr>
              <w:pStyle w:val="TableParagraph"/>
              <w:spacing w:line="936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77.5pt;height:468pt;mso-position-horizontal-relative:char;mso-position-vertical-relative:line" coordorigin="0,0" coordsize="1550,9360">
                  <v:group style="position:absolute;left:0;top:0;width:1550;height:9360" coordorigin="0,0" coordsize="1550,9360">
                    <v:shape style="position:absolute;left:0;top:0;width:1550;height:9360" coordorigin="0,0" coordsize="1550,9360" path="m0,0l1549,0,1549,9360,0,9360,0,0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1276" w:type="dxa"/>
            <w:vMerge w:val="restart"/>
            <w:tcBorders>
              <w:top w:val="single" w:sz="15" w:space="0" w:color="000000"/>
              <w:left w:val="single" w:sz="4" w:space="0" w:color="000000"/>
              <w:right w:val="single" w:sz="4" w:space="0" w:color="000000"/>
            </w:tcBorders>
          </w:tcPr>
          <w:p>
            <w:pPr/>
          </w:p>
        </w:tc>
        <w:tc>
          <w:tcPr>
            <w:tcW w:w="1702"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311"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王爱娟、陈军方、叶泽泉、福建新开普信息科技有限公司具</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有一切必要的权利及能力订立协议及履行本协议项下的所有</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义务和责任；吴凤辉、王权汉、王爱娟、陈军方、叶泽泉自</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身并已促使福建新开普信息科技有限公司内部决策机构依照</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法定程序批准了协议约定事</w:t>
            </w:r>
            <w:r>
              <w:rPr>
                <w:rFonts w:ascii="宋体" w:hAnsi="宋体" w:cs="宋体" w:eastAsia="宋体" w:hint="default"/>
                <w:spacing w:val="-4"/>
                <w:sz w:val="18"/>
                <w:szCs w:val="18"/>
              </w:rPr>
              <w:t>项</w:t>
            </w:r>
            <w:r>
              <w:rPr>
                <w:rFonts w:ascii="宋体" w:hAnsi="宋体" w:cs="宋体" w:eastAsia="宋体" w:hint="default"/>
                <w:sz w:val="18"/>
                <w:szCs w:val="18"/>
              </w:rPr>
              <w:t>（如需</w:t>
            </w:r>
            <w:r>
              <w:rPr>
                <w:rFonts w:ascii="宋体" w:hAnsi="宋体" w:cs="宋体" w:eastAsia="宋体" w:hint="default"/>
                <w:spacing w:val="-90"/>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协议一经签署即对吴</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凤辉、王权汉、王爱娟、陈军方、叶泽泉、福建新开普信息</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科技有限公司均具有法律约束力</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）针对协议所述本次交</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易涉及之待协议签署后须由吴凤辉、王权汉、王爱娟、陈军</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方、叶泽泉、福建新开普信息科技有限公司取得的相关批准</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或授权，吴凤辉、王权汉、王爱娟、陈军方、叶泽泉、福建</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新开普信息科技有限公司均应尽自身最大努力获得。</w:t>
            </w:r>
            <w:r>
              <w:rPr>
                <w:rFonts w:ascii="Times New Roman" w:hAnsi="Times New Roman" w:cs="Times New Roman" w:eastAsia="Times New Roman" w:hint="default"/>
                <w:sz w:val="18"/>
                <w:szCs w:val="18"/>
              </w:rPr>
              <w:t>2</w:t>
            </w:r>
            <w:r>
              <w:rPr>
                <w:rFonts w:ascii="宋体" w:hAnsi="宋体" w:cs="宋体" w:eastAsia="宋体" w:hint="default"/>
                <w:sz w:val="18"/>
                <w:szCs w:val="18"/>
              </w:rPr>
              <w:t>、关于</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标的资产的声明、保证及承诺</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）截至协议签署日，吴凤</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辉、王权汉、王爱娟、陈军方、</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完整的所有权，有权签署协议并转让标的资产，该标的资产</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或与其相关的任何权利和利益，不存在司法冻结或为任何其</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他第三方设定质押、抵押或其他承诺致使乙方无法将本协议</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所述标的资产转让给甲方的限制情形；甲方于标的资产交割</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日将享有作为标的资产的所有者依法应享有的一切权利（包</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括但不限于依法占有、使用、收益和处分标的资产的权利</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）截至协议签署日，吴凤辉、王权汉、王爱娟、陈军方、</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叶泽泉对标的资产的权利的行使没有侵犯任何第三方的在先</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权利，并无任何第三方提出关于标的资产侵犯其合法权益的</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任何相关权利主张或要求；于协议项下交割日后，新开普电</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子股份有限公司对标的资产的权利的合法行使亦不会侵犯任</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何第三方的在先合法权益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）截至协议签署日，亦无任何</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直接或间接与标的资产有关的争议、行政处罚、诉讼、仲裁</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或权利主张</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）自本协议签署之日起，吴凤辉、王权汉、</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王爱娟、陈军方、叶泽泉保</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抵押、质押、托管或设置任何形式的权利负担或第三方权利</w:t>
            </w:r>
          </w:p>
        </w:tc>
        <w:tc>
          <w:tcPr>
            <w:tcW w:w="155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r>
        <w:rPr/>
        <w:pict>
          <v:shape style="position:absolute;margin-left:470.811401pt;margin-top:57.18pt;width:146.7pt;height:468pt;mso-position-horizontal-relative:page;mso-position-vertical-relative:page;z-index:-15982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9"/>
                      <w:szCs w:val="19"/>
                    </w:rPr>
                  </w:pPr>
                </w:p>
                <w:p>
                  <w:pPr>
                    <w:spacing w:before="0"/>
                    <w:ind w:left="0" w:right="0" w:firstLine="361"/>
                    <w:jc w:val="left"/>
                    <w:rPr>
                      <w:rFonts w:ascii="宋体" w:hAnsi="宋体" w:cs="宋体" w:eastAsia="宋体" w:hint="default"/>
                      <w:sz w:val="18"/>
                      <w:szCs w:val="18"/>
                    </w:rPr>
                  </w:pPr>
                  <w:r>
                    <w:rPr>
                      <w:rFonts w:ascii="宋体" w:hAnsi="宋体" w:cs="宋体" w:eastAsia="宋体" w:hint="default"/>
                      <w:sz w:val="18"/>
                      <w:szCs w:val="18"/>
                    </w:rPr>
                    <w:t>签订备忘录、</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如存在前述合同、</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spacing w:before="0"/>
                    <w:ind w:left="361" w:right="0" w:firstLine="360"/>
                    <w:jc w:val="left"/>
                    <w:rPr>
                      <w:rFonts w:ascii="宋体" w:hAnsi="宋体" w:cs="宋体" w:eastAsia="宋体" w:hint="default"/>
                      <w:sz w:val="18"/>
                      <w:szCs w:val="18"/>
                    </w:rPr>
                  </w:pPr>
                  <w:r>
                    <w:rPr>
                      <w:rFonts w:ascii="宋体" w:hAnsi="宋体" w:cs="宋体" w:eastAsia="宋体" w:hint="default"/>
                      <w:sz w:val="18"/>
                      <w:szCs w:val="18"/>
                    </w:rPr>
                    <w:t>吴凤辉、</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spacing w:before="0"/>
                    <w:ind w:left="361" w:right="0" w:firstLine="0"/>
                    <w:jc w:val="left"/>
                    <w:rPr>
                      <w:rFonts w:ascii="宋体" w:hAnsi="宋体" w:cs="宋体" w:eastAsia="宋体" w:hint="default"/>
                      <w:sz w:val="18"/>
                      <w:szCs w:val="18"/>
                    </w:rPr>
                  </w:pPr>
                  <w:r>
                    <w:rPr>
                      <w:rFonts w:ascii="宋体" w:hAnsi="宋体" w:cs="宋体" w:eastAsia="宋体" w:hint="default"/>
                      <w:sz w:val="18"/>
                      <w:szCs w:val="18"/>
                    </w:rPr>
                    <w:t>并在吴凤辉、</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1985"/>
        <w:gridCol w:w="1417"/>
        <w:gridCol w:w="1134"/>
        <w:gridCol w:w="4820"/>
        <w:gridCol w:w="1559"/>
        <w:gridCol w:w="1276"/>
        <w:gridCol w:w="1702"/>
      </w:tblGrid>
      <w:tr>
        <w:trPr>
          <w:trHeight w:val="331" w:hRule="exact"/>
        </w:trPr>
        <w:tc>
          <w:tcPr>
            <w:tcW w:w="1985"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482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（包括优先购买权或优先认购权等</w:t>
            </w:r>
            <w:r>
              <w:rPr>
                <w:rFonts w:ascii="宋体" w:hAnsi="宋体" w:cs="宋体" w:eastAsia="宋体" w:hint="default"/>
                <w:spacing w:val="-90"/>
                <w:sz w:val="18"/>
                <w:szCs w:val="18"/>
              </w:rPr>
              <w:t>）</w:t>
            </w:r>
            <w:r>
              <w:rPr>
                <w:rFonts w:ascii="宋体" w:hAnsi="宋体" w:cs="宋体" w:eastAsia="宋体" w:hint="default"/>
                <w:sz w:val="18"/>
                <w:szCs w:val="18"/>
              </w:rPr>
              <w:t>，亦不就标的资产的转</w:t>
            </w:r>
          </w:p>
        </w:tc>
        <w:tc>
          <w:tcPr>
            <w:tcW w:w="1559" w:type="dxa"/>
            <w:vMerge w:val="restart"/>
            <w:tcBorders>
              <w:top w:val="single" w:sz="15" w:space="0" w:color="000000"/>
              <w:left w:val="single" w:sz="4" w:space="0" w:color="000000"/>
              <w:right w:val="single" w:sz="4" w:space="0" w:color="000000"/>
            </w:tcBorders>
          </w:tcPr>
          <w:p>
            <w:pPr>
              <w:pStyle w:val="TableParagraph"/>
              <w:spacing w:line="936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77.5pt;height:468pt;mso-position-horizontal-relative:char;mso-position-vertical-relative:line" coordorigin="0,0" coordsize="1550,9360">
                  <v:group style="position:absolute;left:0;top:0;width:1550;height:9360" coordorigin="0,0" coordsize="1550,9360">
                    <v:shape style="position:absolute;left:0;top:0;width:1550;height:9360" coordorigin="0,0" coordsize="1550,9360" path="m0,0l1549,0,1549,9360,0,9360,0,0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1276" w:type="dxa"/>
            <w:vMerge w:val="restart"/>
            <w:tcBorders>
              <w:top w:val="single" w:sz="15" w:space="0" w:color="000000"/>
              <w:left w:val="single" w:sz="4" w:space="0" w:color="000000"/>
              <w:right w:val="single" w:sz="4" w:space="0" w:color="000000"/>
            </w:tcBorders>
          </w:tcPr>
          <w:p>
            <w:pPr/>
          </w:p>
        </w:tc>
        <w:tc>
          <w:tcPr>
            <w:tcW w:w="1702" w:type="dxa"/>
            <w:vMerge w:val="restart"/>
            <w:tcBorders>
              <w:top w:val="single" w:sz="15" w:space="0" w:color="000000"/>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让、抵押、质押、托管或设置任何形式的权利负担或第三方</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权利等事宜与其它任何第三方进行交易性接触，</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合同书、谅解备忘录，或与标的资产转让相冲突、或包含禁</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止或限制标的资产转让条款的各种形式的法律文件；福建新</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开普信息科技有限公司保证监督乙方不进行前述处置标的资</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产的行为</w:t>
            </w:r>
            <w:r>
              <w:rPr>
                <w:rFonts w:ascii="宋体" w:hAnsi="宋体" w:cs="宋体" w:eastAsia="宋体" w:hint="default"/>
                <w:spacing w:val="-2"/>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2"/>
                <w:sz w:val="18"/>
                <w:szCs w:val="18"/>
              </w:rPr>
              <w:t>、</w:t>
            </w:r>
            <w:r>
              <w:rPr>
                <w:rFonts w:ascii="宋体" w:hAnsi="宋体" w:cs="宋体" w:eastAsia="宋体" w:hint="default"/>
                <w:sz w:val="18"/>
                <w:szCs w:val="18"/>
              </w:rPr>
              <w:t>关于协议的其他声明</w:t>
            </w:r>
            <w:r>
              <w:rPr>
                <w:rFonts w:ascii="宋体" w:hAnsi="宋体" w:cs="宋体" w:eastAsia="宋体" w:hint="default"/>
                <w:spacing w:val="-2"/>
                <w:sz w:val="18"/>
                <w:szCs w:val="18"/>
              </w:rPr>
              <w:t>、</w:t>
            </w:r>
            <w:r>
              <w:rPr>
                <w:rFonts w:ascii="宋体" w:hAnsi="宋体" w:cs="宋体" w:eastAsia="宋体" w:hint="default"/>
                <w:sz w:val="18"/>
                <w:szCs w:val="18"/>
              </w:rPr>
              <w:t>保证及承诺</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2"/>
                <w:sz w:val="18"/>
                <w:szCs w:val="18"/>
              </w:rPr>
              <w:t>）</w:t>
            </w:r>
            <w:r>
              <w:rPr>
                <w:rFonts w:ascii="宋体" w:hAnsi="宋体" w:cs="宋体" w:eastAsia="宋体" w:hint="default"/>
                <w:sz w:val="18"/>
                <w:szCs w:val="18"/>
              </w:rPr>
              <w:t>协议</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约定的内容并不违反目标公司的章程或其他形式的文件或应</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适用于目标公司及其股东的法律、法规和政府机关的行政命</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令，或其他任何目标公司及其股东为其中一方订立的合同或</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法律文件。协议约定的内容并不会解除任何第三方的义务或</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者授予其行使任何权利（包括任何终止权、优先取得权或其</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他选择权</w:t>
            </w:r>
            <w:r>
              <w:rPr>
                <w:rFonts w:ascii="宋体" w:hAnsi="宋体" w:cs="宋体" w:eastAsia="宋体" w:hint="default"/>
                <w:spacing w:val="-90"/>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2"/>
                <w:sz w:val="18"/>
                <w:szCs w:val="18"/>
              </w:rPr>
              <w:t>）</w:t>
            </w:r>
            <w:r>
              <w:rPr>
                <w:rFonts w:ascii="宋体" w:hAnsi="宋体" w:cs="宋体" w:eastAsia="宋体" w:hint="default"/>
                <w:sz w:val="18"/>
                <w:szCs w:val="18"/>
              </w:rPr>
              <w:t>吴凤辉</w:t>
            </w:r>
            <w:r>
              <w:rPr>
                <w:rFonts w:ascii="宋体" w:hAnsi="宋体" w:cs="宋体" w:eastAsia="宋体" w:hint="default"/>
                <w:spacing w:val="-2"/>
                <w:sz w:val="18"/>
                <w:szCs w:val="18"/>
              </w:rPr>
              <w:t>、</w:t>
            </w:r>
            <w:r>
              <w:rPr>
                <w:rFonts w:ascii="宋体" w:hAnsi="宋体" w:cs="宋体" w:eastAsia="宋体" w:hint="default"/>
                <w:sz w:val="18"/>
                <w:szCs w:val="18"/>
              </w:rPr>
              <w:t>王权汉</w:t>
            </w:r>
            <w:r>
              <w:rPr>
                <w:rFonts w:ascii="宋体" w:hAnsi="宋体" w:cs="宋体" w:eastAsia="宋体" w:hint="default"/>
                <w:spacing w:val="-2"/>
                <w:sz w:val="18"/>
                <w:szCs w:val="18"/>
              </w:rPr>
              <w:t>、</w:t>
            </w:r>
            <w:r>
              <w:rPr>
                <w:rFonts w:ascii="宋体" w:hAnsi="宋体" w:cs="宋体" w:eastAsia="宋体" w:hint="default"/>
                <w:sz w:val="18"/>
                <w:szCs w:val="18"/>
              </w:rPr>
              <w:t>王爱娟</w:t>
            </w:r>
            <w:r>
              <w:rPr>
                <w:rFonts w:ascii="宋体" w:hAnsi="宋体" w:cs="宋体" w:eastAsia="宋体" w:hint="default"/>
                <w:spacing w:val="-2"/>
                <w:sz w:val="18"/>
                <w:szCs w:val="18"/>
              </w:rPr>
              <w:t>、</w:t>
            </w:r>
            <w:r>
              <w:rPr>
                <w:rFonts w:ascii="宋体" w:hAnsi="宋体" w:cs="宋体" w:eastAsia="宋体" w:hint="default"/>
                <w:sz w:val="18"/>
                <w:szCs w:val="18"/>
              </w:rPr>
              <w:t>陈军方</w:t>
            </w:r>
            <w:r>
              <w:rPr>
                <w:rFonts w:ascii="宋体" w:hAnsi="宋体" w:cs="宋体" w:eastAsia="宋体" w:hint="default"/>
                <w:spacing w:val="-2"/>
                <w:sz w:val="18"/>
                <w:szCs w:val="18"/>
              </w:rPr>
              <w:t>、</w:t>
            </w:r>
            <w:r>
              <w:rPr>
                <w:rFonts w:ascii="宋体" w:hAnsi="宋体" w:cs="宋体" w:eastAsia="宋体" w:hint="default"/>
                <w:sz w:val="18"/>
                <w:szCs w:val="18"/>
              </w:rPr>
              <w:t>叶泽泉</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未从事或达成任何可能严重影响到依协议项下条款和条件所</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达成预期交易之合同、协议、文件或安排；</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协议、文件或安排，吴凤辉、王权汉、王爱娟、陈军方、叶</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泽泉承诺并保证相关合同、协议、文件或安排已经被依法终</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止、解除或已经采取其他有效措施以避免前述合同、协议、</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文件或安排影响本协议项下条款和条件的达成</w:t>
            </w:r>
            <w:r>
              <w:rPr>
                <w:rFonts w:ascii="宋体" w:hAnsi="宋体" w:cs="宋体" w:eastAsia="宋体" w:hint="default"/>
                <w:spacing w:val="-94"/>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王权汉、王爱娟、陈军方、叶泽泉保证将切实履行协议约定</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的其在过渡期内的各项义务和责任，并承担应当由其承担的</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相关税项和费用</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）吴凤辉、王权汉、王爱娟、陈军方、</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叶泽泉保证承担本协议约定的相关义务和责任，</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王权汉、王爱娟、陈军方、叶泽泉提出与协议所述交易事项</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有关的其他合理要求时给予必要的协助</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）吴凤辉、王权</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汉、王爱娟、陈军方、叶泽泉保证不存在假借订立协议进行</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恶意磋商或其他违背诚实信用原则的情形</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）截至协议签</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署日，除已向新开普电子股份有限公司披露的情形外，吴凤</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辉、王权汉、王爱娟、陈军方、叶泽泉不存在针对其自身任</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8"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何可能影响其签署或履行协议及协议项下交易能力的诉讼、</w:t>
            </w:r>
          </w:p>
        </w:tc>
        <w:tc>
          <w:tcPr>
            <w:tcW w:w="155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r>
        <w:rPr/>
        <w:pict>
          <v:shape style="position:absolute;margin-left:533.811401pt;margin-top:298.200012pt;width:83.7pt;height:128.85pt;mso-position-horizontal-relative:page;mso-position-vertical-relative:page;z-index:-15982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42.330994pt;margin-top:75.300003pt;width:56.25pt;height:222.45pt;mso-position-horizontal-relative:page;mso-position-vertical-relative:page;z-index:-1598224" coordorigin="4847,1506" coordsize="1125,4449">
            <v:group style="position:absolute;left:4847;top:1506;width:1125;height:4449" coordorigin="4847,1506" coordsize="1125,4449">
              <v:shape style="position:absolute;left:4847;top:1506;width:1125;height:4449" coordorigin="4847,1506" coordsize="1125,4449" path="m4847,1506l4847,5954,5971,5954,5971,1506,4847,1506xe" filled="true" fillcolor="#ffffff" stroked="false">
                <v:path arrowok="t"/>
                <v:fill type="solid"/>
              </v:shape>
            </v:group>
            <v:group style="position:absolute;left:4869;top:3378;width:1079;height:352" coordorigin="4869,3378" coordsize="1079,352">
              <v:shape style="position:absolute;left:4869;top:3378;width:1079;height:352" coordorigin="4869,3378" coordsize="1079,352" path="m4869,3378l4869,3730,5948,3730,5948,3378,4869,3378xe" filled="true" fillcolor="#ffffff" stroked="false">
                <v:path arrowok="t"/>
                <v:fill type="solid"/>
              </v:shape>
            </v:group>
            <v:group style="position:absolute;left:4869;top:3730;width:1079;height:353" coordorigin="4869,3730" coordsize="1079,353">
              <v:shape style="position:absolute;left:4869;top:3730;width:1079;height:353" coordorigin="4869,3730" coordsize="1079,353" path="m4869,3730l4869,4082,5948,4082,5948,3730,4869,3730xe" filled="true" fillcolor="#ffffff" stroked="false">
                <v:path arrowok="t"/>
                <v:fill type="solid"/>
              </v:shape>
            </v:group>
            <w10:wrap type="none"/>
          </v:group>
        </w:pict>
      </w:r>
      <w:r>
        <w:rPr/>
        <w:pict>
          <v:group style="position:absolute;margin-left:540.049988pt;margin-top:298.200012pt;width:77.5pt;height:128.85pt;mso-position-horizontal-relative:page;mso-position-vertical-relative:page;z-index:-1598200" coordorigin="10801,5964" coordsize="1550,2577">
            <v:group style="position:absolute;left:10801;top:5964;width:1550;height:2577" coordorigin="10801,5964" coordsize="1550,2577">
              <v:shape style="position:absolute;left:10801;top:5964;width:1550;height:2577" coordorigin="10801,5964" coordsize="1550,2577" path="m10801,5964l12350,5964,12350,8540,10801,8540,10801,5964xe" filled="true" fillcolor="#ffffff" stroked="false">
                <v:path arrowok="t"/>
                <v:fill type="solid"/>
              </v:shape>
            </v:group>
            <v:group style="position:absolute;left:10824;top:7056;width:1503;height:393" coordorigin="10824,7056" coordsize="1503,393">
              <v:shape style="position:absolute;left:10824;top:7056;width:1503;height:393" coordorigin="10824,7056" coordsize="1503,393" path="m10824,7056l10824,7448,12326,7448,12326,7056,10824,7056xe" filled="true" fillcolor="#ffffff" stroked="false">
                <v:path arrowok="t"/>
                <v:fill type="solid"/>
              </v:shape>
            </v:group>
            <w10:wrap type="none"/>
          </v:group>
        </w:pict>
      </w:r>
      <w:r>
        <w:rPr/>
        <w:pict>
          <v:group style="position:absolute;margin-left:242.330994pt;margin-top:427.5pt;width:56.25pt;height:95.6pt;mso-position-horizontal-relative:page;mso-position-vertical-relative:page;z-index:-1598176" coordorigin="4847,8550" coordsize="1125,1912">
            <v:group style="position:absolute;left:4847;top:8550;width:1125;height:1912" coordorigin="4847,8550" coordsize="1125,1912">
              <v:shape style="position:absolute;left:4847;top:8550;width:1125;height:1912" coordorigin="4847,8550" coordsize="1125,1912" path="m4847,8550l4847,10462,5971,10462,5971,8550,4847,8550xe" filled="true" fillcolor="#ffffff" stroked="false">
                <v:path arrowok="t"/>
                <v:fill type="solid"/>
              </v:shape>
            </v:group>
            <v:group style="position:absolute;left:4869;top:9310;width:1079;height:393" coordorigin="4869,9310" coordsize="1079,393">
              <v:shape style="position:absolute;left:4869;top:9310;width:1079;height:393" coordorigin="4869,9310" coordsize="1079,393" path="m4869,9310l4869,9702,5948,9702,5948,9310,4869,9310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985"/>
        <w:gridCol w:w="1417"/>
        <w:gridCol w:w="1134"/>
        <w:gridCol w:w="4820"/>
        <w:gridCol w:w="1559"/>
        <w:gridCol w:w="1276"/>
        <w:gridCol w:w="1702"/>
      </w:tblGrid>
      <w:tr>
        <w:trPr>
          <w:trHeight w:val="377" w:hRule="exact"/>
        </w:trPr>
        <w:tc>
          <w:tcPr>
            <w:tcW w:w="1985" w:type="dxa"/>
            <w:vMerge w:val="restart"/>
            <w:tcBorders>
              <w:top w:val="single" w:sz="15" w:space="0" w:color="000000"/>
              <w:left w:val="single" w:sz="4" w:space="0" w:color="000000"/>
              <w:right w:val="single" w:sz="4" w:space="0" w:color="000000"/>
            </w:tcBorders>
            <w:shd w:val="clear" w:color="auto" w:fill="D3D3D3"/>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48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仲裁或行政处罚。</w:t>
            </w:r>
          </w:p>
        </w:tc>
        <w:tc>
          <w:tcPr>
            <w:tcW w:w="1559"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702" w:type="dxa"/>
            <w:tcBorders>
              <w:top w:val="single" w:sz="15" w:space="0" w:color="000000"/>
              <w:left w:val="single" w:sz="4" w:space="0" w:color="000000"/>
              <w:bottom w:val="single" w:sz="4" w:space="0" w:color="000000"/>
              <w:right w:val="single" w:sz="4" w:space="0" w:color="000000"/>
            </w:tcBorders>
          </w:tcPr>
          <w:p>
            <w:pPr/>
          </w:p>
        </w:tc>
      </w:tr>
      <w:tr>
        <w:trPr>
          <w:trHeight w:val="362" w:hRule="exact"/>
        </w:trPr>
        <w:tc>
          <w:tcPr>
            <w:tcW w:w="1985"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、交易对方共同承诺，福建新开普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年度</w:t>
            </w:r>
          </w:p>
        </w:tc>
        <w:tc>
          <w:tcPr>
            <w:tcW w:w="1559"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实现的净利润（以当年经审计的扣除非经常性损益后归属于</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母公司股东的净利润为准，下同）分别不低于 </w:t>
            </w:r>
            <w:r>
              <w:rPr>
                <w:rFonts w:ascii="Times New Roman" w:hAnsi="Times New Roman" w:cs="Times New Roman" w:eastAsia="Times New Roman" w:hint="default"/>
                <w:sz w:val="18"/>
                <w:szCs w:val="18"/>
              </w:rPr>
              <w:t>600 </w:t>
            </w:r>
            <w:r>
              <w:rPr>
                <w:rFonts w:ascii="Times New Roman" w:hAnsi="Times New Roman" w:cs="Times New Roman" w:eastAsia="Times New Roman" w:hint="default"/>
                <w:spacing w:val="21"/>
                <w:sz w:val="18"/>
                <w:szCs w:val="18"/>
              </w:rPr>
              <w:t>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800</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、各方一致确认，根据专项意见（新开普聘请的具有</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证券期货相关业务评估资格的会计师事务所对业绩补偿测算</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1249"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22"/>
              <w:jc w:val="both"/>
              <w:rPr>
                <w:rFonts w:ascii="宋体" w:hAnsi="宋体" w:cs="宋体" w:eastAsia="宋体" w:hint="default"/>
                <w:sz w:val="18"/>
                <w:szCs w:val="18"/>
              </w:rPr>
            </w:pPr>
            <w:r>
              <w:rPr>
                <w:rFonts w:ascii="宋体" w:hAnsi="宋体" w:cs="宋体" w:eastAsia="宋体" w:hint="default"/>
                <w:sz w:val="18"/>
                <w:szCs w:val="18"/>
              </w:rPr>
              <w:t>吴凤辉、王权汉 王爱娟、陈军方 叶泽泉、</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196"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55" w:lineRule="exact"/>
              <w:ind w:left="22" w:right="0"/>
              <w:jc w:val="left"/>
              <w:rPr>
                <w:rFonts w:ascii="宋体" w:hAnsi="宋体" w:cs="宋体" w:eastAsia="宋体" w:hint="default"/>
                <w:sz w:val="18"/>
                <w:szCs w:val="18"/>
              </w:rPr>
            </w:pPr>
            <w:r>
              <w:rPr>
                <w:rFonts w:ascii="宋体" w:hAnsi="宋体" w:cs="宋体" w:eastAsia="宋体" w:hint="default"/>
                <w:sz w:val="18"/>
                <w:szCs w:val="18"/>
              </w:rPr>
              <w:t>业绩承诺及</w:t>
            </w:r>
          </w:p>
          <w:p>
            <w:pPr>
              <w:pStyle w:val="TableParagraph"/>
              <w:spacing w:line="156"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补偿安排</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对象在每一补偿期间内的实际利润数按照协议约定的方法进 </w:t>
            </w:r>
            <w:r>
              <w:rPr>
                <w:rFonts w:ascii="宋体" w:hAnsi="宋体" w:cs="宋体" w:eastAsia="宋体" w:hint="default"/>
                <w:spacing w:val="-4"/>
                <w:sz w:val="18"/>
                <w:szCs w:val="18"/>
              </w:rPr>
              <w:t>行审核后出具的专项审核意见），如补偿期间，福建新开普当</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年实现的实际利润数低于净利润承诺数，则福建新开普应依 据协议支付的补偿金，总金额应不超过新开普向福建新开普</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47"/>
              <w:jc w:val="left"/>
              <w:rPr>
                <w:rFonts w:ascii="宋体" w:hAnsi="宋体" w:cs="宋体" w:eastAsia="宋体" w:hint="default"/>
                <w:sz w:val="18"/>
                <w:szCs w:val="18"/>
              </w:rPr>
            </w:pPr>
            <w:r>
              <w:rPr>
                <w:rFonts w:ascii="宋体" w:hAnsi="宋体" w:cs="宋体" w:eastAsia="宋体" w:hint="default"/>
                <w:sz w:val="18"/>
                <w:szCs w:val="18"/>
              </w:rPr>
              <w:t>截至报告期末，上述 承诺人严格信守承 诺，未发生违反承诺 的情况。</w:t>
            </w:r>
          </w:p>
        </w:tc>
      </w:tr>
      <w:tr>
        <w:trPr>
          <w:trHeight w:val="316"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支付的对价总额。</w:t>
            </w:r>
            <w:r>
              <w:rPr>
                <w:rFonts w:ascii="Times New Roman" w:hAnsi="Times New Roman" w:cs="Times New Roman" w:eastAsia="Times New Roman" w:hint="default"/>
                <w:sz w:val="18"/>
                <w:szCs w:val="18"/>
              </w:rPr>
              <w:t>3</w:t>
            </w:r>
            <w:r>
              <w:rPr>
                <w:rFonts w:ascii="宋体" w:hAnsi="宋体" w:cs="宋体" w:eastAsia="宋体" w:hint="default"/>
                <w:sz w:val="18"/>
                <w:szCs w:val="18"/>
              </w:rPr>
              <w:t>、各方一致同意，如依协议确定福建新开</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普需对新开普进行补偿的，在福建新开普相应年度的年度报</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告（含专项意见）出具之日起 </w:t>
            </w:r>
            <w:r>
              <w:rPr>
                <w:rFonts w:ascii="Times New Roman" w:hAnsi="Times New Roman" w:cs="Times New Roman" w:eastAsia="Times New Roman" w:hint="default"/>
                <w:sz w:val="18"/>
                <w:szCs w:val="18"/>
              </w:rPr>
              <w:t>10 </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日内，补偿义务人根据《股</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权转让协议》的约定在收到新开普发出补偿通知之日起 </w:t>
            </w:r>
            <w:r>
              <w:rPr>
                <w:rFonts w:ascii="Times New Roman" w:hAnsi="Times New Roman" w:cs="Times New Roman" w:eastAsia="Times New Roman" w:hint="default"/>
                <w:sz w:val="18"/>
                <w:szCs w:val="18"/>
              </w:rPr>
              <w:t>30</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日内将现金补偿款一次汇入其指定的账户。</w:t>
            </w:r>
          </w:p>
        </w:tc>
        <w:tc>
          <w:tcPr>
            <w:tcW w:w="1559"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985"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、就希嘉教育扣除非经常性损益后的净利润，希嘉科技、希</w:t>
            </w:r>
          </w:p>
        </w:tc>
        <w:tc>
          <w:tcPr>
            <w:tcW w:w="1559"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r>
      <w:tr>
        <w:trPr>
          <w:trHeight w:val="186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北京希嘉创智科 </w:t>
            </w:r>
            <w:r>
              <w:rPr>
                <w:rFonts w:ascii="宋体" w:hAnsi="宋体" w:cs="宋体" w:eastAsia="宋体" w:hint="default"/>
                <w:spacing w:val="-10"/>
                <w:sz w:val="18"/>
                <w:szCs w:val="18"/>
              </w:rPr>
              <w:t>技有限公司、北京</w:t>
            </w:r>
            <w:r>
              <w:rPr>
                <w:rFonts w:ascii="宋体" w:hAnsi="宋体" w:cs="宋体" w:eastAsia="宋体" w:hint="default"/>
                <w:sz w:val="18"/>
                <w:szCs w:val="18"/>
              </w:rPr>
              <w:t> 希嘉科技发展中 </w:t>
            </w:r>
            <w:r>
              <w:rPr>
                <w:rFonts w:ascii="宋体" w:hAnsi="宋体" w:cs="宋体" w:eastAsia="宋体" w:hint="default"/>
                <w:spacing w:val="-10"/>
                <w:sz w:val="18"/>
                <w:szCs w:val="18"/>
              </w:rPr>
              <w:t>心（有限合伙）汪</w:t>
            </w:r>
            <w:r>
              <w:rPr>
                <w:rFonts w:ascii="宋体" w:hAnsi="宋体" w:cs="宋体" w:eastAsia="宋体" w:hint="default"/>
                <w:sz w:val="18"/>
                <w:szCs w:val="18"/>
              </w:rPr>
              <w:t> 浩</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22" w:right="199"/>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04" w:lineRule="auto" w:before="5"/>
              <w:ind w:left="22" w:right="23"/>
              <w:jc w:val="left"/>
              <w:rPr>
                <w:rFonts w:ascii="宋体" w:hAnsi="宋体" w:cs="宋体" w:eastAsia="宋体" w:hint="default"/>
                <w:sz w:val="18"/>
                <w:szCs w:val="18"/>
              </w:rPr>
            </w:pPr>
            <w:r>
              <w:rPr>
                <w:rFonts w:ascii="宋体" w:hAnsi="宋体" w:cs="宋体" w:eastAsia="宋体" w:hint="default"/>
                <w:sz w:val="18"/>
                <w:szCs w:val="18"/>
              </w:rPr>
              <w:t>嘉发展中心及汪浩向新开普作出如下承诺，即希嘉教育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pacing w:val="-8"/>
                <w:sz w:val="18"/>
                <w:szCs w:val="18"/>
              </w:rPr>
              <w:t>年、</w:t>
            </w:r>
            <w:r>
              <w:rPr>
                <w:rFonts w:ascii="Times New Roman" w:hAnsi="Times New Roman" w:cs="Times New Roman" w:eastAsia="Times New Roman" w:hint="default"/>
                <w:spacing w:val="-8"/>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年、</w:t>
            </w:r>
            <w:r>
              <w:rPr>
                <w:rFonts w:ascii="Times New Roman" w:hAnsi="Times New Roman" w:cs="Times New Roman" w:eastAsia="Times New Roman" w:hint="default"/>
                <w:spacing w:val="-8"/>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年实现扣非后净利润分别不低于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、经审计机构确认的希嘉教育</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年的扣非后净利润小未达到承诺值，则希 嘉教育除新开普之外的股东应向新开普以股权补偿或现金补 偿方式进行补偿，新开普有权选择希嘉教育创始股东进行业</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47"/>
              <w:jc w:val="left"/>
              <w:rPr>
                <w:rFonts w:ascii="宋体" w:hAnsi="宋体" w:cs="宋体" w:eastAsia="宋体" w:hint="default"/>
                <w:sz w:val="18"/>
                <w:szCs w:val="18"/>
              </w:rPr>
            </w:pPr>
            <w:r>
              <w:rPr>
                <w:rFonts w:ascii="宋体" w:hAnsi="宋体" w:cs="宋体" w:eastAsia="宋体" w:hint="default"/>
                <w:sz w:val="18"/>
                <w:szCs w:val="18"/>
              </w:rPr>
              <w:t>截至报告期末，上述 承诺人严格信守承 诺，未发生违反承诺 的情况。</w:t>
            </w:r>
          </w:p>
        </w:tc>
      </w:tr>
      <w:tr>
        <w:trPr>
          <w:trHeight w:val="35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绩补偿的具体方式。</w:t>
            </w:r>
          </w:p>
        </w:tc>
        <w:tc>
          <w:tcPr>
            <w:tcW w:w="1559"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r>
      <w:tr>
        <w:trPr>
          <w:trHeight w:val="348" w:hRule="exact"/>
        </w:trPr>
        <w:tc>
          <w:tcPr>
            <w:tcW w:w="1985"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北京希嘉创智教</w:t>
            </w: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北京希嘉创智教育科技有限公司及其创始股东向新开普作出</w:t>
            </w:r>
          </w:p>
        </w:tc>
        <w:tc>
          <w:tcPr>
            <w:tcW w:w="1559"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育科技有限公司</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以下不可撤销的承诺，除应遵守协议其他约定外，其在过渡</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截至报告期末，上述</w:t>
            </w:r>
          </w:p>
        </w:tc>
      </w:tr>
      <w:tr>
        <w:trPr>
          <w:trHeight w:val="630"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2"/>
              <w:jc w:val="left"/>
              <w:rPr>
                <w:rFonts w:ascii="宋体" w:hAnsi="宋体" w:cs="宋体" w:eastAsia="宋体" w:hint="default"/>
                <w:sz w:val="18"/>
                <w:szCs w:val="18"/>
              </w:rPr>
            </w:pPr>
            <w:r>
              <w:rPr>
                <w:rFonts w:ascii="宋体" w:hAnsi="宋体" w:cs="宋体" w:eastAsia="宋体" w:hint="default"/>
                <w:sz w:val="18"/>
                <w:szCs w:val="18"/>
              </w:rPr>
              <w:t>北京希嘉创智科 </w:t>
            </w:r>
            <w:r>
              <w:rPr>
                <w:rFonts w:ascii="宋体" w:hAnsi="宋体" w:cs="宋体" w:eastAsia="宋体" w:hint="default"/>
                <w:spacing w:val="-10"/>
                <w:sz w:val="18"/>
                <w:szCs w:val="18"/>
              </w:rPr>
              <w:t>技有限公司、北京</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00" w:lineRule="auto" w:before="20"/>
              <w:ind w:left="22" w:right="107"/>
              <w:jc w:val="left"/>
              <w:rPr>
                <w:rFonts w:ascii="宋体" w:hAnsi="宋体" w:cs="宋体" w:eastAsia="宋体" w:hint="default"/>
                <w:sz w:val="18"/>
                <w:szCs w:val="18"/>
              </w:rPr>
            </w:pPr>
            <w:r>
              <w:rPr>
                <w:rFonts w:ascii="宋体" w:hAnsi="宋体" w:cs="宋体" w:eastAsia="宋体" w:hint="default"/>
                <w:sz w:val="18"/>
                <w:szCs w:val="18"/>
              </w:rPr>
              <w:t>期内应遵守如下特别约定</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）保证北京希嘉创智教育科技 有限公司及集团成员公司的合法经营及持续运作</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）保证</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47"/>
              <w:jc w:val="left"/>
              <w:rPr>
                <w:rFonts w:ascii="宋体" w:hAnsi="宋体" w:cs="宋体" w:eastAsia="宋体" w:hint="default"/>
                <w:sz w:val="18"/>
                <w:szCs w:val="18"/>
              </w:rPr>
            </w:pPr>
            <w:r>
              <w:rPr>
                <w:rFonts w:ascii="宋体" w:hAnsi="宋体" w:cs="宋体" w:eastAsia="宋体" w:hint="default"/>
                <w:sz w:val="18"/>
                <w:szCs w:val="18"/>
              </w:rPr>
              <w:t>承诺人严格信守承 诺，未发生违反承诺</w:t>
            </w:r>
          </w:p>
        </w:tc>
      </w:tr>
      <w:tr>
        <w:trPr>
          <w:trHeight w:val="316"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希嘉科技发展中</w:t>
            </w: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谨慎、勤勉地按照一贯的方法运营和管理北京希嘉创智教育</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318"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心（有限合伙）汪</w:t>
            </w: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科技有限公司及集团成员公司，除协议另行约定或甲方书面</w:t>
            </w:r>
          </w:p>
        </w:tc>
        <w:tc>
          <w:tcPr>
            <w:tcW w:w="1559"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r>
        <w:rPr/>
        <w:pict>
          <v:group style="position:absolute;margin-left:242.330994pt;margin-top:434.100006pt;width:56.25pt;height:95.6pt;mso-position-horizontal-relative:page;mso-position-vertical-relative:page;z-index:-1598152" coordorigin="4847,8682" coordsize="1125,1912">
            <v:group style="position:absolute;left:4847;top:8682;width:1125;height:1912" coordorigin="4847,8682" coordsize="1125,1912">
              <v:shape style="position:absolute;left:4847;top:8682;width:1125;height:1912" coordorigin="4847,8682" coordsize="1125,1912" path="m4847,8682l4847,10594,5971,10594,5971,8682,4847,8682xe" filled="true" fillcolor="#ffffff" stroked="false">
                <v:path arrowok="t"/>
                <v:fill type="solid"/>
              </v:shape>
            </v:group>
            <v:group style="position:absolute;left:4869;top:9442;width:1079;height:393" coordorigin="4869,9442" coordsize="1079,393">
              <v:shape style="position:absolute;left:4869;top:9442;width:1079;height:393" coordorigin="4869,9442" coordsize="1079,393" path="m4869,9442l4869,9834,5948,9834,5948,9442,4869,9442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985"/>
        <w:gridCol w:w="1417"/>
        <w:gridCol w:w="1134"/>
        <w:gridCol w:w="4820"/>
        <w:gridCol w:w="1559"/>
        <w:gridCol w:w="1276"/>
        <w:gridCol w:w="1702"/>
      </w:tblGrid>
      <w:tr>
        <w:trPr>
          <w:trHeight w:val="332" w:hRule="exact"/>
        </w:trPr>
        <w:tc>
          <w:tcPr>
            <w:tcW w:w="1985" w:type="dxa"/>
            <w:vMerge w:val="restart"/>
            <w:tcBorders>
              <w:top w:val="single" w:sz="15" w:space="0" w:color="000000"/>
              <w:left w:val="single" w:sz="4" w:space="0" w:color="000000"/>
              <w:right w:val="single" w:sz="4" w:space="0" w:color="000000"/>
            </w:tcBorders>
            <w:shd w:val="clear" w:color="auto" w:fill="D3D3D3"/>
          </w:tcPr>
          <w:p>
            <w:pPr/>
          </w:p>
        </w:tc>
        <w:tc>
          <w:tcPr>
            <w:tcW w:w="1417"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浩</w:t>
            </w:r>
          </w:p>
        </w:tc>
        <w:tc>
          <w:tcPr>
            <w:tcW w:w="1134" w:type="dxa"/>
            <w:vMerge w:val="restart"/>
            <w:tcBorders>
              <w:top w:val="single" w:sz="15" w:space="0" w:color="000000"/>
              <w:left w:val="single" w:sz="4" w:space="0" w:color="000000"/>
              <w:right w:val="single" w:sz="4" w:space="0" w:color="000000"/>
            </w:tcBorders>
          </w:tcPr>
          <w:p>
            <w:pPr/>
          </w:p>
        </w:tc>
        <w:tc>
          <w:tcPr>
            <w:tcW w:w="482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同意外，不增加、减少北京希嘉创智教育科技有限公司及集</w:t>
            </w:r>
          </w:p>
        </w:tc>
        <w:tc>
          <w:tcPr>
            <w:tcW w:w="1559" w:type="dxa"/>
            <w:vMerge w:val="restart"/>
            <w:tcBorders>
              <w:top w:val="single" w:sz="15" w:space="0" w:color="000000"/>
              <w:left w:val="single" w:sz="4" w:space="0" w:color="000000"/>
              <w:right w:val="single" w:sz="4" w:space="0" w:color="000000"/>
            </w:tcBorders>
          </w:tcPr>
          <w:p>
            <w:pPr/>
          </w:p>
        </w:tc>
        <w:tc>
          <w:tcPr>
            <w:tcW w:w="1276" w:type="dxa"/>
            <w:vMerge w:val="restart"/>
            <w:tcBorders>
              <w:top w:val="single" w:sz="15" w:space="0" w:color="000000"/>
              <w:left w:val="single" w:sz="4" w:space="0" w:color="000000"/>
              <w:right w:val="single" w:sz="4" w:space="0" w:color="000000"/>
            </w:tcBorders>
          </w:tcPr>
          <w:p>
            <w:pPr/>
          </w:p>
        </w:tc>
        <w:tc>
          <w:tcPr>
            <w:tcW w:w="1702" w:type="dxa"/>
            <w:vMerge w:val="restart"/>
            <w:tcBorders>
              <w:top w:val="single" w:sz="15" w:space="0" w:color="000000"/>
              <w:left w:val="single" w:sz="4" w:space="0" w:color="000000"/>
              <w:right w:val="single" w:sz="4" w:space="0" w:color="000000"/>
            </w:tcBorders>
          </w:tcPr>
          <w:p>
            <w:pPr/>
          </w:p>
        </w:tc>
      </w:tr>
      <w:tr>
        <w:trPr>
          <w:trHeight w:val="311"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团成员公司的注册资本；不从事任何可能导致北京希嘉创智</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教育科技有限公司及集团成员公司受到行政机关处罚的业务</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及行为；不从事任何非正常的导致北京希嘉创智教育科技有</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限公司及集团成员公司价值减损的行为</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）在北京希嘉创</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智教育科技有限公司及集团成员公司的日常经营过程中，保</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证北京希嘉创智教育科技有限公司及集团成员公司将谨慎、</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合理地对待其所拥有的资产和负担的债务，避免因未尽管理</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职责而发生资产减损、负债增加的情形，避免从事任何拖欠</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员工工资、社会保险金和住房公积金的行为；不得采取其他</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对北京希嘉创智教育科技有限公司及集团成员公司可能会导</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致重大不利影响的行为</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）保证并促使北京希嘉创智教育</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科技有限公司及集团成员公司在过渡期内及过渡期后持续合</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法拥有与其生产经营密切相关的无形资产或经营资质，对于</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截至协议签署日北京希嘉创智教育科技有限公司尚待依照正</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常程序取得的资产、知识产权、经营资质或批准、授权等应</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保证获得，保证北京希嘉创智教育科技有限公司及集团成员</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公司的生产、经营和资产均不会丧失正当的权利保护</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签署并提交为办理协议项下增资所需的应由其出具的全部文</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件资料，并负责办理相关工商变更登记手续</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）北京希嘉</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创智教育科技有限公司创始股东承诺在新开普本次投资款实</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际到账之日起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内，补足尚未实缴的注册资本</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）北京</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8"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希嘉创智教育科技有限公司创始股东同意就本条款项下的承</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诺向新开普承担连带责任。</w:t>
            </w:r>
          </w:p>
        </w:tc>
        <w:tc>
          <w:tcPr>
            <w:tcW w:w="155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348" w:hRule="exact"/>
        </w:trPr>
        <w:tc>
          <w:tcPr>
            <w:tcW w:w="1985"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北京希嘉创智教</w:t>
            </w: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北京希嘉创智教育科技有限公司及其创始股东向新开普作出</w:t>
            </w:r>
          </w:p>
        </w:tc>
        <w:tc>
          <w:tcPr>
            <w:tcW w:w="1559"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育科技有限公司</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以下不可撤销的承诺，且北京希嘉创智教育科技有限公司创</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截至报告期末，上述</w:t>
            </w:r>
          </w:p>
        </w:tc>
      </w:tr>
      <w:tr>
        <w:trPr>
          <w:trHeight w:val="625"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2"/>
              <w:jc w:val="left"/>
              <w:rPr>
                <w:rFonts w:ascii="宋体" w:hAnsi="宋体" w:cs="宋体" w:eastAsia="宋体" w:hint="default"/>
                <w:sz w:val="18"/>
                <w:szCs w:val="18"/>
              </w:rPr>
            </w:pPr>
            <w:r>
              <w:rPr>
                <w:rFonts w:ascii="宋体" w:hAnsi="宋体" w:cs="宋体" w:eastAsia="宋体" w:hint="default"/>
                <w:sz w:val="18"/>
                <w:szCs w:val="18"/>
              </w:rPr>
              <w:t>北京希嘉创智科 </w:t>
            </w:r>
            <w:r>
              <w:rPr>
                <w:rFonts w:ascii="宋体" w:hAnsi="宋体" w:cs="宋体" w:eastAsia="宋体" w:hint="default"/>
                <w:spacing w:val="-10"/>
                <w:sz w:val="18"/>
                <w:szCs w:val="18"/>
              </w:rPr>
              <w:t>技有限公司、北京</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107"/>
              <w:jc w:val="left"/>
              <w:rPr>
                <w:rFonts w:ascii="宋体" w:hAnsi="宋体" w:cs="宋体" w:eastAsia="宋体" w:hint="default"/>
                <w:sz w:val="18"/>
                <w:szCs w:val="18"/>
              </w:rPr>
            </w:pPr>
            <w:r>
              <w:rPr>
                <w:rFonts w:ascii="宋体" w:hAnsi="宋体" w:cs="宋体" w:eastAsia="宋体" w:hint="default"/>
                <w:sz w:val="18"/>
                <w:szCs w:val="18"/>
              </w:rPr>
              <w:t>始股东同意就该等承诺向新开普承担连带责任，过渡期内， 除本协议另有明确约定或者经新开普事先书面同意外，不得</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47"/>
              <w:jc w:val="left"/>
              <w:rPr>
                <w:rFonts w:ascii="宋体" w:hAnsi="宋体" w:cs="宋体" w:eastAsia="宋体" w:hint="default"/>
                <w:sz w:val="18"/>
                <w:szCs w:val="18"/>
              </w:rPr>
            </w:pPr>
            <w:r>
              <w:rPr>
                <w:rFonts w:ascii="宋体" w:hAnsi="宋体" w:cs="宋体" w:eastAsia="宋体" w:hint="default"/>
                <w:sz w:val="18"/>
                <w:szCs w:val="18"/>
              </w:rPr>
              <w:t>承诺人严格信守承 诺，未发生违反承诺</w:t>
            </w:r>
          </w:p>
        </w:tc>
      </w:tr>
      <w:tr>
        <w:trPr>
          <w:trHeight w:val="326"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希嘉科技发展中</w:t>
            </w: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进行以下事项</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）创始股东以任何形式处置其在北京希嘉</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313"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0"/>
                <w:sz w:val="18"/>
                <w:szCs w:val="18"/>
              </w:rPr>
              <w:t>心（有限合伙）汪</w:t>
            </w: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创智教育科技有限公司中的股权</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）增加、减少、转让目</w:t>
            </w:r>
          </w:p>
        </w:tc>
        <w:tc>
          <w:tcPr>
            <w:tcW w:w="1559"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r>
        <w:rPr/>
        <w:pict>
          <v:shape style="position:absolute;margin-left:515.810486pt;margin-top:57.18pt;width:101.7pt;height:468pt;mso-position-horizontal-relative:page;mso-position-vertical-relative:page;z-index:-15981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安排；</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1985"/>
        <w:gridCol w:w="1417"/>
        <w:gridCol w:w="1134"/>
        <w:gridCol w:w="4820"/>
        <w:gridCol w:w="1559"/>
        <w:gridCol w:w="1276"/>
        <w:gridCol w:w="1702"/>
      </w:tblGrid>
      <w:tr>
        <w:trPr>
          <w:trHeight w:val="332" w:hRule="exact"/>
        </w:trPr>
        <w:tc>
          <w:tcPr>
            <w:tcW w:w="1985" w:type="dxa"/>
            <w:vMerge w:val="restart"/>
            <w:tcBorders>
              <w:top w:val="single" w:sz="15" w:space="0" w:color="000000"/>
              <w:left w:val="single" w:sz="4" w:space="0" w:color="000000"/>
              <w:right w:val="single" w:sz="4" w:space="0" w:color="000000"/>
            </w:tcBorders>
            <w:shd w:val="clear" w:color="auto" w:fill="D3D3D3"/>
          </w:tcPr>
          <w:p>
            <w:pPr/>
          </w:p>
        </w:tc>
        <w:tc>
          <w:tcPr>
            <w:tcW w:w="1417"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浩</w:t>
            </w:r>
          </w:p>
        </w:tc>
        <w:tc>
          <w:tcPr>
            <w:tcW w:w="1134" w:type="dxa"/>
            <w:vMerge w:val="restart"/>
            <w:tcBorders>
              <w:top w:val="single" w:sz="15" w:space="0" w:color="000000"/>
              <w:left w:val="single" w:sz="4" w:space="0" w:color="000000"/>
              <w:right w:val="single" w:sz="4" w:space="0" w:color="000000"/>
            </w:tcBorders>
          </w:tcPr>
          <w:p>
            <w:pPr/>
          </w:p>
        </w:tc>
        <w:tc>
          <w:tcPr>
            <w:tcW w:w="482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标公司或任何集团成员公司的注册资本，或者以其他任何方</w:t>
            </w:r>
          </w:p>
        </w:tc>
        <w:tc>
          <w:tcPr>
            <w:tcW w:w="1559" w:type="dxa"/>
            <w:vMerge w:val="restart"/>
            <w:tcBorders>
              <w:top w:val="single" w:sz="15" w:space="0" w:color="000000"/>
              <w:left w:val="single" w:sz="4" w:space="0" w:color="000000"/>
              <w:right w:val="single" w:sz="4" w:space="0" w:color="000000"/>
            </w:tcBorders>
          </w:tcPr>
          <w:p>
            <w:pPr>
              <w:pStyle w:val="TableParagraph"/>
              <w:spacing w:line="936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77.5pt;height:468pt;mso-position-horizontal-relative:char;mso-position-vertical-relative:line" coordorigin="0,0" coordsize="1550,9360">
                  <v:group style="position:absolute;left:0;top:0;width:1550;height:9360" coordorigin="0,0" coordsize="1550,9360">
                    <v:shape style="position:absolute;left:0;top:0;width:1550;height:9360" coordorigin="0,0" coordsize="1550,9360" path="m0,0l1549,0,1549,9360,0,9360,0,0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1276" w:type="dxa"/>
            <w:vMerge w:val="restart"/>
            <w:tcBorders>
              <w:top w:val="single" w:sz="15" w:space="0" w:color="000000"/>
              <w:left w:val="single" w:sz="4" w:space="0" w:color="000000"/>
              <w:right w:val="single" w:sz="4" w:space="0" w:color="000000"/>
            </w:tcBorders>
          </w:tcPr>
          <w:p>
            <w:pPr/>
          </w:p>
        </w:tc>
        <w:tc>
          <w:tcPr>
            <w:tcW w:w="1702" w:type="dxa"/>
            <w:vMerge w:val="restart"/>
            <w:tcBorders>
              <w:top w:val="single" w:sz="15" w:space="0" w:color="000000"/>
              <w:left w:val="single" w:sz="4" w:space="0" w:color="000000"/>
              <w:right w:val="single" w:sz="4" w:space="0" w:color="000000"/>
            </w:tcBorders>
          </w:tcPr>
          <w:p>
            <w:pPr/>
          </w:p>
        </w:tc>
      </w:tr>
      <w:tr>
        <w:trPr>
          <w:trHeight w:val="311"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式（包括但不限于抵押、质押等）处置北京希嘉创智教育科</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技有限公司或任何集团成员公司的注册资本和股权</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）除</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本协议另行约定或甲方书面同意外，宣布分配或者实际分配</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目标公司的利润、股息或红利</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）对北京希嘉创智教育科</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技有限公司或任何集团成员公司采取任何合并、分立、中止</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经营、并购、重组、清算、申请破产或其他类似影响北京希</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嘉创智教育科技有限公司或任何集团成员公司经营的行为。</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）从事北京希嘉创智教育科技有限公司或任何集团成员公</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司现有企业法人营业执照登记的经营范围以外且可能致使北</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京希嘉创智教育科技有限公司或任何集团成员公司受到政府</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机关处罚的业务</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）未经新开普同意，自行放弃任何因北</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京希嘉创智教育科技有限公司或任何集团成员公司形成的物</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权或债权，或以北京希嘉创智教育科技有限公司或任何集团</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成员公司承担任何其自身或他方的债务</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）除正常经营活</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动外，以出售、转让、出租等方式处置（不含因生产经营设</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备、设施的更新换代、技术改造等所进行的处置）北京希嘉</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创智教育科技有限公司或任何集团成员公司任一价值超过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万元的资产和业务</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）北京希嘉创智教育科技有限公司或</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任何集团成员公司与任何第三人（不含集团内部人士）签署</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万元的借款或者贷款、其他形式的金钱债务和</w:t>
            </w:r>
            <w:r>
              <w:rPr>
                <w:rFonts w:ascii="Times New Roman" w:hAnsi="Times New Roman" w:cs="Times New Roman" w:eastAsia="Times New Roman" w:hint="default"/>
                <w:sz w:val="18"/>
                <w:szCs w:val="18"/>
              </w:rPr>
              <w:t>/</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或提供信用保证，或者为任何第三人提供任何形式的担保（包</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括抵押</w:t>
            </w:r>
            <w:r>
              <w:rPr>
                <w:rFonts w:ascii="宋体" w:hAnsi="宋体" w:cs="宋体" w:eastAsia="宋体" w:hint="default"/>
                <w:spacing w:val="-2"/>
                <w:sz w:val="18"/>
                <w:szCs w:val="18"/>
              </w:rPr>
              <w:t>、</w:t>
            </w:r>
            <w:r>
              <w:rPr>
                <w:rFonts w:ascii="宋体" w:hAnsi="宋体" w:cs="宋体" w:eastAsia="宋体" w:hint="default"/>
                <w:sz w:val="18"/>
                <w:szCs w:val="18"/>
              </w:rPr>
              <w:t>质押</w:t>
            </w:r>
            <w:r>
              <w:rPr>
                <w:rFonts w:ascii="宋体" w:hAnsi="宋体" w:cs="宋体" w:eastAsia="宋体" w:hint="default"/>
                <w:spacing w:val="-2"/>
                <w:sz w:val="18"/>
                <w:szCs w:val="18"/>
              </w:rPr>
              <w:t>、</w:t>
            </w:r>
            <w:r>
              <w:rPr>
                <w:rFonts w:ascii="宋体" w:hAnsi="宋体" w:cs="宋体" w:eastAsia="宋体" w:hint="default"/>
                <w:sz w:val="18"/>
                <w:szCs w:val="18"/>
              </w:rPr>
              <w:t>保证等</w:t>
            </w:r>
            <w:r>
              <w:rPr>
                <w:rFonts w:ascii="宋体" w:hAnsi="宋体" w:cs="宋体" w:eastAsia="宋体" w:hint="default"/>
                <w:spacing w:val="-90"/>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pacing w:val="-2"/>
                <w:sz w:val="18"/>
                <w:szCs w:val="18"/>
              </w:rPr>
              <w:t>）</w:t>
            </w:r>
            <w:r>
              <w:rPr>
                <w:rFonts w:ascii="宋体" w:hAnsi="宋体" w:cs="宋体" w:eastAsia="宋体" w:hint="default"/>
                <w:sz w:val="18"/>
                <w:szCs w:val="18"/>
              </w:rPr>
              <w:t>修改</w:t>
            </w:r>
            <w:r>
              <w:rPr>
                <w:rFonts w:ascii="宋体" w:hAnsi="宋体" w:cs="宋体" w:eastAsia="宋体" w:hint="default"/>
                <w:spacing w:val="-2"/>
                <w:sz w:val="18"/>
                <w:szCs w:val="18"/>
              </w:rPr>
              <w:t>、</w:t>
            </w:r>
            <w:r>
              <w:rPr>
                <w:rFonts w:ascii="宋体" w:hAnsi="宋体" w:cs="宋体" w:eastAsia="宋体" w:hint="default"/>
                <w:sz w:val="18"/>
                <w:szCs w:val="18"/>
              </w:rPr>
              <w:t>中止或终止北京希嘉创</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智教育科技有限公司或任何集团成员公司与第三人（不含集</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团内部人士）之间的任何知识产权的转让、许可协议或</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）未经新开普同意，北京希嘉创智教育科技有限公司或</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任何集团成员公司发起、寻求、磋商、谈判或其他形式另外</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进行任何金额的股权性融资活动</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宋体" w:hAnsi="宋体" w:cs="宋体" w:eastAsia="宋体" w:hint="default"/>
                <w:sz w:val="18"/>
                <w:szCs w:val="18"/>
              </w:rPr>
              <w:t>）对北京希嘉创智教育</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科技有限公司或任何集团成员公司的章程进行重要修改（包</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8"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括经营范围、董事会和高级管理人员的人数及构成以及委派</w:t>
            </w:r>
          </w:p>
        </w:tc>
        <w:tc>
          <w:tcPr>
            <w:tcW w:w="155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r>
        <w:rPr/>
        <w:pict>
          <v:shape style="position:absolute;margin-left:515.810486pt;margin-top:57.18pt;width:101.7pt;height:158.050pt;mso-position-horizontal-relative:page;mso-position-vertical-relative:page;z-index:-15980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合同、</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5"/>
                      <w:szCs w:val="25"/>
                    </w:rPr>
                  </w:pPr>
                </w:p>
                <w:p>
                  <w:pPr>
                    <w:spacing w:before="0"/>
                    <w:ind w:left="361"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42.330994pt;margin-top:215.699997pt;width:56.25pt;height:318.5pt;mso-position-horizontal-relative:page;mso-position-vertical-relative:page;z-index:-1598032" coordorigin="4847,4314" coordsize="1125,6370">
            <v:group style="position:absolute;left:4847;top:4314;width:1125;height:4449" coordorigin="4847,4314" coordsize="1125,4449">
              <v:shape style="position:absolute;left:4847;top:4314;width:1125;height:4449" coordorigin="4847,4314" coordsize="1125,4449" path="m4847,4314l4847,8762,5971,8762,5971,4314,4847,4314xe" filled="true" fillcolor="#ffffff" stroked="false">
                <v:path arrowok="t"/>
                <v:fill type="solid"/>
              </v:shape>
            </v:group>
            <v:group style="position:absolute;left:4869;top:6342;width:1079;height:393" coordorigin="4869,6342" coordsize="1079,393">
              <v:shape style="position:absolute;left:4869;top:6342;width:1079;height:393" coordorigin="4869,6342" coordsize="1079,393" path="m4869,6342l4869,6734,5948,6734,5948,6342,4869,6342xe" filled="true" fillcolor="#ffffff" stroked="false">
                <v:path arrowok="t"/>
                <v:fill type="solid"/>
              </v:shape>
            </v:group>
            <v:group style="position:absolute;left:4847;top:8772;width:1125;height:1912" coordorigin="4847,8772" coordsize="1125,1912">
              <v:shape style="position:absolute;left:4847;top:8772;width:1125;height:1912" coordorigin="4847,8772" coordsize="1125,1912" path="m4847,8772l4847,10684,5971,10684,5971,8772,4847,8772xe" filled="true" fillcolor="#ffffff" stroked="false">
                <v:path arrowok="t"/>
                <v:fill type="solid"/>
              </v:shape>
            </v:group>
            <v:group style="position:absolute;left:4869;top:9376;width:1079;height:353" coordorigin="4869,9376" coordsize="1079,353">
              <v:shape style="position:absolute;left:4869;top:9376;width:1079;height:353" coordorigin="4869,9376" coordsize="1079,353" path="m4869,9376l4869,9728,5948,9728,5948,9376,4869,9376xe" filled="true" fillcolor="#ffffff" stroked="false">
                <v:path arrowok="t"/>
                <v:fill type="solid"/>
              </v:shape>
            </v:group>
            <v:group style="position:absolute;left:4869;top:9728;width:1079;height:352" coordorigin="4869,9728" coordsize="1079,352">
              <v:shape style="position:absolute;left:4869;top:9728;width:1079;height:352" coordorigin="4869,9728" coordsize="1079,352" path="m4869,9728l4869,10080,5948,10080,5948,9728,4869,9728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985"/>
        <w:gridCol w:w="1417"/>
        <w:gridCol w:w="1134"/>
        <w:gridCol w:w="4820"/>
        <w:gridCol w:w="1559"/>
        <w:gridCol w:w="1276"/>
        <w:gridCol w:w="1702"/>
      </w:tblGrid>
      <w:tr>
        <w:trPr>
          <w:trHeight w:val="336" w:hRule="exact"/>
        </w:trPr>
        <w:tc>
          <w:tcPr>
            <w:tcW w:w="1985"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482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方、注册资本及股权比例、经营期限</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）北京希嘉创智</w:t>
            </w:r>
          </w:p>
        </w:tc>
        <w:tc>
          <w:tcPr>
            <w:tcW w:w="1559" w:type="dxa"/>
            <w:vMerge w:val="restart"/>
            <w:tcBorders>
              <w:top w:val="single" w:sz="15" w:space="0" w:color="000000"/>
              <w:left w:val="single" w:sz="4" w:space="0" w:color="000000"/>
              <w:right w:val="single" w:sz="4" w:space="0" w:color="000000"/>
            </w:tcBorders>
          </w:tcPr>
          <w:p>
            <w:pPr>
              <w:pStyle w:val="TableParagraph"/>
              <w:spacing w:line="316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2"/>
                <w:sz w:val="20"/>
                <w:szCs w:val="20"/>
              </w:rPr>
              <w:pict>
                <v:group style="width:77.5pt;height:158.050pt;mso-position-horizontal-relative:char;mso-position-vertical-relative:line" coordorigin="0,0" coordsize="1550,3161">
                  <v:group style="position:absolute;left:0;top:0;width:1550;height:3161" coordorigin="0,0" coordsize="1550,3161">
                    <v:shape style="position:absolute;left:0;top:0;width:1550;height:3161" coordorigin="0,0" coordsize="1550,3161" path="m0,0l1549,0,1549,3161,0,3161,0,0xe" filled="true" fillcolor="#ffffff" stroked="false">
                      <v:path arrowok="t"/>
                      <v:fill type="solid"/>
                    </v:shape>
                  </v:group>
                </v:group>
              </w:pict>
            </w:r>
            <w:r>
              <w:rPr>
                <w:rFonts w:ascii="Times New Roman" w:hAnsi="Times New Roman" w:cs="Times New Roman" w:eastAsia="Times New Roman" w:hint="default"/>
                <w:position w:val="-62"/>
                <w:sz w:val="20"/>
                <w:szCs w:val="20"/>
              </w:rPr>
            </w:r>
          </w:p>
        </w:tc>
        <w:tc>
          <w:tcPr>
            <w:tcW w:w="1276" w:type="dxa"/>
            <w:vMerge w:val="restart"/>
            <w:tcBorders>
              <w:top w:val="single" w:sz="15" w:space="0" w:color="000000"/>
              <w:left w:val="single" w:sz="4" w:space="0" w:color="000000"/>
              <w:right w:val="single" w:sz="4" w:space="0" w:color="000000"/>
            </w:tcBorders>
          </w:tcPr>
          <w:p>
            <w:pPr/>
          </w:p>
        </w:tc>
        <w:tc>
          <w:tcPr>
            <w:tcW w:w="1702" w:type="dxa"/>
            <w:vMerge w:val="restart"/>
            <w:tcBorders>
              <w:top w:val="single" w:sz="15" w:space="0" w:color="000000"/>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教育科技有限公司或任何集团成员公司在正常经营活动以</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外，达成任何可能产生人民币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万元以上债务的协议、</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安排或者交易，或者对北京希嘉创智教育科技有限公司或任</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何集团成员公司作为一方的协议、合同进行修改从而导致产</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万</w:t>
            </w:r>
            <w:r>
              <w:rPr>
                <w:rFonts w:ascii="宋体" w:hAnsi="宋体" w:cs="宋体" w:eastAsia="宋体" w:hint="default"/>
                <w:sz w:val="18"/>
                <w:szCs w:val="18"/>
              </w:rPr>
              <w:t>元以上的债务</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）对北京希嘉创智教育科</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技有限公司董事或现有管理层成员进行任何变更，或者与任</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一员工签署员工年薪超过人民币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1"/>
                <w:sz w:val="18"/>
                <w:szCs w:val="18"/>
              </w:rPr>
              <w:t>的</w:t>
            </w:r>
            <w:r>
              <w:rPr>
                <w:rFonts w:ascii="宋体" w:hAnsi="宋体" w:cs="宋体" w:eastAsia="宋体" w:hint="default"/>
                <w:sz w:val="18"/>
                <w:szCs w:val="18"/>
              </w:rPr>
              <w:t>合同或协议</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14</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8"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采取其他对北京希嘉创智教育科技有限公司或任何集团成员</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公司可能会导致重大不利影响的行为。</w:t>
            </w:r>
          </w:p>
        </w:tc>
        <w:tc>
          <w:tcPr>
            <w:tcW w:w="155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自协议签署之日起至登记日以及新开普持有公司股权期间，</w:t>
            </w:r>
          </w:p>
        </w:tc>
        <w:tc>
          <w:tcPr>
            <w:tcW w:w="1559"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创始股东不会并有义务促使其控制的关联方不会</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）在中</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国境内和境外，单独或与他人，以任何形式（包括但不限于</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2496"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北京希嘉创智教 育科技有限公司 北京希嘉创智科 </w:t>
            </w:r>
            <w:r>
              <w:rPr>
                <w:rFonts w:ascii="宋体" w:hAnsi="宋体" w:cs="宋体" w:eastAsia="宋体" w:hint="default"/>
                <w:spacing w:val="-10"/>
                <w:sz w:val="18"/>
                <w:szCs w:val="18"/>
              </w:rPr>
              <w:t>技有限公司、北京</w:t>
            </w:r>
            <w:r>
              <w:rPr>
                <w:rFonts w:ascii="宋体" w:hAnsi="宋体" w:cs="宋体" w:eastAsia="宋体" w:hint="default"/>
                <w:sz w:val="18"/>
                <w:szCs w:val="18"/>
              </w:rPr>
              <w:t> 希嘉科技发展中 </w:t>
            </w:r>
            <w:r>
              <w:rPr>
                <w:rFonts w:ascii="宋体" w:hAnsi="宋体" w:cs="宋体" w:eastAsia="宋体" w:hint="default"/>
                <w:spacing w:val="-10"/>
                <w:sz w:val="18"/>
                <w:szCs w:val="18"/>
              </w:rPr>
              <w:t>心（有限合伙）汪</w:t>
            </w:r>
            <w:r>
              <w:rPr>
                <w:rFonts w:ascii="宋体" w:hAnsi="宋体" w:cs="宋体" w:eastAsia="宋体" w:hint="default"/>
                <w:sz w:val="18"/>
                <w:szCs w:val="18"/>
              </w:rPr>
              <w:t> 浩</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2" w:right="107"/>
              <w:jc w:val="both"/>
              <w:rPr>
                <w:rFonts w:ascii="宋体" w:hAnsi="宋体" w:cs="宋体" w:eastAsia="宋体" w:hint="default"/>
                <w:sz w:val="18"/>
                <w:szCs w:val="18"/>
              </w:rPr>
            </w:pPr>
            <w:r>
              <w:rPr>
                <w:rFonts w:ascii="宋体" w:hAnsi="宋体" w:cs="宋体" w:eastAsia="宋体" w:hint="default"/>
                <w:sz w:val="18"/>
                <w:szCs w:val="18"/>
              </w:rPr>
              <w:t>投资、并购、新设、联营、合资、合作、合伙、委托他人经 营或接受他人委托经营、承包或租赁经营、购买股权、参股 或担任股东、合伙人、董事、监事、经理、职员、代理人、 顾问等身份）直接或间接从事或参与，或协助从事或参与任 何与集团成员公司经营业务相同、相似、构成或可能构成直 </w:t>
            </w:r>
            <w:r>
              <w:rPr>
                <w:rFonts w:ascii="宋体" w:hAnsi="宋体" w:cs="宋体" w:eastAsia="宋体" w:hint="default"/>
                <w:spacing w:val="-4"/>
                <w:sz w:val="18"/>
                <w:szCs w:val="18"/>
              </w:rPr>
              <w:t>接或间接竞争的业务或活动；（</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）在中国境内和境外，以任</w:t>
            </w:r>
            <w:r>
              <w:rPr>
                <w:rFonts w:ascii="宋体" w:hAnsi="宋体" w:cs="宋体" w:eastAsia="宋体" w:hint="default"/>
                <w:spacing w:val="-72"/>
                <w:sz w:val="18"/>
                <w:szCs w:val="18"/>
              </w:rPr>
              <w:t> </w:t>
            </w:r>
            <w:r>
              <w:rPr>
                <w:rFonts w:ascii="宋体" w:hAnsi="宋体" w:cs="宋体" w:eastAsia="宋体" w:hint="default"/>
                <w:sz w:val="18"/>
                <w:szCs w:val="18"/>
              </w:rPr>
              <w:t>何形式支持目标公司或下属企业以外的第三人从事或参与任 何与集团成员公司经营业务相同、相似、构成竞争或可能构</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47"/>
              <w:jc w:val="left"/>
              <w:rPr>
                <w:rFonts w:ascii="宋体" w:hAnsi="宋体" w:cs="宋体" w:eastAsia="宋体" w:hint="default"/>
                <w:sz w:val="18"/>
                <w:szCs w:val="18"/>
              </w:rPr>
            </w:pPr>
            <w:r>
              <w:rPr>
                <w:rFonts w:ascii="宋体" w:hAnsi="宋体" w:cs="宋体" w:eastAsia="宋体" w:hint="default"/>
                <w:sz w:val="18"/>
                <w:szCs w:val="18"/>
              </w:rPr>
              <w:t>截至报告期末，上述 承诺人严格信守承 诺，未发生违反承诺 的情况。</w:t>
            </w: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成竞争的业务或活动</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）以其他方式介入（不论直接或间</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接）任何与集团成员公司经营业务相同、相似、构成竞争或</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可能构成竞争的业务或活动。</w:t>
            </w:r>
          </w:p>
        </w:tc>
        <w:tc>
          <w:tcPr>
            <w:tcW w:w="1559"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r>
      <w:tr>
        <w:trPr>
          <w:trHeight w:val="352" w:hRule="exact"/>
        </w:trPr>
        <w:tc>
          <w:tcPr>
            <w:tcW w:w="1985"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北京希嘉创智教</w:t>
            </w: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创始股东及管理层及管理层作出以下不可撤销的承诺</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559"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育科技有限公司</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自本协议签署之日起至登记日以及新开普持有公司股权期</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截至报告期末，上述</w:t>
            </w:r>
          </w:p>
        </w:tc>
      </w:tr>
      <w:tr>
        <w:trPr>
          <w:trHeight w:val="630"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2"/>
              <w:jc w:val="left"/>
              <w:rPr>
                <w:rFonts w:ascii="宋体" w:hAnsi="宋体" w:cs="宋体" w:eastAsia="宋体" w:hint="default"/>
                <w:sz w:val="18"/>
                <w:szCs w:val="18"/>
              </w:rPr>
            </w:pPr>
            <w:r>
              <w:rPr>
                <w:rFonts w:ascii="宋体" w:hAnsi="宋体" w:cs="宋体" w:eastAsia="宋体" w:hint="default"/>
                <w:sz w:val="18"/>
                <w:szCs w:val="18"/>
              </w:rPr>
              <w:t>北京希嘉创智科 </w:t>
            </w:r>
            <w:r>
              <w:rPr>
                <w:rFonts w:ascii="宋体" w:hAnsi="宋体" w:cs="宋体" w:eastAsia="宋体" w:hint="default"/>
                <w:spacing w:val="-10"/>
                <w:sz w:val="18"/>
                <w:szCs w:val="18"/>
              </w:rPr>
              <w:t>技有限公司、北京</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199"/>
              <w:jc w:val="left"/>
              <w:rPr>
                <w:rFonts w:ascii="宋体" w:hAnsi="宋体" w:cs="宋体" w:eastAsia="宋体" w:hint="default"/>
                <w:sz w:val="18"/>
                <w:szCs w:val="18"/>
              </w:rPr>
            </w:pPr>
            <w:r>
              <w:rPr>
                <w:rFonts w:ascii="宋体" w:hAnsi="宋体" w:cs="宋体" w:eastAsia="宋体" w:hint="default"/>
                <w:sz w:val="18"/>
                <w:szCs w:val="18"/>
              </w:rPr>
              <w:t>竞业限制承 诺</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00" w:lineRule="auto" w:before="20"/>
              <w:ind w:left="22" w:right="23"/>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22"/>
                <w:sz w:val="18"/>
                <w:szCs w:val="18"/>
              </w:rPr>
              <w:t>，</w:t>
            </w:r>
            <w:r>
              <w:rPr>
                <w:rFonts w:ascii="宋体" w:hAnsi="宋体" w:cs="宋体" w:eastAsia="宋体" w:hint="default"/>
                <w:sz w:val="18"/>
                <w:szCs w:val="18"/>
              </w:rPr>
              <w:t>创始股东</w:t>
            </w:r>
            <w:r>
              <w:rPr>
                <w:rFonts w:ascii="宋体" w:hAnsi="宋体" w:cs="宋体" w:eastAsia="宋体" w:hint="default"/>
                <w:spacing w:val="-22"/>
                <w:sz w:val="18"/>
                <w:szCs w:val="18"/>
              </w:rPr>
              <w:t>、</w:t>
            </w:r>
            <w:r>
              <w:rPr>
                <w:rFonts w:ascii="宋体" w:hAnsi="宋体" w:cs="宋体" w:eastAsia="宋体" w:hint="default"/>
                <w:sz w:val="18"/>
                <w:szCs w:val="18"/>
              </w:rPr>
              <w:t>管理层</w:t>
            </w:r>
            <w:r>
              <w:rPr>
                <w:rFonts w:ascii="宋体" w:hAnsi="宋体" w:cs="宋体" w:eastAsia="宋体" w:hint="default"/>
                <w:spacing w:val="-11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a</w:t>
            </w:r>
            <w:r>
              <w:rPr>
                <w:rFonts w:ascii="宋体" w:hAnsi="宋体" w:cs="宋体" w:eastAsia="宋体" w:hint="default"/>
                <w:spacing w:val="-22"/>
                <w:sz w:val="18"/>
                <w:szCs w:val="18"/>
              </w:rPr>
              <w:t>）</w:t>
            </w:r>
            <w:r>
              <w:rPr>
                <w:rFonts w:ascii="宋体" w:hAnsi="宋体" w:cs="宋体" w:eastAsia="宋体" w:hint="default"/>
                <w:sz w:val="18"/>
                <w:szCs w:val="18"/>
              </w:rPr>
              <w:t>不会在与公司及任何下属企业有</w:t>
            </w:r>
            <w:r>
              <w:rPr>
                <w:rFonts w:ascii="宋体" w:hAnsi="宋体" w:cs="宋体" w:eastAsia="宋体" w:hint="default"/>
                <w:sz w:val="18"/>
                <w:szCs w:val="18"/>
              </w:rPr>
              <w:t> 竞争关系的其他单位任职或担任任何形式的顾问</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b</w:t>
            </w:r>
            <w:r>
              <w:rPr>
                <w:rFonts w:ascii="宋体" w:hAnsi="宋体" w:cs="宋体" w:eastAsia="宋体" w:hint="default"/>
                <w:sz w:val="18"/>
                <w:szCs w:val="18"/>
              </w:rPr>
              <w:t>）不可</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47"/>
              <w:jc w:val="left"/>
              <w:rPr>
                <w:rFonts w:ascii="宋体" w:hAnsi="宋体" w:cs="宋体" w:eastAsia="宋体" w:hint="default"/>
                <w:sz w:val="18"/>
                <w:szCs w:val="18"/>
              </w:rPr>
            </w:pPr>
            <w:r>
              <w:rPr>
                <w:rFonts w:ascii="宋体" w:hAnsi="宋体" w:cs="宋体" w:eastAsia="宋体" w:hint="default"/>
                <w:sz w:val="18"/>
                <w:szCs w:val="18"/>
              </w:rPr>
              <w:t>承诺人严格信守承 诺，未发生违反承诺</w:t>
            </w:r>
          </w:p>
        </w:tc>
      </w:tr>
      <w:tr>
        <w:trPr>
          <w:trHeight w:val="316"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希嘉科技发展中</w:t>
            </w: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撤销地承诺，自本协议签署之日起至登记日以及新开普持有</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318"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心（有限合伙）汪</w:t>
            </w: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公司股权期间，除非其个人的离职申请已获甲方批准或甲方</w:t>
            </w:r>
          </w:p>
        </w:tc>
        <w:tc>
          <w:tcPr>
            <w:tcW w:w="1559"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200" w:left="1320" w:right="1340"/>
        </w:sectPr>
      </w:pPr>
    </w:p>
    <w:p>
      <w:pPr>
        <w:spacing w:line="240" w:lineRule="auto" w:before="4"/>
        <w:rPr>
          <w:rFonts w:ascii="Times New Roman" w:hAnsi="Times New Roman" w:cs="Times New Roman" w:eastAsia="Times New Roman" w:hint="default"/>
          <w:sz w:val="3"/>
          <w:szCs w:val="3"/>
        </w:rPr>
      </w:pPr>
      <w:r>
        <w:rPr/>
        <w:pict>
          <v:shape style="position:absolute;margin-left:407.870819pt;margin-top:57.18pt;width:209.65pt;height:204.85pt;mso-position-horizontal-relative:page;mso-position-vertical-relative:page;z-index:-15980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31"/>
                    <w:ind w:left="0" w:right="0" w:firstLine="0"/>
                    <w:jc w:val="left"/>
                    <w:rPr>
                      <w:rFonts w:ascii="宋体" w:hAnsi="宋体" w:cs="宋体" w:eastAsia="宋体" w:hint="default"/>
                      <w:sz w:val="18"/>
                      <w:szCs w:val="18"/>
                    </w:rPr>
                  </w:pPr>
                  <w:r>
                    <w:rPr>
                      <w:rFonts w:ascii="宋体" w:hAnsi="宋体" w:cs="宋体" w:eastAsia="宋体" w:hint="default"/>
                      <w:sz w:val="18"/>
                      <w:szCs w:val="18"/>
                    </w:rPr>
                    <w:t>该等人员须赔偿公司及甲方损失，</w:t>
                  </w:r>
                </w:p>
              </w:txbxContent>
            </v:textbox>
            <w10:wrap type="none"/>
          </v:shape>
        </w:pict>
      </w:r>
      <w:r>
        <w:rPr/>
        <w:pict>
          <v:shape style="position:absolute;margin-left:533.870789pt;margin-top:262.5pt;width:83.65pt;height:253.65pt;mso-position-horizontal-relative:page;mso-position-vertical-relative:page;z-index:-15979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540.049988pt;margin-top:57.18pt;width:77.5pt;height:458.95pt;mso-position-horizontal-relative:page;mso-position-vertical-relative:page;z-index:-1597960" coordorigin="10801,1144" coordsize="1550,9179">
            <v:group style="position:absolute;left:10801;top:1144;width:1550;height:4097" coordorigin="10801,1144" coordsize="1550,4097">
              <v:shape style="position:absolute;left:10801;top:1144;width:1550;height:4097" coordorigin="10801,1144" coordsize="1550,4097" path="m10801,1144l12350,1144,12350,5240,10801,5240,10801,1144xe" filled="true" fillcolor="#ffffff" stroked="false">
                <v:path arrowok="t"/>
                <v:fill type="solid"/>
              </v:shape>
            </v:group>
            <v:group style="position:absolute;left:10801;top:5250;width:1550;height:5073" coordorigin="10801,5250" coordsize="1550,5073">
              <v:shape style="position:absolute;left:10801;top:5250;width:1550;height:5073" coordorigin="10801,5250" coordsize="1550,5073" path="m10801,5250l12350,5250,12350,10322,10801,10322,10801,5250xe" filled="true" fillcolor="#ffffff" stroked="false">
                <v:path arrowok="t"/>
                <v:fill type="solid"/>
              </v:shape>
            </v:group>
            <v:group style="position:absolute;left:10824;top:7590;width:1503;height:393" coordorigin="10824,7590" coordsize="1503,393">
              <v:shape style="position:absolute;left:10824;top:7590;width:1503;height:393" coordorigin="10824,7590" coordsize="1503,393" path="m10824,7590l10824,7982,12326,7982,12326,7590,10824,7590xe" filled="true" fillcolor="#ffffff" stroked="false">
                <v:path arrowok="t"/>
                <v:fill type="solid"/>
              </v:shape>
            </v:group>
            <w10:wrap type="none"/>
          </v:group>
        </w:pict>
      </w:r>
      <w:r>
        <w:rPr/>
        <w:pict>
          <v:group style="position:absolute;margin-left:242.330994pt;margin-top:262.5pt;width:56.25pt;height:253.65pt;mso-position-horizontal-relative:page;mso-position-vertical-relative:page;z-index:-1597936" coordorigin="4847,5250" coordsize="1125,5073">
            <v:group style="position:absolute;left:4847;top:5250;width:1125;height:5073" coordorigin="4847,5250" coordsize="1125,5073">
              <v:shape style="position:absolute;left:4847;top:5250;width:1125;height:5073" coordorigin="4847,5250" coordsize="1125,5073" path="m4847,5250l4847,10322,5971,10322,5971,5250,4847,5250xe" filled="true" fillcolor="#ffffff" stroked="false">
                <v:path arrowok="t"/>
                <v:fill type="solid"/>
              </v:shape>
            </v:group>
            <v:group style="position:absolute;left:4869;top:7590;width:1079;height:393" coordorigin="4869,7590" coordsize="1079,393">
              <v:shape style="position:absolute;left:4869;top:7590;width:1079;height:393" coordorigin="4869,7590" coordsize="1079,393" path="m4869,7590l4869,7982,5948,7982,5948,7590,4869,7590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985"/>
        <w:gridCol w:w="1417"/>
        <w:gridCol w:w="1134"/>
        <w:gridCol w:w="4820"/>
        <w:gridCol w:w="1559"/>
        <w:gridCol w:w="1276"/>
        <w:gridCol w:w="1702"/>
      </w:tblGrid>
      <w:tr>
        <w:trPr>
          <w:trHeight w:val="332" w:hRule="exact"/>
        </w:trPr>
        <w:tc>
          <w:tcPr>
            <w:tcW w:w="1985" w:type="dxa"/>
            <w:vMerge w:val="restart"/>
            <w:tcBorders>
              <w:top w:val="single" w:sz="15" w:space="0" w:color="000000"/>
              <w:left w:val="single" w:sz="4" w:space="0" w:color="000000"/>
              <w:right w:val="single" w:sz="4" w:space="0" w:color="000000"/>
            </w:tcBorders>
            <w:shd w:val="clear" w:color="auto" w:fill="D3D3D3"/>
          </w:tcPr>
          <w:p>
            <w:pPr/>
          </w:p>
        </w:tc>
        <w:tc>
          <w:tcPr>
            <w:tcW w:w="1417"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浩</w:t>
            </w:r>
          </w:p>
        </w:tc>
        <w:tc>
          <w:tcPr>
            <w:tcW w:w="1134" w:type="dxa"/>
            <w:vMerge w:val="restart"/>
            <w:tcBorders>
              <w:top w:val="single" w:sz="15" w:space="0" w:color="000000"/>
              <w:left w:val="single" w:sz="4" w:space="0" w:color="000000"/>
              <w:right w:val="single" w:sz="4" w:space="0" w:color="000000"/>
            </w:tcBorders>
          </w:tcPr>
          <w:p>
            <w:pPr/>
          </w:p>
        </w:tc>
        <w:tc>
          <w:tcPr>
            <w:tcW w:w="482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对管理层作出另外安排外，其将为公司业务发展贡献全部个</w:t>
            </w:r>
          </w:p>
        </w:tc>
        <w:tc>
          <w:tcPr>
            <w:tcW w:w="1559" w:type="dxa"/>
            <w:vMerge w:val="restart"/>
            <w:tcBorders>
              <w:top w:val="single" w:sz="15" w:space="0" w:color="000000"/>
              <w:left w:val="single" w:sz="4" w:space="0" w:color="000000"/>
              <w:right w:val="single" w:sz="4" w:space="0" w:color="000000"/>
            </w:tcBorders>
          </w:tcPr>
          <w:p>
            <w:pPr/>
          </w:p>
        </w:tc>
        <w:tc>
          <w:tcPr>
            <w:tcW w:w="1276" w:type="dxa"/>
            <w:vMerge w:val="restart"/>
            <w:tcBorders>
              <w:top w:val="single" w:sz="15" w:space="0" w:color="000000"/>
              <w:left w:val="single" w:sz="4" w:space="0" w:color="000000"/>
              <w:right w:val="single" w:sz="4" w:space="0" w:color="000000"/>
            </w:tcBorders>
          </w:tcPr>
          <w:p>
            <w:pPr/>
          </w:p>
        </w:tc>
        <w:tc>
          <w:tcPr>
            <w:tcW w:w="1702" w:type="dxa"/>
            <w:vMerge w:val="restart"/>
            <w:tcBorders>
              <w:top w:val="single" w:sz="15" w:space="0" w:color="000000"/>
              <w:left w:val="single" w:sz="4" w:space="0" w:color="000000"/>
              <w:right w:val="single" w:sz="4" w:space="0" w:color="000000"/>
            </w:tcBorders>
          </w:tcPr>
          <w:p>
            <w:pPr/>
          </w:p>
        </w:tc>
      </w:tr>
      <w:tr>
        <w:trPr>
          <w:trHeight w:val="311"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人工作时间和精力，并以个人全部努力为公司谋利。其在公</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司任职期间以及离职之后两年内，承诺不会并促使其关联方</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不会从事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a</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b</w:t>
            </w:r>
            <w:r>
              <w:rPr>
                <w:rFonts w:ascii="宋体" w:hAnsi="宋体" w:cs="宋体" w:eastAsia="宋体" w:hint="default"/>
                <w:sz w:val="18"/>
                <w:szCs w:val="18"/>
              </w:rPr>
              <w:t>）及（</w:t>
            </w:r>
            <w:r>
              <w:rPr>
                <w:rFonts w:ascii="Times New Roman" w:hAnsi="Times New Roman" w:cs="Times New Roman" w:eastAsia="Times New Roman" w:hint="default"/>
                <w:sz w:val="18"/>
                <w:szCs w:val="18"/>
              </w:rPr>
              <w:t>c</w:t>
            </w:r>
            <w:r>
              <w:rPr>
                <w:rFonts w:ascii="宋体" w:hAnsi="宋体" w:cs="宋体" w:eastAsia="宋体" w:hint="default"/>
                <w:sz w:val="18"/>
                <w:szCs w:val="18"/>
              </w:rPr>
              <w:t>）所述业务或活动</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c</w:t>
            </w:r>
            <w:r>
              <w:rPr>
                <w:rFonts w:ascii="宋体" w:hAnsi="宋体" w:cs="宋体" w:eastAsia="宋体" w:hint="default"/>
                <w:sz w:val="18"/>
                <w:szCs w:val="18"/>
              </w:rPr>
              <w:t>）承</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诺过渡期内创始股东、管理层、核心技术人员与公司签订知</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识产权归属协议，该等协议条款和形式应令新开普满意并且</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至少包括以下内容：在任职期间内使用公司资源所产生的任</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何知识产权均为公司所有；严格保守且不得为工作外的其他</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目的使用公司的商业秘密</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）创始股东承诺，如果创始股</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东向公司委派的管理层、核心技术人员违反《竞业禁止及竞</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业限制协议</w:t>
            </w:r>
            <w:r>
              <w:rPr>
                <w:rFonts w:ascii="宋体" w:hAnsi="宋体" w:cs="宋体" w:eastAsia="宋体" w:hint="default"/>
                <w:spacing w:val="-93"/>
                <w:sz w:val="18"/>
                <w:szCs w:val="18"/>
              </w:rPr>
              <w:t>》</w:t>
            </w:r>
            <w:r>
              <w:rPr>
                <w:rFonts w:ascii="宋体" w:hAnsi="宋体" w:cs="宋体" w:eastAsia="宋体" w:hint="default"/>
                <w:sz w:val="18"/>
                <w:szCs w:val="18"/>
              </w:rPr>
              <w:t>《保密协议</w:t>
            </w:r>
            <w:r>
              <w:rPr>
                <w:rFonts w:ascii="宋体" w:hAnsi="宋体" w:cs="宋体" w:eastAsia="宋体" w:hint="default"/>
                <w:spacing w:val="-3"/>
                <w:sz w:val="18"/>
                <w:szCs w:val="18"/>
              </w:rPr>
              <w:t>》</w:t>
            </w:r>
            <w:r>
              <w:rPr>
                <w:rFonts w:ascii="宋体" w:hAnsi="宋体" w:cs="宋体" w:eastAsia="宋体" w:hint="default"/>
                <w:sz w:val="18"/>
                <w:szCs w:val="18"/>
              </w:rPr>
              <w:t>或知识产权归属协议</w:t>
            </w:r>
            <w:r>
              <w:rPr>
                <w:rFonts w:ascii="宋体" w:hAnsi="宋体" w:cs="宋体" w:eastAsia="宋体" w:hint="default"/>
                <w:spacing w:val="-3"/>
                <w:sz w:val="18"/>
                <w:szCs w:val="18"/>
              </w:rPr>
              <w:t>，</w:t>
            </w:r>
            <w:r>
              <w:rPr>
                <w:rFonts w:ascii="宋体" w:hAnsi="宋体" w:cs="宋体" w:eastAsia="宋体" w:hint="default"/>
                <w:sz w:val="18"/>
                <w:szCs w:val="18"/>
              </w:rPr>
              <w:t>致使公司或</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3"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新开普的利益受到损害的，</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创始股东应就公司或新开普因此遭受的损失承担赔偿责任。</w:t>
            </w:r>
          </w:p>
        </w:tc>
        <w:tc>
          <w:tcPr>
            <w:tcW w:w="155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北京希嘉创智教育科技有限公司及创始股东共同连带地作出</w:t>
            </w:r>
          </w:p>
        </w:tc>
        <w:tc>
          <w:tcPr>
            <w:tcW w:w="1559"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以下不可撤销的承诺</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）除协议另有规定之外，截至协议</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签署日及登记日协议签订之时及协议签订之后，公司及任何</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下属企业（如有）应作为公司名称、品牌、商标和专利、商</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2496"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北京希嘉创智教 育科技有限公司 北京希嘉创智科 </w:t>
            </w:r>
            <w:r>
              <w:rPr>
                <w:rFonts w:ascii="宋体" w:hAnsi="宋体" w:cs="宋体" w:eastAsia="宋体" w:hint="default"/>
                <w:spacing w:val="-10"/>
                <w:sz w:val="18"/>
                <w:szCs w:val="18"/>
              </w:rPr>
              <w:t>技有限公司、北京</w:t>
            </w:r>
            <w:r>
              <w:rPr>
                <w:rFonts w:ascii="宋体" w:hAnsi="宋体" w:cs="宋体" w:eastAsia="宋体" w:hint="default"/>
                <w:sz w:val="18"/>
                <w:szCs w:val="18"/>
              </w:rPr>
              <w:t> 希嘉科技发展中 </w:t>
            </w:r>
            <w:r>
              <w:rPr>
                <w:rFonts w:ascii="宋体" w:hAnsi="宋体" w:cs="宋体" w:eastAsia="宋体" w:hint="default"/>
                <w:spacing w:val="-10"/>
                <w:sz w:val="18"/>
                <w:szCs w:val="18"/>
              </w:rPr>
              <w:t>心（有限合伙）汪</w:t>
            </w:r>
            <w:r>
              <w:rPr>
                <w:rFonts w:ascii="宋体" w:hAnsi="宋体" w:cs="宋体" w:eastAsia="宋体" w:hint="default"/>
                <w:sz w:val="18"/>
                <w:szCs w:val="18"/>
              </w:rPr>
              <w:t> 浩</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2" w:right="107"/>
              <w:jc w:val="both"/>
              <w:rPr>
                <w:rFonts w:ascii="宋体" w:hAnsi="宋体" w:cs="宋体" w:eastAsia="宋体" w:hint="default"/>
                <w:sz w:val="18"/>
                <w:szCs w:val="18"/>
              </w:rPr>
            </w:pPr>
            <w:r>
              <w:rPr>
                <w:rFonts w:ascii="宋体" w:hAnsi="宋体" w:cs="宋体" w:eastAsia="宋体" w:hint="default"/>
                <w:sz w:val="18"/>
                <w:szCs w:val="18"/>
              </w:rPr>
              <w:t>品名称及品牌、网站名称、域名、专有技术等相关知识产权 的合法权利人且该等知识产权均已取得必要的相关政府部门 的授权、批准或备案，并按时缴纳相关费用，保证其权利的 </w:t>
            </w:r>
            <w:r>
              <w:rPr>
                <w:rFonts w:ascii="宋体" w:hAnsi="宋体" w:cs="宋体" w:eastAsia="宋体" w:hint="default"/>
                <w:spacing w:val="-4"/>
                <w:sz w:val="18"/>
                <w:szCs w:val="18"/>
              </w:rPr>
              <w:t>持续有效性，未侵犯任何第三人合法权益的行为。（</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w:t>
            </w:r>
            <w:r>
              <w:rPr>
                <w:rFonts w:ascii="宋体" w:hAnsi="宋体" w:cs="宋体" w:eastAsia="宋体" w:hint="default"/>
                <w:spacing w:val="-72"/>
                <w:sz w:val="18"/>
                <w:szCs w:val="18"/>
              </w:rPr>
              <w:t> </w:t>
            </w:r>
            <w:r>
              <w:rPr>
                <w:rFonts w:ascii="宋体" w:hAnsi="宋体" w:cs="宋体" w:eastAsia="宋体" w:hint="default"/>
                <w:sz w:val="18"/>
                <w:szCs w:val="18"/>
              </w:rPr>
              <w:t>及创始股东承诺，公司现有核心知识产权为公司自主研发， 不存在利用任何第三方技术成果的情形，不存在重大权属纠 </w:t>
            </w:r>
            <w:r>
              <w:rPr>
                <w:rFonts w:ascii="宋体" w:hAnsi="宋体" w:cs="宋体" w:eastAsia="宋体" w:hint="default"/>
                <w:spacing w:val="-4"/>
                <w:sz w:val="18"/>
                <w:szCs w:val="18"/>
              </w:rPr>
              <w:t>纷或争议，否则因此给公司带来损失将由创始股东承担。（</w:t>
            </w:r>
            <w:r>
              <w:rPr>
                <w:rFonts w:ascii="Times New Roman" w:hAnsi="Times New Roman" w:cs="Times New Roman" w:eastAsia="Times New Roman" w:hint="default"/>
                <w:spacing w:val="-4"/>
                <w:sz w:val="18"/>
                <w:szCs w:val="18"/>
              </w:rPr>
              <w:t>3</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公司及创始股东承诺，对目前尚未取得注册商标专用权、专</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47"/>
              <w:jc w:val="left"/>
              <w:rPr>
                <w:rFonts w:ascii="宋体" w:hAnsi="宋体" w:cs="宋体" w:eastAsia="宋体" w:hint="default"/>
                <w:sz w:val="18"/>
                <w:szCs w:val="18"/>
              </w:rPr>
            </w:pPr>
            <w:r>
              <w:rPr>
                <w:rFonts w:ascii="宋体" w:hAnsi="宋体" w:cs="宋体" w:eastAsia="宋体" w:hint="default"/>
                <w:sz w:val="18"/>
                <w:szCs w:val="18"/>
              </w:rPr>
              <w:t>截至报告期末，上述 承诺人严格信守承 诺，未发生违反承诺 的情况。</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利权的商标、专利，及尚未完成登记的著作权，公司及创始</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股东将采取合理方式保障上述权利的合法取得，并保证上述</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情形不会对公司生产经营造成任何实质性影响、不会侵犯任</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何第三人合法权益 。</w:t>
            </w:r>
          </w:p>
        </w:tc>
        <w:tc>
          <w:tcPr>
            <w:tcW w:w="1559"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r>
        <w:rPr/>
        <w:pict>
          <v:shape style="position:absolute;margin-left:497.869904pt;margin-top:57.18pt;width:119.65pt;height:470.05pt;mso-position-horizontal-relative:page;mso-position-vertical-relative:page;z-index:-15978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5"/>
                      <w:szCs w:val="15"/>
                    </w:rPr>
                  </w:pPr>
                </w:p>
                <w:p>
                  <w:pPr>
                    <w:spacing w:before="0"/>
                    <w:ind w:left="0" w:right="0" w:firstLine="72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各方同意，</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1985"/>
        <w:gridCol w:w="1417"/>
        <w:gridCol w:w="1134"/>
        <w:gridCol w:w="4820"/>
        <w:gridCol w:w="1559"/>
        <w:gridCol w:w="1276"/>
        <w:gridCol w:w="1702"/>
      </w:tblGrid>
      <w:tr>
        <w:trPr>
          <w:trHeight w:val="377" w:hRule="exact"/>
        </w:trPr>
        <w:tc>
          <w:tcPr>
            <w:tcW w:w="1985" w:type="dxa"/>
            <w:vMerge w:val="restart"/>
            <w:tcBorders>
              <w:top w:val="single" w:sz="15" w:space="0" w:color="000000"/>
              <w:left w:val="single" w:sz="4" w:space="0" w:color="000000"/>
              <w:right w:val="single" w:sz="4" w:space="0" w:color="000000"/>
            </w:tcBorders>
            <w:shd w:val="clear" w:color="auto" w:fill="D3D3D3"/>
          </w:tcPr>
          <w:p>
            <w:pPr/>
          </w:p>
        </w:tc>
        <w:tc>
          <w:tcPr>
            <w:tcW w:w="1417" w:type="dxa"/>
            <w:tcBorders>
              <w:top w:val="single" w:sz="15" w:space="0" w:color="000000"/>
              <w:left w:val="single" w:sz="4" w:space="0" w:color="000000"/>
              <w:bottom w:val="nil" w:sz="6" w:space="0" w:color="auto"/>
              <w:right w:val="single" w:sz="4" w:space="0" w:color="000000"/>
            </w:tcBorders>
          </w:tcPr>
          <w:p>
            <w:pPr/>
          </w:p>
        </w:tc>
        <w:tc>
          <w:tcPr>
            <w:tcW w:w="1134" w:type="dxa"/>
            <w:tcBorders>
              <w:top w:val="single" w:sz="15" w:space="0" w:color="000000"/>
              <w:left w:val="single" w:sz="4" w:space="0" w:color="000000"/>
              <w:bottom w:val="nil" w:sz="6" w:space="0" w:color="auto"/>
              <w:right w:val="single" w:sz="4" w:space="0" w:color="000000"/>
            </w:tcBorders>
          </w:tcPr>
          <w:p>
            <w:pPr/>
          </w:p>
        </w:tc>
        <w:tc>
          <w:tcPr>
            <w:tcW w:w="482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、各方同意，业绩承诺方对目标公司在业绩承诺期的业绩指</w:t>
            </w:r>
          </w:p>
        </w:tc>
        <w:tc>
          <w:tcPr>
            <w:tcW w:w="1559" w:type="dxa"/>
            <w:vMerge w:val="restart"/>
            <w:tcBorders>
              <w:top w:val="single" w:sz="15" w:space="0" w:color="000000"/>
              <w:left w:val="single" w:sz="4" w:space="0" w:color="000000"/>
              <w:right w:val="single" w:sz="4" w:space="0" w:color="000000"/>
            </w:tcBorders>
          </w:tcPr>
          <w:p>
            <w:pPr>
              <w:pStyle w:val="TableParagraph"/>
              <w:spacing w:line="940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7"/>
                <w:sz w:val="20"/>
                <w:szCs w:val="20"/>
              </w:rPr>
              <w:pict>
                <v:group style="width:77.5pt;height:470.05pt;mso-position-horizontal-relative:char;mso-position-vertical-relative:line" coordorigin="0,0" coordsize="1550,9401">
                  <v:group style="position:absolute;left:0;top:0;width:1550;height:9401" coordorigin="0,0" coordsize="1550,9401">
                    <v:shape style="position:absolute;left:0;top:0;width:1550;height:9401" coordorigin="0,0" coordsize="1550,9401" path="m0,0l1549,0,1549,9401,0,9401,0,0xe" filled="true" fillcolor="#ffffff" stroked="false">
                      <v:path arrowok="t"/>
                      <v:fill type="solid"/>
                    </v:shape>
                  </v:group>
                  <v:group style="position:absolute;left:23;top:4505;width:1503;height:392" coordorigin="23,4505" coordsize="1503,392">
                    <v:shape style="position:absolute;left:23;top:4505;width:1503;height:392" coordorigin="23,4505" coordsize="1503,392" path="m23,4505l23,4896,1525,4896,1525,4505,23,4505xe" filled="true" fillcolor="#ffffff" stroked="false">
                      <v:path arrowok="t"/>
                      <v:fill type="solid"/>
                    </v:shape>
                  </v:group>
                </v:group>
              </w:pict>
            </w:r>
            <w:r>
              <w:rPr>
                <w:rFonts w:ascii="Times New Roman" w:hAnsi="Times New Roman" w:cs="Times New Roman" w:eastAsia="Times New Roman" w:hint="default"/>
                <w:position w:val="-187"/>
                <w:sz w:val="20"/>
                <w:szCs w:val="20"/>
              </w:rPr>
            </w:r>
          </w:p>
        </w:tc>
        <w:tc>
          <w:tcPr>
            <w:tcW w:w="1276" w:type="dxa"/>
            <w:vMerge w:val="restart"/>
            <w:tcBorders>
              <w:top w:val="single" w:sz="15" w:space="0" w:color="000000"/>
              <w:left w:val="single" w:sz="4" w:space="0" w:color="000000"/>
              <w:right w:val="single" w:sz="4" w:space="0" w:color="000000"/>
            </w:tcBorders>
          </w:tcPr>
          <w:p>
            <w:pPr/>
          </w:p>
        </w:tc>
        <w:tc>
          <w:tcPr>
            <w:tcW w:w="1702" w:type="dxa"/>
            <w:vMerge w:val="restart"/>
            <w:tcBorders>
              <w:top w:val="single" w:sz="15" w:space="0" w:color="000000"/>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标作出承诺。业绩承诺期间为本协议签署后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个月为一个考核年度，目标公司三个考核年度的承诺的业绩</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指标如下：第一个考核年度业务指标承诺</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）目标公司新</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增签约并实施就业管理</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系统的双一流高校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所和本科</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院校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所</w:t>
            </w:r>
            <w:r>
              <w:rPr>
                <w:rFonts w:ascii="宋体" w:hAnsi="宋体" w:cs="宋体" w:eastAsia="宋体" w:hint="default"/>
                <w:spacing w:val="-9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3"/>
                <w:sz w:val="18"/>
                <w:szCs w:val="18"/>
              </w:rPr>
              <w:t>）</w:t>
            </w:r>
            <w:r>
              <w:rPr>
                <w:rFonts w:ascii="宋体" w:hAnsi="宋体" w:cs="宋体" w:eastAsia="宋体" w:hint="default"/>
                <w:sz w:val="18"/>
                <w:szCs w:val="18"/>
              </w:rPr>
              <w:t>目标公司</w:t>
            </w:r>
            <w:r>
              <w:rPr>
                <w:rFonts w:ascii="宋体" w:hAnsi="宋体" w:cs="宋体" w:eastAsia="宋体" w:hint="default"/>
                <w:spacing w:val="-2"/>
                <w:sz w:val="18"/>
                <w:szCs w:val="18"/>
              </w:rPr>
              <w:t>营</w:t>
            </w:r>
            <w:r>
              <w:rPr>
                <w:rFonts w:ascii="宋体" w:hAnsi="宋体" w:cs="宋体" w:eastAsia="宋体" w:hint="default"/>
                <w:sz w:val="18"/>
                <w:szCs w:val="18"/>
              </w:rPr>
              <w:t>业收入中的企业付费收入不低于</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）目标公司招聘就业板块招聘活跃企业数量不少</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w:t>
            </w:r>
            <w:r>
              <w:rPr>
                <w:rFonts w:ascii="宋体" w:hAnsi="宋体" w:cs="宋体" w:eastAsia="宋体" w:hint="default"/>
                <w:spacing w:val="-3"/>
                <w:sz w:val="18"/>
                <w:szCs w:val="18"/>
              </w:rPr>
              <w:t>；</w:t>
            </w:r>
            <w:r>
              <w:rPr>
                <w:rFonts w:ascii="宋体" w:hAnsi="宋体" w:cs="宋体" w:eastAsia="宋体" w:hint="default"/>
                <w:spacing w:val="1"/>
                <w:sz w:val="18"/>
                <w:szCs w:val="18"/>
              </w:rPr>
              <w:t>第</w:t>
            </w:r>
            <w:r>
              <w:rPr>
                <w:rFonts w:ascii="宋体" w:hAnsi="宋体" w:cs="宋体" w:eastAsia="宋体" w:hint="default"/>
                <w:sz w:val="18"/>
                <w:szCs w:val="18"/>
              </w:rPr>
              <w:t>二个考核年度业务指标承诺</w:t>
            </w:r>
            <w:r>
              <w:rPr>
                <w:rFonts w:ascii="宋体" w:hAnsi="宋体" w:cs="宋体" w:eastAsia="宋体" w:hint="default"/>
                <w:spacing w:val="-93"/>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3"/>
                <w:sz w:val="18"/>
                <w:szCs w:val="18"/>
              </w:rPr>
              <w:t>）</w:t>
            </w:r>
            <w:r>
              <w:rPr>
                <w:rFonts w:ascii="宋体" w:hAnsi="宋体" w:cs="宋体" w:eastAsia="宋体" w:hint="default"/>
                <w:sz w:val="18"/>
                <w:szCs w:val="18"/>
              </w:rPr>
              <w:t>目标公</w:t>
            </w:r>
            <w:r>
              <w:rPr>
                <w:rFonts w:ascii="宋体" w:hAnsi="宋体" w:cs="宋体" w:eastAsia="宋体" w:hint="default"/>
                <w:spacing w:val="1"/>
                <w:sz w:val="18"/>
                <w:szCs w:val="18"/>
              </w:rPr>
              <w:t>司</w:t>
            </w:r>
            <w:r>
              <w:rPr>
                <w:rFonts w:ascii="宋体" w:hAnsi="宋体" w:cs="宋体" w:eastAsia="宋体" w:hint="default"/>
                <w:sz w:val="18"/>
                <w:szCs w:val="18"/>
              </w:rPr>
              <w:t>新</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增签约并实施就业管理</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系统双一流高校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所和本科院</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所</w:t>
            </w:r>
            <w:r>
              <w:rPr>
                <w:rFonts w:ascii="宋体" w:hAnsi="宋体" w:cs="宋体" w:eastAsia="宋体" w:hint="default"/>
                <w:spacing w:val="-161"/>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71"/>
                <w:sz w:val="18"/>
                <w:szCs w:val="18"/>
              </w:rPr>
              <w:t>）</w:t>
            </w:r>
            <w:r>
              <w:rPr>
                <w:rFonts w:ascii="宋体" w:hAnsi="宋体" w:cs="宋体" w:eastAsia="宋体" w:hint="default"/>
                <w:spacing w:val="1"/>
                <w:sz w:val="18"/>
                <w:szCs w:val="18"/>
              </w:rPr>
              <w:t>目</w:t>
            </w:r>
            <w:r>
              <w:rPr>
                <w:rFonts w:ascii="宋体" w:hAnsi="宋体" w:cs="宋体" w:eastAsia="宋体" w:hint="default"/>
                <w:sz w:val="18"/>
                <w:szCs w:val="18"/>
              </w:rPr>
              <w:t>标公司营业收入中的企业付费收入不低于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）目标公司招聘就业板块招聘活跃企业数量不少于</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家；第三个考核年度业务指标承诺</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）目标公司新增</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签约并实施就业管理</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系统双一招聘流高校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所和本科</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院校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所</w:t>
            </w:r>
            <w:r>
              <w:rPr>
                <w:rFonts w:ascii="宋体" w:hAnsi="宋体" w:cs="宋体" w:eastAsia="宋体" w:hint="default"/>
                <w:spacing w:val="-9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3"/>
                <w:sz w:val="18"/>
                <w:szCs w:val="18"/>
              </w:rPr>
              <w:t>）</w:t>
            </w:r>
            <w:r>
              <w:rPr>
                <w:rFonts w:ascii="宋体" w:hAnsi="宋体" w:cs="宋体" w:eastAsia="宋体" w:hint="default"/>
                <w:sz w:val="18"/>
                <w:szCs w:val="18"/>
              </w:rPr>
              <w:t>目标公司</w:t>
            </w:r>
            <w:r>
              <w:rPr>
                <w:rFonts w:ascii="宋体" w:hAnsi="宋体" w:cs="宋体" w:eastAsia="宋体" w:hint="default"/>
                <w:spacing w:val="-2"/>
                <w:sz w:val="18"/>
                <w:szCs w:val="18"/>
              </w:rPr>
              <w:t>营</w:t>
            </w:r>
            <w:r>
              <w:rPr>
                <w:rFonts w:ascii="宋体" w:hAnsi="宋体" w:cs="宋体" w:eastAsia="宋体" w:hint="default"/>
                <w:sz w:val="18"/>
                <w:szCs w:val="18"/>
              </w:rPr>
              <w:t>业收入中的企业付费收入不低于</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634"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顾婷</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199"/>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116"/>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26"/>
                <w:sz w:val="18"/>
                <w:szCs w:val="18"/>
              </w:rPr>
              <w:t>）</w:t>
            </w:r>
            <w:r>
              <w:rPr>
                <w:rFonts w:ascii="宋体" w:hAnsi="宋体" w:cs="宋体" w:eastAsia="宋体" w:hint="default"/>
                <w:sz w:val="18"/>
                <w:szCs w:val="18"/>
              </w:rPr>
              <w:t>目标公司的招聘就业板块招聘活跃企业数量不</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少于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家；</w:t>
            </w:r>
            <w:r>
              <w:rPr>
                <w:rFonts w:ascii="Times New Roman" w:hAnsi="Times New Roman" w:cs="Times New Roman" w:eastAsia="Times New Roman" w:hint="default"/>
                <w:sz w:val="18"/>
                <w:szCs w:val="18"/>
              </w:rPr>
              <w:t>2</w:t>
            </w:r>
            <w:r>
              <w:rPr>
                <w:rFonts w:ascii="宋体" w:hAnsi="宋体" w:cs="宋体" w:eastAsia="宋体" w:hint="default"/>
                <w:sz w:val="18"/>
                <w:szCs w:val="18"/>
              </w:rPr>
              <w:t>、各方同意，如目标公司在业绩承诺期间的</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截至任一考核年度期末累计的实现业绩未能达到业绩承诺期</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期初至该考核年度期末累计的承诺业绩，则业绩承诺方将按</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照本协议约定给予完美数联相应现金补偿。若目标公司发生</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以下任一情况</w:t>
            </w:r>
            <w:r>
              <w:rPr>
                <w:rFonts w:ascii="宋体" w:hAnsi="宋体" w:cs="宋体" w:eastAsia="宋体" w:hint="default"/>
                <w:spacing w:val="-4"/>
                <w:sz w:val="18"/>
                <w:szCs w:val="18"/>
              </w:rPr>
              <w:t>，</w:t>
            </w:r>
            <w:r>
              <w:rPr>
                <w:rFonts w:ascii="宋体" w:hAnsi="宋体" w:cs="宋体" w:eastAsia="宋体" w:hint="default"/>
                <w:sz w:val="18"/>
                <w:szCs w:val="18"/>
              </w:rPr>
              <w:t>业绩承诺方需对完美数联进行业绩补偿</w:t>
            </w:r>
            <w:r>
              <w:rPr>
                <w:rFonts w:ascii="宋体" w:hAnsi="宋体" w:cs="宋体" w:eastAsia="宋体" w:hint="default"/>
                <w:spacing w:val="-93"/>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目标公司第一个业绩考核年度承诺业务指标任何一项业绩承</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诺未完成；或（</w:t>
            </w:r>
            <w:r>
              <w:rPr>
                <w:rFonts w:ascii="Times New Roman" w:hAnsi="Times New Roman" w:cs="Times New Roman" w:eastAsia="Times New Roman" w:hint="default"/>
                <w:sz w:val="18"/>
                <w:szCs w:val="18"/>
              </w:rPr>
              <w:t>2</w:t>
            </w:r>
            <w:r>
              <w:rPr>
                <w:rFonts w:ascii="宋体" w:hAnsi="宋体" w:cs="宋体" w:eastAsia="宋体" w:hint="default"/>
                <w:sz w:val="18"/>
                <w:szCs w:val="18"/>
              </w:rPr>
              <w:t>）目标公司前两个考核年度累计承诺营收指</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标、前两个考核年度累计承诺新增院校数量指标或者第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考核年度的活跃企业数量的任一指标未完成；或（</w:t>
            </w:r>
            <w:r>
              <w:rPr>
                <w:rFonts w:ascii="Times New Roman" w:hAnsi="Times New Roman" w:cs="Times New Roman" w:eastAsia="Times New Roman" w:hint="default"/>
                <w:sz w:val="18"/>
                <w:szCs w:val="18"/>
              </w:rPr>
              <w:t>3</w:t>
            </w:r>
            <w:r>
              <w:rPr>
                <w:rFonts w:ascii="宋体" w:hAnsi="宋体" w:cs="宋体" w:eastAsia="宋体" w:hint="default"/>
                <w:sz w:val="18"/>
                <w:szCs w:val="18"/>
              </w:rPr>
              <w:t>）目标公</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司三个业绩考核年度承诺营收指标、三年业绩考核年度新增</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院校指标或者第三个业绩考核年度活跃招聘企业数量的任一</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指标未完成。</w:t>
            </w:r>
            <w:r>
              <w:rPr>
                <w:rFonts w:ascii="Times New Roman" w:hAnsi="Times New Roman" w:cs="Times New Roman" w:eastAsia="Times New Roman" w:hint="default"/>
                <w:sz w:val="18"/>
                <w:szCs w:val="18"/>
              </w:rPr>
              <w:t>3</w:t>
            </w:r>
            <w:r>
              <w:rPr>
                <w:rFonts w:ascii="宋体" w:hAnsi="宋体" w:cs="宋体" w:eastAsia="宋体" w:hint="default"/>
                <w:sz w:val="18"/>
                <w:szCs w:val="18"/>
              </w:rPr>
              <w:t>、本次交易交割完成后，在业绩承诺期间每一</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业绩年度完结后，由完美数联指定相应的团队就目标公司承</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诺业绩实现情况出具专项审核报告，对目标公司业绩承诺期</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间每个考核年度实现的业绩指标进行审计确认。</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w:t>
            </w:r>
          </w:p>
        </w:tc>
        <w:tc>
          <w:tcPr>
            <w:tcW w:w="155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r>
        <w:rPr/>
        <w:pict>
          <v:group style="position:absolute;margin-left:242.330994pt;margin-top:423pt;width:56.25pt;height:111.2pt;mso-position-horizontal-relative:page;mso-position-vertical-relative:page;z-index:-1597864" coordorigin="4847,8460" coordsize="1125,2224">
            <v:group style="position:absolute;left:4847;top:8460;width:1125;height:2224" coordorigin="4847,8460" coordsize="1125,2224">
              <v:shape style="position:absolute;left:4847;top:8460;width:1125;height:2224" coordorigin="4847,8460" coordsize="1125,2224" path="m4847,8460l4847,10684,5971,10684,5971,8460,4847,8460xe" filled="true" fillcolor="#ffffff" stroked="false">
                <v:path arrowok="t"/>
                <v:fill type="solid"/>
              </v:shape>
            </v:group>
            <v:group style="position:absolute;left:4869;top:9376;width:1079;height:393" coordorigin="4869,9376" coordsize="1079,393">
              <v:shape style="position:absolute;left:4869;top:9376;width:1079;height:393" coordorigin="4869,9376" coordsize="1079,393" path="m4869,9376l4869,9768,5948,9768,5948,9376,4869,9376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985"/>
        <w:gridCol w:w="1417"/>
        <w:gridCol w:w="1134"/>
        <w:gridCol w:w="4820"/>
        <w:gridCol w:w="1559"/>
        <w:gridCol w:w="1276"/>
        <w:gridCol w:w="1702"/>
      </w:tblGrid>
      <w:tr>
        <w:trPr>
          <w:trHeight w:val="331" w:hRule="exact"/>
        </w:trPr>
        <w:tc>
          <w:tcPr>
            <w:tcW w:w="1985"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482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完美数联应在业绩承诺期间每一年度专项审核报告出具之后</w:t>
            </w:r>
          </w:p>
        </w:tc>
        <w:tc>
          <w:tcPr>
            <w:tcW w:w="1559" w:type="dxa"/>
            <w:vMerge w:val="restart"/>
            <w:tcBorders>
              <w:top w:val="single" w:sz="15" w:space="0" w:color="000000"/>
              <w:left w:val="single" w:sz="4" w:space="0" w:color="000000"/>
              <w:right w:val="single" w:sz="4" w:space="0" w:color="000000"/>
            </w:tcBorders>
          </w:tcPr>
          <w:p>
            <w:pPr/>
          </w:p>
        </w:tc>
        <w:tc>
          <w:tcPr>
            <w:tcW w:w="1276" w:type="dxa"/>
            <w:vMerge w:val="restart"/>
            <w:tcBorders>
              <w:top w:val="single" w:sz="15" w:space="0" w:color="000000"/>
              <w:left w:val="single" w:sz="4" w:space="0" w:color="000000"/>
              <w:right w:val="single" w:sz="4" w:space="0" w:color="000000"/>
            </w:tcBorders>
          </w:tcPr>
          <w:p>
            <w:pPr/>
          </w:p>
        </w:tc>
        <w:tc>
          <w:tcPr>
            <w:tcW w:w="1702" w:type="dxa"/>
            <w:vMerge w:val="restart"/>
            <w:tcBorders>
              <w:top w:val="single" w:sz="15" w:space="0" w:color="000000"/>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确定现金补偿金额并将补偿金额书面通知业绩承诺方，业绩</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承诺方应按照本协议约定及时向完美数联支付补偿款。各方</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一致同意，在补偿期间各年计算的应补偿金额少于或等于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时，按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取值，即已经补偿的金额不冲回。如业绩承诺方需</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对完美数联进行现金补偿的</w:t>
            </w:r>
            <w:r>
              <w:rPr>
                <w:rFonts w:ascii="Times New Roman" w:hAnsi="Times New Roman" w:cs="Times New Roman" w:eastAsia="Times New Roman" w:hint="default"/>
                <w:sz w:val="18"/>
                <w:szCs w:val="18"/>
              </w:rPr>
              <w:t>,</w:t>
            </w:r>
            <w:r>
              <w:rPr>
                <w:rFonts w:ascii="宋体" w:hAnsi="宋体" w:cs="宋体" w:eastAsia="宋体" w:hint="default"/>
                <w:sz w:val="18"/>
                <w:szCs w:val="18"/>
              </w:rPr>
              <w:t>在目标公司相应考核年度的年度</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报告或专项审计意见（包括专项意见）出具之日起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完美数联将应补偿的现金金额书面通知业绩承诺方，并按照</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支付节奏约定先从尚未支付的现金对价中予以扣除，不足部</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分则由补偿义务人以现金形式补足，业绩承诺方应在收到甲</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方发出的前述书面通知之日起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日内将现金补偿款分别汇入</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完美数联指定的账户。</w:t>
            </w:r>
            <w:r>
              <w:rPr>
                <w:rFonts w:ascii="Times New Roman" w:hAnsi="Times New Roman" w:cs="Times New Roman" w:eastAsia="Times New Roman" w:hint="default"/>
                <w:sz w:val="18"/>
                <w:szCs w:val="18"/>
              </w:rPr>
              <w:t>6</w:t>
            </w:r>
            <w:r>
              <w:rPr>
                <w:rFonts w:ascii="宋体" w:hAnsi="宋体" w:cs="宋体" w:eastAsia="宋体" w:hint="default"/>
                <w:sz w:val="18"/>
                <w:szCs w:val="18"/>
              </w:rPr>
              <w:t>、各方同意，业绩承诺方依据本协议</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支付的补偿总金额不超过</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385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7</w:t>
            </w:r>
            <w:r>
              <w:rPr>
                <w:rFonts w:ascii="宋体" w:hAnsi="宋体" w:cs="宋体" w:eastAsia="宋体" w:hint="default"/>
                <w:sz w:val="18"/>
                <w:szCs w:val="18"/>
              </w:rPr>
              <w:t>、各方同意，如业绩承</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诺期内，完美数联继续收购乙方一所持股权，则甲方与顾婷</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8"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将另行签订股权转让协议和</w:t>
            </w:r>
            <w:r>
              <w:rPr>
                <w:rFonts w:ascii="Times New Roman" w:hAnsi="Times New Roman" w:cs="Times New Roman" w:eastAsia="Times New Roman" w:hint="default"/>
                <w:sz w:val="18"/>
                <w:szCs w:val="18"/>
              </w:rPr>
              <w:t>/</w:t>
            </w:r>
            <w:r>
              <w:rPr>
                <w:rFonts w:ascii="宋体" w:hAnsi="宋体" w:cs="宋体" w:eastAsia="宋体" w:hint="default"/>
                <w:sz w:val="18"/>
                <w:szCs w:val="18"/>
              </w:rPr>
              <w:t>或业绩补偿协议约定估值调整条</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52"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55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357" w:hRule="exact"/>
        </w:trPr>
        <w:tc>
          <w:tcPr>
            <w:tcW w:w="19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公司的所有募集资金将存放于专户管理，并用于公司主营业</w:t>
            </w:r>
          </w:p>
        </w:tc>
        <w:tc>
          <w:tcPr>
            <w:tcW w:w="1559"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务。对于尚没有具体使用项目的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其他与主营业务相关的营运</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截至报告期末，公司</w:t>
            </w:r>
          </w:p>
        </w:tc>
      </w:tr>
      <w:tr>
        <w:trPr>
          <w:trHeight w:val="931"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22"/>
              <w:jc w:val="left"/>
              <w:rPr>
                <w:rFonts w:ascii="宋体" w:hAnsi="宋体" w:cs="宋体" w:eastAsia="宋体" w:hint="default"/>
                <w:sz w:val="18"/>
                <w:szCs w:val="18"/>
              </w:rPr>
            </w:pPr>
            <w:r>
              <w:rPr>
                <w:rFonts w:ascii="宋体" w:hAnsi="宋体" w:cs="宋体" w:eastAsia="宋体" w:hint="default"/>
                <w:sz w:val="18"/>
                <w:szCs w:val="18"/>
              </w:rPr>
              <w:t>新开普电子股份 有限公司</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99"/>
              <w:jc w:val="left"/>
              <w:rPr>
                <w:rFonts w:ascii="宋体" w:hAnsi="宋体" w:cs="宋体" w:eastAsia="宋体" w:hint="default"/>
                <w:sz w:val="18"/>
                <w:szCs w:val="18"/>
              </w:rPr>
            </w:pPr>
            <w:r>
              <w:rPr>
                <w:rFonts w:ascii="宋体" w:hAnsi="宋体" w:cs="宋体" w:eastAsia="宋体" w:hint="default"/>
                <w:sz w:val="18"/>
                <w:szCs w:val="18"/>
              </w:rPr>
              <w:t>募集资金使 用承诺</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2" w:right="32"/>
              <w:jc w:val="left"/>
              <w:rPr>
                <w:rFonts w:ascii="宋体" w:hAnsi="宋体" w:cs="宋体" w:eastAsia="宋体" w:hint="default"/>
                <w:sz w:val="18"/>
                <w:szCs w:val="18"/>
              </w:rPr>
            </w:pPr>
            <w:r>
              <w:rPr>
                <w:rFonts w:ascii="宋体" w:hAnsi="宋体" w:cs="宋体" w:eastAsia="宋体" w:hint="default"/>
                <w:sz w:val="18"/>
                <w:szCs w:val="18"/>
              </w:rPr>
              <w:t>资金</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，本公司最晚于募集资金到帐后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个月内，根据公司的 发展规划及实际生产经营需求，妥善安排该部分资金的使用 计划，提交董事会审议通过后及时披露。公司实际使用该部</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47"/>
              <w:jc w:val="both"/>
              <w:rPr>
                <w:rFonts w:ascii="宋体" w:hAnsi="宋体" w:cs="宋体" w:eastAsia="宋体" w:hint="default"/>
                <w:sz w:val="18"/>
                <w:szCs w:val="18"/>
              </w:rPr>
            </w:pPr>
            <w:r>
              <w:rPr>
                <w:rFonts w:ascii="宋体" w:hAnsi="宋体" w:cs="宋体" w:eastAsia="宋体" w:hint="default"/>
                <w:sz w:val="18"/>
                <w:szCs w:val="18"/>
              </w:rPr>
              <w:t>首次公开发行募集资 金已经使用完毕，未 发生违反承诺的情</w:t>
            </w:r>
          </w:p>
        </w:tc>
      </w:tr>
      <w:tr>
        <w:trPr>
          <w:trHeight w:val="313"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分资金前，将履行相应的董事会或股东大会审议程序，并及</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56"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w:t>
            </w: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时披露。</w:t>
            </w:r>
          </w:p>
        </w:tc>
        <w:tc>
          <w:tcPr>
            <w:tcW w:w="1559"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r>
      <w:tr>
        <w:trPr>
          <w:trHeight w:val="348"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时所作承诺</w:t>
            </w: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严格遵守《公司法》和深圳证券交易所关于上市公司董事、</w:t>
            </w:r>
          </w:p>
        </w:tc>
        <w:tc>
          <w:tcPr>
            <w:tcW w:w="1559"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r>
      <w:tr>
        <w:trPr>
          <w:trHeight w:val="1569"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4" w:lineRule="auto"/>
              <w:ind w:left="22" w:right="-33"/>
              <w:jc w:val="left"/>
              <w:rPr>
                <w:rFonts w:ascii="宋体" w:hAnsi="宋体" w:cs="宋体" w:eastAsia="宋体" w:hint="default"/>
                <w:sz w:val="18"/>
                <w:szCs w:val="18"/>
              </w:rPr>
            </w:pPr>
            <w:r>
              <w:rPr>
                <w:rFonts w:ascii="宋体" w:hAnsi="宋体" w:cs="宋体" w:eastAsia="宋体" w:hint="default"/>
                <w:sz w:val="18"/>
                <w:szCs w:val="18"/>
              </w:rPr>
              <w:t>杨维国、尚卫国 付秋生、赵利宾 </w:t>
            </w:r>
            <w:r>
              <w:rPr>
                <w:rFonts w:ascii="宋体" w:hAnsi="宋体" w:cs="宋体" w:eastAsia="宋体" w:hint="default"/>
                <w:spacing w:val="-3"/>
                <w:sz w:val="18"/>
                <w:szCs w:val="18"/>
              </w:rPr>
              <w:t>华梦阳、刘恩臣、</w:t>
            </w:r>
            <w:r>
              <w:rPr>
                <w:rFonts w:ascii="宋体" w:hAnsi="宋体" w:cs="宋体" w:eastAsia="宋体" w:hint="default"/>
                <w:spacing w:val="-23"/>
                <w:sz w:val="18"/>
                <w:szCs w:val="18"/>
              </w:rPr>
              <w:t> </w:t>
            </w:r>
            <w:r>
              <w:rPr>
                <w:rFonts w:ascii="宋体" w:hAnsi="宋体" w:cs="宋体" w:eastAsia="宋体" w:hint="default"/>
                <w:sz w:val="18"/>
                <w:szCs w:val="18"/>
              </w:rPr>
              <w:t>王葆玲等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w:t>
            </w:r>
            <w:r>
              <w:rPr>
                <w:rFonts w:ascii="宋体" w:hAnsi="宋体" w:cs="宋体" w:eastAsia="宋体" w:hint="default"/>
                <w:spacing w:val="1"/>
                <w:sz w:val="18"/>
                <w:szCs w:val="18"/>
              </w:rPr>
              <w:t> </w:t>
            </w:r>
            <w:r>
              <w:rPr>
                <w:rFonts w:ascii="宋体" w:hAnsi="宋体" w:cs="宋体" w:eastAsia="宋体" w:hint="default"/>
                <w:sz w:val="18"/>
                <w:szCs w:val="18"/>
              </w:rPr>
              <w:t>然人股东。</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16" w:lineRule="auto" w:before="19"/>
              <w:ind w:left="22" w:right="107"/>
              <w:jc w:val="both"/>
              <w:rPr>
                <w:rFonts w:ascii="宋体" w:hAnsi="宋体" w:cs="宋体" w:eastAsia="宋体" w:hint="default"/>
                <w:sz w:val="18"/>
                <w:szCs w:val="18"/>
              </w:rPr>
            </w:pPr>
            <w:r>
              <w:rPr>
                <w:rFonts w:ascii="宋体" w:hAnsi="宋体" w:cs="宋体" w:eastAsia="宋体" w:hint="default"/>
                <w:sz w:val="18"/>
                <w:szCs w:val="18"/>
              </w:rPr>
              <w:t>监事与高级管理人员买卖本公司股份行为的相关规定，在任 职期间每年转让的股份不超过本人所持有发行人股份总数的 百分之二十五；所持发行人股份自发行人股票上市交易之日 起十二个月内不得转让；在公司首次公开发行股票上市之日 起六个月内申报离职的，自申报离职之日起十八个月内不转</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319" w:lineRule="auto" w:before="156"/>
              <w:ind w:left="22" w:right="47"/>
              <w:jc w:val="left"/>
              <w:rPr>
                <w:rFonts w:ascii="宋体" w:hAnsi="宋体" w:cs="宋体" w:eastAsia="宋体" w:hint="default"/>
                <w:sz w:val="18"/>
                <w:szCs w:val="18"/>
              </w:rPr>
            </w:pPr>
            <w:r>
              <w:rPr>
                <w:rFonts w:ascii="宋体" w:hAnsi="宋体" w:cs="宋体" w:eastAsia="宋体" w:hint="default"/>
                <w:sz w:val="18"/>
                <w:szCs w:val="18"/>
              </w:rPr>
              <w:t>截至报告期末，上述 承诺人严格信守承 诺，未发生违反承诺 的情况。</w:t>
            </w:r>
          </w:p>
        </w:tc>
      </w:tr>
      <w:tr>
        <w:trPr>
          <w:trHeight w:val="318" w:hRule="exact"/>
        </w:trPr>
        <w:tc>
          <w:tcPr>
            <w:tcW w:w="19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让本人直接持有的发行人股份；在公司首次公开发行股票上</w:t>
            </w:r>
          </w:p>
        </w:tc>
        <w:tc>
          <w:tcPr>
            <w:tcW w:w="1559"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200" w:left="1320" w:right="1340"/>
        </w:sectPr>
      </w:pPr>
    </w:p>
    <w:p>
      <w:pPr>
        <w:spacing w:line="240" w:lineRule="auto" w:before="4"/>
        <w:rPr>
          <w:rFonts w:ascii="Times New Roman" w:hAnsi="Times New Roman" w:cs="Times New Roman" w:eastAsia="Times New Roman" w:hint="default"/>
          <w:sz w:val="3"/>
          <w:szCs w:val="3"/>
        </w:rPr>
      </w:pPr>
      <w:r>
        <w:rPr/>
        <w:pict>
          <v:group style="position:absolute;margin-left:242.330994pt;margin-top:423pt;width:56.25pt;height:111.2pt;mso-position-horizontal-relative:page;mso-position-vertical-relative:page;z-index:-1597840" coordorigin="4847,8460" coordsize="1125,2224">
            <v:group style="position:absolute;left:4847;top:8460;width:1125;height:2224" coordorigin="4847,8460" coordsize="1125,2224">
              <v:shape style="position:absolute;left:4847;top:8460;width:1125;height:2224" coordorigin="4847,8460" coordsize="1125,2224" path="m4847,8460l4847,10684,5971,10684,5971,8460,4847,8460xe" filled="true" fillcolor="#ffffff" stroked="false">
                <v:path arrowok="t"/>
                <v:fill type="solid"/>
              </v:shape>
            </v:group>
            <v:group style="position:absolute;left:4869;top:9376;width:1079;height:393" coordorigin="4869,9376" coordsize="1079,393">
              <v:shape style="position:absolute;left:4869;top:9376;width:1079;height:393" coordorigin="4869,9376" coordsize="1079,393" path="m4869,9376l4869,9768,5948,9768,5948,9376,4869,9376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985"/>
        <w:gridCol w:w="1417"/>
        <w:gridCol w:w="1134"/>
        <w:gridCol w:w="4820"/>
        <w:gridCol w:w="1559"/>
        <w:gridCol w:w="1276"/>
        <w:gridCol w:w="1702"/>
      </w:tblGrid>
      <w:tr>
        <w:trPr>
          <w:trHeight w:val="331" w:hRule="exact"/>
        </w:trPr>
        <w:tc>
          <w:tcPr>
            <w:tcW w:w="1985"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482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市之日起第七个月至第十二个月之间申报离职的，自申报离</w:t>
            </w:r>
          </w:p>
        </w:tc>
        <w:tc>
          <w:tcPr>
            <w:tcW w:w="1559" w:type="dxa"/>
            <w:vMerge w:val="restart"/>
            <w:tcBorders>
              <w:top w:val="single" w:sz="15" w:space="0" w:color="000000"/>
              <w:left w:val="single" w:sz="4" w:space="0" w:color="000000"/>
              <w:right w:val="single" w:sz="4" w:space="0" w:color="000000"/>
            </w:tcBorders>
          </w:tcPr>
          <w:p>
            <w:pPr/>
          </w:p>
        </w:tc>
        <w:tc>
          <w:tcPr>
            <w:tcW w:w="1276" w:type="dxa"/>
            <w:vMerge w:val="restart"/>
            <w:tcBorders>
              <w:top w:val="single" w:sz="15" w:space="0" w:color="000000"/>
              <w:left w:val="single" w:sz="4" w:space="0" w:color="000000"/>
              <w:right w:val="single" w:sz="4" w:space="0" w:color="000000"/>
            </w:tcBorders>
          </w:tcPr>
          <w:p>
            <w:pPr/>
          </w:p>
        </w:tc>
        <w:tc>
          <w:tcPr>
            <w:tcW w:w="1702" w:type="dxa"/>
            <w:vMerge w:val="restart"/>
            <w:tcBorders>
              <w:top w:val="single" w:sz="15" w:space="0" w:color="000000"/>
              <w:left w:val="single" w:sz="4" w:space="0" w:color="000000"/>
              <w:right w:val="single" w:sz="4" w:space="0" w:color="000000"/>
            </w:tcBorders>
          </w:tcPr>
          <w:p>
            <w:pPr/>
          </w:p>
        </w:tc>
      </w:tr>
      <w:tr>
        <w:trPr>
          <w:trHeight w:val="313"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职之日起十二个月内不转让本人直接持有的发行人股份；在</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离职后六个月内，不转让本人所持有的发行人股份。</w:t>
            </w:r>
          </w:p>
        </w:tc>
        <w:tc>
          <w:tcPr>
            <w:tcW w:w="155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362" w:hRule="exact"/>
        </w:trPr>
        <w:tc>
          <w:tcPr>
            <w:tcW w:w="1985"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、截至本承诺函出具日，本人未控制任何与新开普存在有相</w:t>
            </w:r>
          </w:p>
        </w:tc>
        <w:tc>
          <w:tcPr>
            <w:tcW w:w="1559"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同或类似业务的公司、企业或其他经营实体，未经营也没有</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为他人经营与新开普相同或类似的产品或业务；本人与新开</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普不存在同业竞争。</w:t>
            </w:r>
            <w:r>
              <w:rPr>
                <w:rFonts w:ascii="Times New Roman" w:hAnsi="Times New Roman" w:cs="Times New Roman" w:eastAsia="Times New Roman" w:hint="default"/>
                <w:sz w:val="18"/>
                <w:szCs w:val="18"/>
              </w:rPr>
              <w:t>2</w:t>
            </w:r>
            <w:r>
              <w:rPr>
                <w:rFonts w:ascii="宋体" w:hAnsi="宋体" w:cs="宋体" w:eastAsia="宋体" w:hint="default"/>
                <w:sz w:val="18"/>
                <w:szCs w:val="18"/>
              </w:rPr>
              <w:t>、本人保证自本承诺函出具日起，将不</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在中国境内外投资、收购、兼并、经营与新开普生产、经营</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存在有相同或类似业务的公司、企业或其他经营实体，不在</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中国境内外从事任何与新开普业务直接竞争或可能竞争的任</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何活动，以避免对新开普的生产经营构成直接或间接的业务</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1249"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22"/>
              <w:jc w:val="both"/>
              <w:rPr>
                <w:rFonts w:ascii="宋体" w:hAnsi="宋体" w:cs="宋体" w:eastAsia="宋体" w:hint="default"/>
                <w:sz w:val="18"/>
                <w:szCs w:val="18"/>
              </w:rPr>
            </w:pPr>
            <w:r>
              <w:rPr>
                <w:rFonts w:ascii="宋体" w:hAnsi="宋体" w:cs="宋体" w:eastAsia="宋体" w:hint="default"/>
                <w:sz w:val="18"/>
                <w:szCs w:val="18"/>
              </w:rPr>
              <w:t>公司控股股东暨 实际控制人杨维 国</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2"/>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07"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竞争。</w:t>
            </w:r>
            <w:r>
              <w:rPr>
                <w:rFonts w:ascii="Times New Roman" w:hAnsi="Times New Roman" w:cs="Times New Roman" w:eastAsia="Times New Roman" w:hint="default"/>
                <w:sz w:val="18"/>
                <w:szCs w:val="18"/>
              </w:rPr>
              <w:t>3</w:t>
            </w:r>
            <w:r>
              <w:rPr>
                <w:rFonts w:ascii="宋体" w:hAnsi="宋体" w:cs="宋体" w:eastAsia="宋体" w:hint="default"/>
                <w:sz w:val="18"/>
                <w:szCs w:val="18"/>
              </w:rPr>
              <w:t>、本人承诺不会利用新开普的控股股东和实际控制人 地位损害新开普及新开普其他股东的合法权益。</w:t>
            </w:r>
            <w:r>
              <w:rPr>
                <w:rFonts w:ascii="Times New Roman" w:hAnsi="Times New Roman" w:cs="Times New Roman" w:eastAsia="Times New Roman" w:hint="default"/>
                <w:sz w:val="18"/>
                <w:szCs w:val="18"/>
              </w:rPr>
              <w:t>4</w:t>
            </w:r>
            <w:r>
              <w:rPr>
                <w:rFonts w:ascii="宋体" w:hAnsi="宋体" w:cs="宋体" w:eastAsia="宋体" w:hint="default"/>
                <w:sz w:val="18"/>
                <w:szCs w:val="18"/>
              </w:rPr>
              <w:t>、本人保证 自本承诺函出具日起，若本人控制的公司、企业或其他经营 实体出现与新开普业务有竞争的经营业务情况时，新开普可</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47"/>
              <w:jc w:val="left"/>
              <w:rPr>
                <w:rFonts w:ascii="宋体" w:hAnsi="宋体" w:cs="宋体" w:eastAsia="宋体" w:hint="default"/>
                <w:sz w:val="18"/>
                <w:szCs w:val="18"/>
              </w:rPr>
            </w:pPr>
            <w:r>
              <w:rPr>
                <w:rFonts w:ascii="宋体" w:hAnsi="宋体" w:cs="宋体" w:eastAsia="宋体" w:hint="default"/>
                <w:sz w:val="18"/>
                <w:szCs w:val="18"/>
              </w:rPr>
              <w:t>截至报告期末，上述 承诺人严格信守承 诺，未发生违反承诺 的情况。</w:t>
            </w:r>
          </w:p>
        </w:tc>
      </w:tr>
      <w:tr>
        <w:trPr>
          <w:trHeight w:val="311"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以采取优先收购或委托经营的方式将相关公司、企业或其他</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经营实体的竞争业务集中到新开普经营。</w:t>
            </w:r>
            <w:r>
              <w:rPr>
                <w:rFonts w:ascii="Times New Roman" w:hAnsi="Times New Roman" w:cs="Times New Roman" w:eastAsia="Times New Roman" w:hint="default"/>
                <w:sz w:val="18"/>
                <w:szCs w:val="18"/>
              </w:rPr>
              <w:t>5</w:t>
            </w:r>
            <w:r>
              <w:rPr>
                <w:rFonts w:ascii="宋体" w:hAnsi="宋体" w:cs="宋体" w:eastAsia="宋体" w:hint="default"/>
                <w:sz w:val="18"/>
                <w:szCs w:val="18"/>
              </w:rPr>
              <w:t>、本人保证自本承</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诺函出具日起，若本人控制的公司、企业或其他经营实体在</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出售或转让与新开普主营业务相关的资产、业务或权益时，</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在同等条件下给予新开普优先购买的权利。</w:t>
            </w:r>
            <w:r>
              <w:rPr>
                <w:rFonts w:ascii="Times New Roman" w:hAnsi="Times New Roman" w:cs="Times New Roman" w:eastAsia="Times New Roman" w:hint="default"/>
                <w:sz w:val="18"/>
                <w:szCs w:val="18"/>
              </w:rPr>
              <w:t>6</w:t>
            </w:r>
            <w:r>
              <w:rPr>
                <w:rFonts w:ascii="宋体" w:hAnsi="宋体" w:cs="宋体" w:eastAsia="宋体" w:hint="default"/>
                <w:sz w:val="18"/>
                <w:szCs w:val="18"/>
              </w:rPr>
              <w:t>、如本人及其控</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制的公司、企业或其他经营实体有任何违反上述承诺的事项</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发生，本人将承担因此给新开普造成的一切损失（含直接损</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失和间接损失</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59"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985"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杨维国、尚卫国</w:t>
            </w: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月，郑州新开普电子技术有限公司注册资本由</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559"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r>
      <w:tr>
        <w:trPr>
          <w:trHeight w:val="1559"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22"/>
              <w:jc w:val="left"/>
              <w:rPr>
                <w:rFonts w:ascii="宋体" w:hAnsi="宋体" w:cs="宋体" w:eastAsia="宋体" w:hint="default"/>
                <w:sz w:val="18"/>
                <w:szCs w:val="18"/>
              </w:rPr>
            </w:pPr>
            <w:r>
              <w:rPr>
                <w:rFonts w:ascii="宋体" w:hAnsi="宋体" w:cs="宋体" w:eastAsia="宋体" w:hint="default"/>
                <w:sz w:val="18"/>
                <w:szCs w:val="18"/>
              </w:rPr>
              <w:t>赵利宾、华梦阳 郎金文、杜建平 </w:t>
            </w:r>
            <w:r>
              <w:rPr>
                <w:rFonts w:ascii="宋体" w:hAnsi="宋体" w:cs="宋体" w:eastAsia="宋体" w:hint="default"/>
                <w:spacing w:val="-10"/>
                <w:sz w:val="18"/>
                <w:szCs w:val="18"/>
              </w:rPr>
              <w:t>傅常顺、葛晓阁和</w:t>
            </w:r>
            <w:r>
              <w:rPr>
                <w:rFonts w:ascii="宋体" w:hAnsi="宋体" w:cs="宋体" w:eastAsia="宋体" w:hint="default"/>
                <w:sz w:val="18"/>
                <w:szCs w:val="18"/>
              </w:rPr>
              <w:t> 刘恩臣等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月郑州</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元增加至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万元，但该次增资并未及时到位，而是于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月前陆续到位。为此，杨维国、尚卫国、赵利宾、华梦</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阳、郎金文、杜建平、傅常顺、葛晓阁和刘恩臣等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名增资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股东于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日共同作出书面承诺：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）有限公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月增资时，增资股东用于出资的资金和实物资产</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319" w:lineRule="auto" w:before="141"/>
              <w:ind w:left="22" w:right="47"/>
              <w:jc w:val="left"/>
              <w:rPr>
                <w:rFonts w:ascii="宋体" w:hAnsi="宋体" w:cs="宋体" w:eastAsia="宋体" w:hint="default"/>
                <w:sz w:val="18"/>
                <w:szCs w:val="18"/>
              </w:rPr>
            </w:pPr>
            <w:r>
              <w:rPr>
                <w:rFonts w:ascii="宋体" w:hAnsi="宋体" w:cs="宋体" w:eastAsia="宋体" w:hint="default"/>
                <w:sz w:val="18"/>
                <w:szCs w:val="18"/>
              </w:rPr>
              <w:t>截至报告期末，上述 承诺人严格信守承 诺，未发生违反承诺 的情况。</w:t>
            </w:r>
          </w:p>
        </w:tc>
      </w:tr>
      <w:tr>
        <w:trPr>
          <w:trHeight w:val="313"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新开普电子技术</w:t>
            </w: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均系增资股东自筹资金或自有实物资产，前述资金和实物资</w:t>
            </w:r>
          </w:p>
        </w:tc>
        <w:tc>
          <w:tcPr>
            <w:tcW w:w="1559"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200" w:left="1320" w:right="1340"/>
        </w:sectPr>
      </w:pPr>
    </w:p>
    <w:p>
      <w:pPr>
        <w:spacing w:line="240" w:lineRule="auto" w:before="4"/>
        <w:rPr>
          <w:rFonts w:ascii="Times New Roman" w:hAnsi="Times New Roman" w:cs="Times New Roman" w:eastAsia="Times New Roman" w:hint="default"/>
          <w:sz w:val="3"/>
          <w:szCs w:val="3"/>
        </w:rPr>
      </w:pPr>
      <w:r>
        <w:rPr/>
        <w:pict>
          <v:shape style="position:absolute;margin-left:533.870789pt;margin-top:57.18pt;width:83.65pt;height:173.65pt;mso-position-horizontal-relative:page;mso-position-vertical-relative:page;z-index:-15977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1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1985"/>
        <w:gridCol w:w="1417"/>
        <w:gridCol w:w="1134"/>
        <w:gridCol w:w="4820"/>
        <w:gridCol w:w="1559"/>
        <w:gridCol w:w="1276"/>
        <w:gridCol w:w="1702"/>
      </w:tblGrid>
      <w:tr>
        <w:trPr>
          <w:trHeight w:val="331" w:hRule="exact"/>
        </w:trPr>
        <w:tc>
          <w:tcPr>
            <w:tcW w:w="1985" w:type="dxa"/>
            <w:vMerge w:val="restart"/>
            <w:tcBorders>
              <w:top w:val="single" w:sz="15" w:space="0" w:color="000000"/>
              <w:left w:val="single" w:sz="4" w:space="0" w:color="000000"/>
              <w:right w:val="single" w:sz="4" w:space="0" w:color="000000"/>
            </w:tcBorders>
            <w:shd w:val="clear" w:color="auto" w:fill="D3D3D3"/>
          </w:tcPr>
          <w:p>
            <w:pPr/>
          </w:p>
        </w:tc>
        <w:tc>
          <w:tcPr>
            <w:tcW w:w="1417"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有限公司增资股</w:t>
            </w:r>
          </w:p>
        </w:tc>
        <w:tc>
          <w:tcPr>
            <w:tcW w:w="1134" w:type="dxa"/>
            <w:vMerge w:val="restart"/>
            <w:tcBorders>
              <w:top w:val="single" w:sz="15" w:space="0" w:color="000000"/>
              <w:left w:val="single" w:sz="4" w:space="0" w:color="000000"/>
              <w:right w:val="single" w:sz="4" w:space="0" w:color="000000"/>
            </w:tcBorders>
          </w:tcPr>
          <w:p>
            <w:pPr/>
          </w:p>
        </w:tc>
        <w:tc>
          <w:tcPr>
            <w:tcW w:w="482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产来源真实合法，不存在违法违规的情形，不存在被有关部</w:t>
            </w:r>
          </w:p>
        </w:tc>
        <w:tc>
          <w:tcPr>
            <w:tcW w:w="1559" w:type="dxa"/>
            <w:vMerge w:val="restart"/>
            <w:tcBorders>
              <w:top w:val="single" w:sz="15" w:space="0" w:color="000000"/>
              <w:left w:val="single" w:sz="4" w:space="0" w:color="000000"/>
              <w:right w:val="single" w:sz="4" w:space="0" w:color="000000"/>
            </w:tcBorders>
          </w:tcPr>
          <w:p>
            <w:pPr>
              <w:pStyle w:val="TableParagraph"/>
              <w:spacing w:line="347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8"/>
                <w:sz w:val="20"/>
                <w:szCs w:val="20"/>
              </w:rPr>
              <w:pict>
                <v:group style="width:77.5pt;height:173.65pt;mso-position-horizontal-relative:char;mso-position-vertical-relative:line" coordorigin="0,0" coordsize="1550,3473">
                  <v:group style="position:absolute;left:0;top:0;width:1550;height:3473" coordorigin="0,0" coordsize="1550,3473">
                    <v:shape style="position:absolute;left:0;top:0;width:1550;height:3473" coordorigin="0,0" coordsize="1550,3473" path="m0,0l1549,0,1549,3473,0,3473,0,0xe" filled="true" fillcolor="#ffffff" stroked="false">
                      <v:path arrowok="t"/>
                      <v:fill type="solid"/>
                    </v:shape>
                  </v:group>
                </v:group>
              </w:pict>
            </w:r>
            <w:r>
              <w:rPr>
                <w:rFonts w:ascii="Times New Roman" w:hAnsi="Times New Roman" w:cs="Times New Roman" w:eastAsia="Times New Roman" w:hint="default"/>
                <w:position w:val="-68"/>
                <w:sz w:val="20"/>
                <w:szCs w:val="20"/>
              </w:rPr>
            </w:r>
          </w:p>
        </w:tc>
        <w:tc>
          <w:tcPr>
            <w:tcW w:w="1276" w:type="dxa"/>
            <w:vMerge w:val="restart"/>
            <w:tcBorders>
              <w:top w:val="single" w:sz="15" w:space="0" w:color="000000"/>
              <w:left w:val="single" w:sz="4" w:space="0" w:color="000000"/>
              <w:right w:val="single" w:sz="4" w:space="0" w:color="000000"/>
            </w:tcBorders>
          </w:tcPr>
          <w:p>
            <w:pPr/>
          </w:p>
        </w:tc>
        <w:tc>
          <w:tcPr>
            <w:tcW w:w="1702" w:type="dxa"/>
            <w:vMerge w:val="restart"/>
            <w:tcBorders>
              <w:top w:val="single" w:sz="15" w:space="0" w:color="000000"/>
              <w:left w:val="single" w:sz="4" w:space="0" w:color="000000"/>
              <w:right w:val="single" w:sz="4" w:space="0" w:color="000000"/>
            </w:tcBorders>
          </w:tcPr>
          <w:p>
            <w:pPr/>
          </w:p>
        </w:tc>
      </w:tr>
      <w:tr>
        <w:trPr>
          <w:trHeight w:val="313"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东。</w:t>
            </w: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门收缴、追索等法律风险；如因前述资金和实物资产来源而</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1"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引起的一切法律责任由杨维国、尚卫国、赵利宾、华梦阳、</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郎金文</w:t>
            </w:r>
            <w:r>
              <w:rPr>
                <w:rFonts w:ascii="宋体" w:hAnsi="宋体" w:cs="宋体" w:eastAsia="宋体" w:hint="default"/>
                <w:spacing w:val="-2"/>
                <w:sz w:val="18"/>
                <w:szCs w:val="18"/>
              </w:rPr>
              <w:t>、</w:t>
            </w:r>
            <w:r>
              <w:rPr>
                <w:rFonts w:ascii="宋体" w:hAnsi="宋体" w:cs="宋体" w:eastAsia="宋体" w:hint="default"/>
                <w:sz w:val="18"/>
                <w:szCs w:val="18"/>
              </w:rPr>
              <w:t>杜建平</w:t>
            </w:r>
            <w:r>
              <w:rPr>
                <w:rFonts w:ascii="宋体" w:hAnsi="宋体" w:cs="宋体" w:eastAsia="宋体" w:hint="default"/>
                <w:spacing w:val="-2"/>
                <w:sz w:val="18"/>
                <w:szCs w:val="18"/>
              </w:rPr>
              <w:t>、</w:t>
            </w:r>
            <w:r>
              <w:rPr>
                <w:rFonts w:ascii="宋体" w:hAnsi="宋体" w:cs="宋体" w:eastAsia="宋体" w:hint="default"/>
                <w:sz w:val="18"/>
                <w:szCs w:val="18"/>
              </w:rPr>
              <w:t>傅常顺</w:t>
            </w:r>
            <w:r>
              <w:rPr>
                <w:rFonts w:ascii="宋体" w:hAnsi="宋体" w:cs="宋体" w:eastAsia="宋体" w:hint="default"/>
                <w:spacing w:val="-3"/>
                <w:sz w:val="18"/>
                <w:szCs w:val="18"/>
              </w:rPr>
              <w:t>、</w:t>
            </w:r>
            <w:r>
              <w:rPr>
                <w:rFonts w:ascii="宋体" w:hAnsi="宋体" w:cs="宋体" w:eastAsia="宋体" w:hint="default"/>
                <w:sz w:val="18"/>
                <w:szCs w:val="18"/>
              </w:rPr>
              <w:t>葛晓阁和刘恩臣等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人承担</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各增资股东对前述有限公司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月增资时其他增资股东</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的出资方式和出资金额均无任何争议，也不存在任何纠纷或</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潜在纠纷</w:t>
            </w:r>
            <w:r>
              <w:rPr>
                <w:rFonts w:ascii="宋体" w:hAnsi="宋体" w:cs="宋体" w:eastAsia="宋体" w:hint="default"/>
                <w:spacing w:val="-94"/>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3"/>
                <w:sz w:val="18"/>
                <w:szCs w:val="18"/>
              </w:rPr>
              <w:t>）</w:t>
            </w:r>
            <w:r>
              <w:rPr>
                <w:rFonts w:ascii="宋体" w:hAnsi="宋体" w:cs="宋体" w:eastAsia="宋体" w:hint="default"/>
                <w:sz w:val="18"/>
                <w:szCs w:val="18"/>
              </w:rPr>
              <w:t>若因前述</w:t>
            </w:r>
            <w:r>
              <w:rPr>
                <w:rFonts w:ascii="宋体" w:hAnsi="宋体" w:cs="宋体" w:eastAsia="宋体" w:hint="default"/>
                <w:spacing w:val="-2"/>
                <w:sz w:val="18"/>
                <w:szCs w:val="18"/>
              </w:rPr>
              <w:t>有</w:t>
            </w:r>
            <w:r>
              <w:rPr>
                <w:rFonts w:ascii="宋体" w:hAnsi="宋体" w:cs="宋体" w:eastAsia="宋体" w:hint="default"/>
                <w:sz w:val="18"/>
                <w:szCs w:val="18"/>
              </w:rPr>
              <w:t>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月增资时股</w:t>
            </w:r>
            <w:r>
              <w:rPr>
                <w:rFonts w:ascii="宋体" w:hAnsi="宋体" w:cs="宋体" w:eastAsia="宋体" w:hint="default"/>
                <w:spacing w:val="1"/>
                <w:sz w:val="18"/>
                <w:szCs w:val="18"/>
              </w:rPr>
              <w:t>东</w:t>
            </w:r>
            <w:r>
              <w:rPr>
                <w:rFonts w:ascii="宋体" w:hAnsi="宋体" w:cs="宋体" w:eastAsia="宋体" w:hint="default"/>
                <w:sz w:val="18"/>
                <w:szCs w:val="18"/>
              </w:rPr>
              <w:t>出</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资没有及时全额到位的问题，致使郑州新开普电子股份有限</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公司遭受任何处罚，杨维国、尚卫国、赵利宾、华梦阳、郎</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8"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金文、杜建平、傅常顺、葛晓阁和刘恩臣等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人将无条件全</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5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额承担因此而产生的任何费用支出、经济赔偿或其他损失。</w:t>
            </w:r>
            <w:r>
              <w:rPr>
                <w:rFonts w:ascii="Times New Roman" w:hAnsi="Times New Roman" w:cs="Times New Roman" w:eastAsia="Times New Roman" w:hint="default"/>
                <w:sz w:val="18"/>
                <w:szCs w:val="18"/>
              </w:rPr>
              <w:t>"</w:t>
            </w:r>
          </w:p>
        </w:tc>
        <w:tc>
          <w:tcPr>
            <w:tcW w:w="155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若根据有权部门的要求或决定，郑州新开普电子股份有限公</w:t>
            </w:r>
          </w:p>
        </w:tc>
        <w:tc>
          <w:tcPr>
            <w:tcW w:w="1559"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司及其控股子公司需要为员工补缴社会保险金或住房公积</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1249"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22"/>
              <w:jc w:val="both"/>
              <w:rPr>
                <w:rFonts w:ascii="宋体" w:hAnsi="宋体" w:cs="宋体" w:eastAsia="宋体" w:hint="default"/>
                <w:sz w:val="18"/>
                <w:szCs w:val="18"/>
              </w:rPr>
            </w:pPr>
            <w:r>
              <w:rPr>
                <w:rFonts w:ascii="宋体" w:hAnsi="宋体" w:cs="宋体" w:eastAsia="宋体" w:hint="default"/>
                <w:sz w:val="18"/>
                <w:szCs w:val="18"/>
              </w:rPr>
              <w:t>公司控股股东暨 实际控制人杨维 国</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7"/>
              <w:jc w:val="both"/>
              <w:rPr>
                <w:rFonts w:ascii="宋体" w:hAnsi="宋体" w:cs="宋体" w:eastAsia="宋体" w:hint="default"/>
                <w:sz w:val="18"/>
                <w:szCs w:val="18"/>
              </w:rPr>
            </w:pPr>
            <w:r>
              <w:rPr>
                <w:rFonts w:ascii="宋体" w:hAnsi="宋体" w:cs="宋体" w:eastAsia="宋体" w:hint="default"/>
                <w:sz w:val="18"/>
                <w:szCs w:val="18"/>
              </w:rPr>
              <w:t>金，或因未足额缴纳社会保险金或住房公积金需承担任何罚 款或损失，本人将足额补偿郑州新开普电子股份有限公司及 其控股子公司因此发生的支出或所受损失，且在承担后不向 郑州新开普电子股份有限公司或其控股子公司追偿，确保郑</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47"/>
              <w:jc w:val="left"/>
              <w:rPr>
                <w:rFonts w:ascii="宋体" w:hAnsi="宋体" w:cs="宋体" w:eastAsia="宋体" w:hint="default"/>
                <w:sz w:val="18"/>
                <w:szCs w:val="18"/>
              </w:rPr>
            </w:pPr>
            <w:r>
              <w:rPr>
                <w:rFonts w:ascii="宋体" w:hAnsi="宋体" w:cs="宋体" w:eastAsia="宋体" w:hint="default"/>
                <w:sz w:val="18"/>
                <w:szCs w:val="18"/>
              </w:rPr>
              <w:t>截至报告期末，上述 承诺人严格信守承 诺，未发生违反承诺 的情况。</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州新开普电子股份有限公司及其控股子公司不会因此遭受任</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何损失。</w:t>
            </w:r>
          </w:p>
        </w:tc>
        <w:tc>
          <w:tcPr>
            <w:tcW w:w="1559"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严格遵守《公司法》和深圳证券交易所关于上市公司董事、</w:t>
            </w:r>
          </w:p>
        </w:tc>
        <w:tc>
          <w:tcPr>
            <w:tcW w:w="1559"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监事与高级管理人员买卖本公司股份行为的相关规定，在任</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职期间每年转让的股份不超过本人所持有发行人股份总数的</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百分之二十五；所持发行人股份自发行人股票上市交易之日</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截至报告期末，上述</w:t>
            </w:r>
          </w:p>
        </w:tc>
      </w:tr>
      <w:tr>
        <w:trPr>
          <w:trHeight w:val="629"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傅常顺</w:t>
            </w:r>
            <w:r>
              <w:rPr>
                <w:rFonts w:ascii="宋体" w:hAnsi="宋体" w:cs="宋体" w:eastAsia="宋体" w:hint="default"/>
                <w:spacing w:val="-80"/>
                <w:sz w:val="18"/>
                <w:szCs w:val="18"/>
              </w:rPr>
              <w:t>、</w:t>
            </w:r>
            <w:r>
              <w:rPr>
                <w:rFonts w:ascii="宋体" w:hAnsi="宋体" w:cs="宋体" w:eastAsia="宋体" w:hint="default"/>
                <w:sz w:val="18"/>
                <w:szCs w:val="18"/>
              </w:rPr>
              <w:t>杜建平等</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名自然人股东</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7"/>
              <w:jc w:val="left"/>
              <w:rPr>
                <w:rFonts w:ascii="宋体" w:hAnsi="宋体" w:cs="宋体" w:eastAsia="宋体" w:hint="default"/>
                <w:sz w:val="18"/>
                <w:szCs w:val="18"/>
              </w:rPr>
            </w:pPr>
            <w:r>
              <w:rPr>
                <w:rFonts w:ascii="宋体" w:hAnsi="宋体" w:cs="宋体" w:eastAsia="宋体" w:hint="default"/>
                <w:sz w:val="18"/>
                <w:szCs w:val="18"/>
              </w:rPr>
              <w:t>起十二个月内不得转让；在公司首次公开发行股票上市之日 起六个月内申报离职的，自申报离职之日起十八个月内不转</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7"/>
              <w:jc w:val="left"/>
              <w:rPr>
                <w:rFonts w:ascii="宋体" w:hAnsi="宋体" w:cs="宋体" w:eastAsia="宋体" w:hint="default"/>
                <w:sz w:val="18"/>
                <w:szCs w:val="18"/>
              </w:rPr>
            </w:pPr>
            <w:r>
              <w:rPr>
                <w:rFonts w:ascii="宋体" w:hAnsi="宋体" w:cs="宋体" w:eastAsia="宋体" w:hint="default"/>
                <w:sz w:val="18"/>
                <w:szCs w:val="18"/>
              </w:rPr>
              <w:t>承诺人严格信守承 诺，未发生违反承诺</w:t>
            </w: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让本人直接持有的发行人股份；在公司首次公开发行股票上</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311"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市之日起第七个月至第十二个月之间申报离职的，自申报离</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职之日起十二个月内不转让本人直接持有的发行人股份；在</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离职后六个月内，不转让本人所持有的发行人股份。</w:t>
            </w:r>
          </w:p>
        </w:tc>
        <w:tc>
          <w:tcPr>
            <w:tcW w:w="1559"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40"/>
        </w:sectPr>
      </w:pPr>
    </w:p>
    <w:p>
      <w:pPr>
        <w:spacing w:line="240" w:lineRule="auto" w:before="5"/>
        <w:rPr>
          <w:rFonts w:ascii="Times New Roman" w:hAnsi="Times New Roman" w:cs="Times New Roman" w:eastAsia="Times New Roman"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985"/>
        <w:gridCol w:w="1417"/>
        <w:gridCol w:w="1134"/>
        <w:gridCol w:w="4820"/>
        <w:gridCol w:w="1559"/>
        <w:gridCol w:w="1276"/>
        <w:gridCol w:w="1702"/>
      </w:tblGrid>
      <w:tr>
        <w:trPr>
          <w:trHeight w:val="372" w:hRule="exact"/>
        </w:trPr>
        <w:tc>
          <w:tcPr>
            <w:tcW w:w="1985" w:type="dxa"/>
            <w:vMerge w:val="restart"/>
            <w:tcBorders>
              <w:top w:val="single" w:sz="15" w:space="0" w:color="000000"/>
              <w:left w:val="single" w:sz="4" w:space="0" w:color="000000"/>
              <w:right w:val="single" w:sz="4" w:space="0" w:color="000000"/>
            </w:tcBorders>
            <w:shd w:val="clear" w:color="auto" w:fill="D3D3D3"/>
          </w:tcPr>
          <w:p>
            <w:pPr/>
          </w:p>
        </w:tc>
        <w:tc>
          <w:tcPr>
            <w:tcW w:w="1417" w:type="dxa"/>
            <w:tcBorders>
              <w:top w:val="single" w:sz="15" w:space="0" w:color="000000"/>
              <w:left w:val="single" w:sz="4" w:space="0" w:color="000000"/>
              <w:bottom w:val="nil" w:sz="6" w:space="0" w:color="auto"/>
              <w:right w:val="single" w:sz="4" w:space="0" w:color="000000"/>
            </w:tcBorders>
          </w:tcPr>
          <w:p>
            <w:pPr/>
          </w:p>
        </w:tc>
        <w:tc>
          <w:tcPr>
            <w:tcW w:w="1134" w:type="dxa"/>
            <w:tcBorders>
              <w:top w:val="single" w:sz="15" w:space="0" w:color="000000"/>
              <w:left w:val="single" w:sz="4" w:space="0" w:color="000000"/>
              <w:bottom w:val="nil" w:sz="6" w:space="0" w:color="auto"/>
              <w:right w:val="single" w:sz="4" w:space="0" w:color="000000"/>
            </w:tcBorders>
          </w:tcPr>
          <w:p>
            <w:pPr/>
          </w:p>
        </w:tc>
        <w:tc>
          <w:tcPr>
            <w:tcW w:w="482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根据中国证监会《关于首发及再融资、重大资产重组摊薄即</w:t>
            </w:r>
          </w:p>
        </w:tc>
        <w:tc>
          <w:tcPr>
            <w:tcW w:w="1559" w:type="dxa"/>
            <w:tcBorders>
              <w:top w:val="single" w:sz="15" w:space="0" w:color="000000"/>
              <w:left w:val="single" w:sz="4" w:space="0" w:color="000000"/>
              <w:bottom w:val="nil" w:sz="6" w:space="0" w:color="auto"/>
              <w:right w:val="single" w:sz="4" w:space="0" w:color="000000"/>
            </w:tcBorders>
          </w:tcPr>
          <w:p>
            <w:pPr/>
          </w:p>
        </w:tc>
        <w:tc>
          <w:tcPr>
            <w:tcW w:w="1276" w:type="dxa"/>
            <w:tcBorders>
              <w:top w:val="single" w:sz="15" w:space="0" w:color="000000"/>
              <w:left w:val="single" w:sz="4" w:space="0" w:color="000000"/>
              <w:bottom w:val="nil" w:sz="6" w:space="0" w:color="auto"/>
              <w:right w:val="single" w:sz="4" w:space="0" w:color="000000"/>
            </w:tcBorders>
          </w:tcPr>
          <w:p>
            <w:pPr/>
          </w:p>
        </w:tc>
        <w:tc>
          <w:tcPr>
            <w:tcW w:w="1702" w:type="dxa"/>
            <w:tcBorders>
              <w:top w:val="single" w:sz="15" w:space="0" w:color="000000"/>
              <w:left w:val="single" w:sz="4" w:space="0" w:color="000000"/>
              <w:bottom w:val="nil" w:sz="6" w:space="0" w:color="auto"/>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期回报有关事项的指导意见</w:t>
            </w:r>
            <w:r>
              <w:rPr>
                <w:rFonts w:ascii="宋体" w:hAnsi="宋体" w:cs="宋体" w:eastAsia="宋体" w:hint="default"/>
                <w:spacing w:val="-90"/>
                <w:sz w:val="18"/>
                <w:szCs w:val="18"/>
              </w:rPr>
              <w:t>》</w:t>
            </w:r>
            <w:r>
              <w:rPr>
                <w:rFonts w:ascii="宋体" w:hAnsi="宋体" w:cs="宋体" w:eastAsia="宋体" w:hint="default"/>
                <w:sz w:val="18"/>
                <w:szCs w:val="18"/>
              </w:rPr>
              <w:t>（证监会公告</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1"/>
                <w:sz w:val="18"/>
                <w:szCs w:val="18"/>
              </w:rPr>
              <w:t>等</w:t>
            </w:r>
            <w:r>
              <w:rPr>
                <w:rFonts w:ascii="宋体" w:hAnsi="宋体" w:cs="宋体" w:eastAsia="宋体" w:hint="default"/>
                <w:sz w:val="18"/>
                <w:szCs w:val="18"/>
              </w:rPr>
              <w:t>文</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93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9" w:lineRule="auto" w:before="15"/>
              <w:ind w:left="22" w:right="122"/>
              <w:jc w:val="both"/>
              <w:rPr>
                <w:rFonts w:ascii="宋体" w:hAnsi="宋体" w:cs="宋体" w:eastAsia="宋体" w:hint="default"/>
                <w:sz w:val="18"/>
                <w:szCs w:val="18"/>
              </w:rPr>
            </w:pPr>
            <w:r>
              <w:rPr>
                <w:rFonts w:ascii="宋体" w:hAnsi="宋体" w:cs="宋体" w:eastAsia="宋体" w:hint="default"/>
                <w:sz w:val="18"/>
                <w:szCs w:val="18"/>
              </w:rPr>
              <w:t>公司控股股东暨 实际控制人杨维 国</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09" w:lineRule="auto" w:before="15"/>
              <w:ind w:left="22" w:right="22"/>
              <w:jc w:val="left"/>
              <w:rPr>
                <w:rFonts w:ascii="宋体" w:hAnsi="宋体" w:cs="宋体" w:eastAsia="宋体" w:hint="default"/>
                <w:sz w:val="18"/>
                <w:szCs w:val="18"/>
              </w:rPr>
            </w:pPr>
            <w:r>
              <w:rPr>
                <w:rFonts w:ascii="宋体" w:hAnsi="宋体" w:cs="宋体" w:eastAsia="宋体" w:hint="default"/>
                <w:sz w:val="18"/>
                <w:szCs w:val="18"/>
              </w:rPr>
              <w:t>件的有关规定，公司就</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年度非公开发行股票事宜对即期 回报摊薄的影响进行了认真分析，并提出了具体的填补回报 措施，作为相关责任主体，公司控股股东、实际控制人对公</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319" w:lineRule="auto" w:before="15"/>
              <w:ind w:left="22" w:right="47"/>
              <w:jc w:val="both"/>
              <w:rPr>
                <w:rFonts w:ascii="宋体" w:hAnsi="宋体" w:cs="宋体" w:eastAsia="宋体" w:hint="default"/>
                <w:sz w:val="18"/>
                <w:szCs w:val="18"/>
              </w:rPr>
            </w:pPr>
            <w:r>
              <w:rPr>
                <w:rFonts w:ascii="宋体" w:hAnsi="宋体" w:cs="宋体" w:eastAsia="宋体" w:hint="default"/>
                <w:sz w:val="18"/>
                <w:szCs w:val="18"/>
              </w:rPr>
              <w:t>上述承诺人严格信守 承诺，未发生违反承 诺的情况。</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司填补回报措施能够得到切实履行作出了承诺，承诺不越权</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干预公司经营管理活动，不侵占公司利益。</w:t>
            </w:r>
          </w:p>
        </w:tc>
        <w:tc>
          <w:tcPr>
            <w:tcW w:w="1559"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985"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鉴于甘勇先生、祝田</w:t>
            </w: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山先生已分别于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2016</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日辞去公司</w:t>
            </w:r>
          </w:p>
        </w:tc>
      </w:tr>
      <w:tr>
        <w:trPr>
          <w:trHeight w:val="29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独立董事职务，故甘</w:t>
            </w:r>
          </w:p>
        </w:tc>
      </w:tr>
      <w:tr>
        <w:trPr>
          <w:trHeight w:val="311"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根据中国证监会《关于首发及再融资、重大资产重组摊薄即</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勇先生及祝田山先生</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期回报有关事项的指导意见</w:t>
            </w:r>
            <w:r>
              <w:rPr>
                <w:rFonts w:ascii="宋体" w:hAnsi="宋体" w:cs="宋体" w:eastAsia="宋体" w:hint="default"/>
                <w:spacing w:val="-90"/>
                <w:sz w:val="18"/>
                <w:szCs w:val="18"/>
              </w:rPr>
              <w:t>》</w:t>
            </w:r>
            <w:r>
              <w:rPr>
                <w:rFonts w:ascii="宋体" w:hAnsi="宋体" w:cs="宋体" w:eastAsia="宋体" w:hint="default"/>
                <w:sz w:val="18"/>
                <w:szCs w:val="18"/>
              </w:rPr>
              <w:t>（证监会公告</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1"/>
                <w:sz w:val="18"/>
                <w:szCs w:val="18"/>
              </w:rPr>
              <w:t>等</w:t>
            </w:r>
            <w:r>
              <w:rPr>
                <w:rFonts w:ascii="宋体" w:hAnsi="宋体" w:cs="宋体" w:eastAsia="宋体" w:hint="default"/>
                <w:sz w:val="18"/>
                <w:szCs w:val="18"/>
              </w:rPr>
              <w:t>文</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自其离任之日起不继</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件的有关规定，公司就</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年度非公开发行股票事宜对即期</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续履行本承诺；鉴于</w:t>
            </w:r>
          </w:p>
        </w:tc>
      </w:tr>
      <w:tr>
        <w:trPr>
          <w:trHeight w:val="2189"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00" w:lineRule="auto"/>
              <w:ind w:left="22" w:right="23"/>
              <w:jc w:val="left"/>
              <w:rPr>
                <w:rFonts w:ascii="宋体" w:hAnsi="宋体" w:cs="宋体" w:eastAsia="宋体" w:hint="default"/>
                <w:sz w:val="18"/>
                <w:szCs w:val="18"/>
              </w:rPr>
            </w:pPr>
            <w:r>
              <w:rPr>
                <w:rFonts w:ascii="宋体" w:hAnsi="宋体" w:cs="宋体" w:eastAsia="宋体" w:hint="default"/>
                <w:sz w:val="18"/>
                <w:szCs w:val="18"/>
              </w:rPr>
              <w:t>杨维国</w:t>
            </w:r>
            <w:r>
              <w:rPr>
                <w:rFonts w:ascii="Times New Roman" w:hAnsi="Times New Roman" w:cs="Times New Roman" w:eastAsia="Times New Roman" w:hint="default"/>
                <w:sz w:val="18"/>
                <w:szCs w:val="18"/>
              </w:rPr>
              <w:t>;</w:t>
            </w:r>
            <w:r>
              <w:rPr>
                <w:rFonts w:ascii="宋体" w:hAnsi="宋体" w:cs="宋体" w:eastAsia="宋体" w:hint="default"/>
                <w:sz w:val="18"/>
                <w:szCs w:val="18"/>
              </w:rPr>
              <w:t>付秋生</w:t>
            </w:r>
            <w:r>
              <w:rPr>
                <w:rFonts w:ascii="Times New Roman" w:hAnsi="Times New Roman" w:cs="Times New Roman" w:eastAsia="Times New Roman" w:hint="default"/>
                <w:sz w:val="18"/>
                <w:szCs w:val="18"/>
              </w:rPr>
              <w:t>;</w:t>
            </w:r>
            <w:r>
              <w:rPr>
                <w:rFonts w:ascii="宋体" w:hAnsi="宋体" w:cs="宋体" w:eastAsia="宋体" w:hint="default"/>
                <w:sz w:val="18"/>
                <w:szCs w:val="18"/>
              </w:rPr>
              <w:t>尚 卫国</w:t>
            </w:r>
            <w:r>
              <w:rPr>
                <w:rFonts w:ascii="Times New Roman" w:hAnsi="Times New Roman" w:cs="Times New Roman" w:eastAsia="Times New Roman" w:hint="default"/>
                <w:sz w:val="18"/>
                <w:szCs w:val="18"/>
              </w:rPr>
              <w:t>;</w:t>
            </w:r>
            <w:r>
              <w:rPr>
                <w:rFonts w:ascii="宋体" w:hAnsi="宋体" w:cs="宋体" w:eastAsia="宋体" w:hint="default"/>
                <w:sz w:val="18"/>
                <w:szCs w:val="18"/>
              </w:rPr>
              <w:t>罗会军</w:t>
            </w:r>
            <w:r>
              <w:rPr>
                <w:rFonts w:ascii="Times New Roman" w:hAnsi="Times New Roman" w:cs="Times New Roman" w:eastAsia="Times New Roman" w:hint="default"/>
                <w:sz w:val="18"/>
                <w:szCs w:val="18"/>
              </w:rPr>
              <w:t>;</w:t>
            </w:r>
            <w:r>
              <w:rPr>
                <w:rFonts w:ascii="宋体" w:hAnsi="宋体" w:cs="宋体" w:eastAsia="宋体" w:hint="default"/>
                <w:sz w:val="18"/>
                <w:szCs w:val="18"/>
              </w:rPr>
              <w:t>甘 勇</w:t>
            </w:r>
            <w:r>
              <w:rPr>
                <w:rFonts w:ascii="Times New Roman" w:hAnsi="Times New Roman" w:cs="Times New Roman" w:eastAsia="Times New Roman" w:hint="default"/>
                <w:sz w:val="18"/>
                <w:szCs w:val="18"/>
              </w:rPr>
              <w:t>;</w:t>
            </w:r>
            <w:r>
              <w:rPr>
                <w:rFonts w:ascii="宋体" w:hAnsi="宋体" w:cs="宋体" w:eastAsia="宋体" w:hint="default"/>
                <w:sz w:val="18"/>
                <w:szCs w:val="18"/>
              </w:rPr>
              <w:t>王世卿</w:t>
            </w:r>
            <w:r>
              <w:rPr>
                <w:rFonts w:ascii="Times New Roman" w:hAnsi="Times New Roman" w:cs="Times New Roman" w:eastAsia="Times New Roman" w:hint="default"/>
                <w:sz w:val="18"/>
                <w:szCs w:val="18"/>
              </w:rPr>
              <w:t>;</w:t>
            </w:r>
            <w:r>
              <w:rPr>
                <w:rFonts w:ascii="宋体" w:hAnsi="宋体" w:cs="宋体" w:eastAsia="宋体" w:hint="default"/>
                <w:sz w:val="18"/>
                <w:szCs w:val="18"/>
              </w:rPr>
              <w:t>赵利 宾</w:t>
            </w:r>
            <w:r>
              <w:rPr>
                <w:rFonts w:ascii="Times New Roman" w:hAnsi="Times New Roman" w:cs="Times New Roman" w:eastAsia="Times New Roman" w:hint="default"/>
                <w:sz w:val="18"/>
                <w:szCs w:val="18"/>
              </w:rPr>
              <w:t>;</w:t>
            </w:r>
            <w:r>
              <w:rPr>
                <w:rFonts w:ascii="宋体" w:hAnsi="宋体" w:cs="宋体" w:eastAsia="宋体" w:hint="default"/>
                <w:sz w:val="18"/>
                <w:szCs w:val="18"/>
              </w:rPr>
              <w:t>祝田山</w:t>
            </w:r>
            <w:r>
              <w:rPr>
                <w:rFonts w:ascii="Times New Roman" w:hAnsi="Times New Roman" w:cs="Times New Roman" w:eastAsia="Times New Roman" w:hint="default"/>
                <w:sz w:val="18"/>
                <w:szCs w:val="18"/>
              </w:rPr>
              <w:t>;</w:t>
            </w:r>
            <w:r>
              <w:rPr>
                <w:rFonts w:ascii="宋体" w:hAnsi="宋体" w:cs="宋体" w:eastAsia="宋体" w:hint="default"/>
                <w:sz w:val="18"/>
                <w:szCs w:val="18"/>
              </w:rPr>
              <w:t>华梦 阳</w:t>
            </w:r>
            <w:r>
              <w:rPr>
                <w:rFonts w:ascii="Times New Roman" w:hAnsi="Times New Roman" w:cs="Times New Roman" w:eastAsia="Times New Roman" w:hint="default"/>
                <w:sz w:val="18"/>
                <w:szCs w:val="18"/>
              </w:rPr>
              <w:t>;</w:t>
            </w:r>
            <w:r>
              <w:rPr>
                <w:rFonts w:ascii="宋体" w:hAnsi="宋体" w:cs="宋体" w:eastAsia="宋体" w:hint="default"/>
                <w:sz w:val="18"/>
                <w:szCs w:val="18"/>
              </w:rPr>
              <w:t>李玉玲</w:t>
            </w:r>
            <w:r>
              <w:rPr>
                <w:rFonts w:ascii="Times New Roman" w:hAnsi="Times New Roman" w:cs="Times New Roman" w:eastAsia="Times New Roman" w:hint="default"/>
                <w:sz w:val="18"/>
                <w:szCs w:val="18"/>
              </w:rPr>
              <w:t>;</w:t>
            </w:r>
            <w:r>
              <w:rPr>
                <w:rFonts w:ascii="宋体" w:hAnsi="宋体" w:cs="宋体" w:eastAsia="宋体" w:hint="default"/>
                <w:sz w:val="18"/>
                <w:szCs w:val="18"/>
              </w:rPr>
              <w:t>傅常 顺</w:t>
            </w:r>
            <w:r>
              <w:rPr>
                <w:rFonts w:ascii="Times New Roman" w:hAnsi="Times New Roman" w:cs="Times New Roman" w:eastAsia="Times New Roman" w:hint="default"/>
                <w:sz w:val="18"/>
                <w:szCs w:val="18"/>
              </w:rPr>
              <w:t>;</w:t>
            </w:r>
            <w:r>
              <w:rPr>
                <w:rFonts w:ascii="宋体" w:hAnsi="宋体" w:cs="宋体" w:eastAsia="宋体" w:hint="default"/>
                <w:sz w:val="18"/>
                <w:szCs w:val="18"/>
              </w:rPr>
              <w:t>杜建平</w:t>
            </w:r>
            <w:r>
              <w:rPr>
                <w:rFonts w:ascii="Times New Roman" w:hAnsi="Times New Roman" w:cs="Times New Roman" w:eastAsia="Times New Roman" w:hint="default"/>
                <w:sz w:val="18"/>
                <w:szCs w:val="18"/>
              </w:rPr>
              <w:t>;</w:t>
            </w:r>
            <w:r>
              <w:rPr>
                <w:rFonts w:ascii="宋体" w:hAnsi="宋体" w:cs="宋体" w:eastAsia="宋体" w:hint="default"/>
                <w:sz w:val="18"/>
                <w:szCs w:val="18"/>
              </w:rPr>
              <w:t>刘永春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7"/>
              <w:jc w:val="left"/>
              <w:rPr>
                <w:rFonts w:ascii="宋体" w:hAnsi="宋体" w:cs="宋体" w:eastAsia="宋体" w:hint="default"/>
                <w:sz w:val="18"/>
                <w:szCs w:val="18"/>
              </w:rPr>
            </w:pPr>
            <w:r>
              <w:rPr>
                <w:rFonts w:ascii="宋体" w:hAnsi="宋体" w:cs="宋体" w:eastAsia="宋体" w:hint="default"/>
                <w:sz w:val="18"/>
                <w:szCs w:val="18"/>
              </w:rPr>
              <w:t>回报摊薄的影响进行了认真分析，并提出了具体的填补回报 措施，作为相关责任主体，公司全体董事、高级管理人员对 公司填补回报措施能够得到切实履行作出了承诺，具体承诺 </w:t>
            </w:r>
            <w:r>
              <w:rPr>
                <w:rFonts w:ascii="宋体" w:hAnsi="宋体" w:cs="宋体" w:eastAsia="宋体" w:hint="default"/>
                <w:spacing w:val="-4"/>
                <w:sz w:val="18"/>
                <w:szCs w:val="18"/>
              </w:rPr>
              <w:t>如下：（一）承诺不无偿或以不公平条件向其他单位或者个人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输送利益，也不采用其他方式损害公司利益。（二）承诺对董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事和高级管理人员的职务消费行为进行约束。（三）承诺不动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用公司资产从事与其履行职责无关的投资、消费活动。（四）</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罗会军先生已于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2016</w:t>
            </w:r>
          </w:p>
          <w:p>
            <w:pPr>
              <w:pStyle w:val="TableParagraph"/>
              <w:spacing w:line="314" w:lineRule="auto" w:before="63"/>
              <w:ind w:left="22" w:right="47"/>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日辞去公 司董事职务，故罗会 军先生自其离任之日 起不继续履行本承 诺；鉴于王世卿先生 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承诺由董事会或薪酬委员会制定的薪酬制度与公司填补回报</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日因换届离任公司独</w:t>
            </w:r>
          </w:p>
        </w:tc>
      </w:tr>
      <w:tr>
        <w:trPr>
          <w:trHeight w:val="313"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措施的执行情况相挂钩</w:t>
            </w:r>
            <w:r>
              <w:rPr>
                <w:rFonts w:ascii="宋体" w:hAnsi="宋体" w:cs="宋体" w:eastAsia="宋体" w:hint="default"/>
                <w:spacing w:val="-94"/>
                <w:sz w:val="18"/>
                <w:szCs w:val="18"/>
              </w:rPr>
              <w:t>。</w:t>
            </w:r>
            <w:r>
              <w:rPr>
                <w:rFonts w:ascii="宋体" w:hAnsi="宋体" w:cs="宋体" w:eastAsia="宋体" w:hint="default"/>
                <w:sz w:val="18"/>
                <w:szCs w:val="18"/>
              </w:rPr>
              <w:t>（五</w:t>
            </w:r>
            <w:r>
              <w:rPr>
                <w:rFonts w:ascii="宋体" w:hAnsi="宋体" w:cs="宋体" w:eastAsia="宋体" w:hint="default"/>
                <w:spacing w:val="-3"/>
                <w:sz w:val="18"/>
                <w:szCs w:val="18"/>
              </w:rPr>
              <w:t>）</w:t>
            </w:r>
            <w:r>
              <w:rPr>
                <w:rFonts w:ascii="宋体" w:hAnsi="宋体" w:cs="宋体" w:eastAsia="宋体" w:hint="default"/>
                <w:sz w:val="18"/>
                <w:szCs w:val="18"/>
              </w:rPr>
              <w:t>承诺拟公</w:t>
            </w:r>
            <w:r>
              <w:rPr>
                <w:rFonts w:ascii="宋体" w:hAnsi="宋体" w:cs="宋体" w:eastAsia="宋体" w:hint="default"/>
                <w:spacing w:val="-2"/>
                <w:sz w:val="18"/>
                <w:szCs w:val="18"/>
              </w:rPr>
              <w:t>布</w:t>
            </w:r>
            <w:r>
              <w:rPr>
                <w:rFonts w:ascii="宋体" w:hAnsi="宋体" w:cs="宋体" w:eastAsia="宋体" w:hint="default"/>
                <w:sz w:val="18"/>
                <w:szCs w:val="18"/>
              </w:rPr>
              <w:t>的公司股权激励的</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立董事，故王世卿先</w:t>
            </w:r>
          </w:p>
        </w:tc>
      </w:tr>
      <w:tr>
        <w:trPr>
          <w:trHeight w:val="32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行权条件与公司填补回报措施的执行情况相挂钩。</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生自其离任之日起不</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继续履行本承诺；鉴</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于刘永春先生已于</w:t>
            </w:r>
          </w:p>
        </w:tc>
      </w:tr>
      <w:tr>
        <w:trPr>
          <w:trHeight w:val="31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日辞</w:t>
            </w: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去公司副总经理职</w:t>
            </w:r>
          </w:p>
        </w:tc>
      </w:tr>
      <w:tr>
        <w:trPr>
          <w:trHeight w:val="317"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务，故刘永春先生自</w:t>
            </w:r>
          </w:p>
        </w:tc>
      </w:tr>
    </w:tbl>
    <w:p>
      <w:pPr>
        <w:spacing w:after="0" w:line="240" w:lineRule="auto"/>
        <w:jc w:val="left"/>
        <w:rPr>
          <w:rFonts w:ascii="宋体" w:hAnsi="宋体" w:cs="宋体" w:eastAsia="宋体" w:hint="default"/>
          <w:sz w:val="18"/>
          <w:szCs w:val="18"/>
        </w:rPr>
        <w:sectPr>
          <w:pgSz w:w="16840" w:h="11910" w:orient="landscape"/>
          <w:pgMar w:header="867" w:footer="978" w:top="1060" w:bottom="1260" w:left="1320" w:right="134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985"/>
        <w:gridCol w:w="1417"/>
        <w:gridCol w:w="1134"/>
        <w:gridCol w:w="4820"/>
        <w:gridCol w:w="1559"/>
        <w:gridCol w:w="1276"/>
        <w:gridCol w:w="1702"/>
      </w:tblGrid>
      <w:tr>
        <w:trPr>
          <w:trHeight w:val="331" w:hRule="exact"/>
        </w:trPr>
        <w:tc>
          <w:tcPr>
            <w:tcW w:w="1985"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4820" w:type="dxa"/>
            <w:vMerge w:val="restart"/>
            <w:tcBorders>
              <w:top w:val="single" w:sz="15" w:space="0" w:color="000000"/>
              <w:left w:val="single" w:sz="4" w:space="0" w:color="000000"/>
              <w:right w:val="single" w:sz="4" w:space="0" w:color="000000"/>
            </w:tcBorders>
          </w:tcPr>
          <w:p>
            <w:pPr/>
          </w:p>
        </w:tc>
        <w:tc>
          <w:tcPr>
            <w:tcW w:w="1559" w:type="dxa"/>
            <w:vMerge w:val="restart"/>
            <w:tcBorders>
              <w:top w:val="single" w:sz="15" w:space="0" w:color="000000"/>
              <w:left w:val="single" w:sz="4" w:space="0" w:color="000000"/>
              <w:right w:val="single" w:sz="4" w:space="0" w:color="000000"/>
            </w:tcBorders>
          </w:tcPr>
          <w:p>
            <w:pPr/>
          </w:p>
        </w:tc>
        <w:tc>
          <w:tcPr>
            <w:tcW w:w="1276" w:type="dxa"/>
            <w:vMerge w:val="restart"/>
            <w:tcBorders>
              <w:top w:val="single" w:sz="15" w:space="0" w:color="000000"/>
              <w:left w:val="single" w:sz="4" w:space="0" w:color="000000"/>
              <w:right w:val="single" w:sz="4" w:space="0" w:color="000000"/>
            </w:tcBorders>
          </w:tcPr>
          <w:p>
            <w:pPr/>
          </w:p>
        </w:tc>
        <w:tc>
          <w:tcPr>
            <w:tcW w:w="1702"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其离任之日起不继续</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履行本承诺；报告期</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内，其余承诺人严格</w:t>
            </w:r>
          </w:p>
        </w:tc>
      </w:tr>
      <w:tr>
        <w:trPr>
          <w:trHeight w:val="313"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信守承诺，未发生违</w:t>
            </w:r>
          </w:p>
        </w:tc>
      </w:tr>
      <w:tr>
        <w:trPr>
          <w:trHeight w:val="35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820"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反承诺的情况。</w:t>
            </w:r>
          </w:p>
        </w:tc>
      </w:tr>
      <w:tr>
        <w:trPr>
          <w:trHeight w:val="357" w:hRule="exact"/>
        </w:trPr>
        <w:tc>
          <w:tcPr>
            <w:tcW w:w="1985"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根据中国证监会《关于首发及再融资、重大资产重组摊薄即</w:t>
            </w:r>
          </w:p>
        </w:tc>
        <w:tc>
          <w:tcPr>
            <w:tcW w:w="1559"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期回报有关事项的指导意见</w:t>
            </w:r>
            <w:r>
              <w:rPr>
                <w:rFonts w:ascii="宋体" w:hAnsi="宋体" w:cs="宋体" w:eastAsia="宋体" w:hint="default"/>
                <w:spacing w:val="-90"/>
                <w:sz w:val="18"/>
                <w:szCs w:val="18"/>
              </w:rPr>
              <w:t>》</w:t>
            </w:r>
            <w:r>
              <w:rPr>
                <w:rFonts w:ascii="宋体" w:hAnsi="宋体" w:cs="宋体" w:eastAsia="宋体" w:hint="default"/>
                <w:sz w:val="18"/>
                <w:szCs w:val="18"/>
              </w:rPr>
              <w:t>（证监会公告</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1"/>
                <w:sz w:val="18"/>
                <w:szCs w:val="18"/>
              </w:rPr>
              <w:t>等</w:t>
            </w:r>
            <w:r>
              <w:rPr>
                <w:rFonts w:ascii="宋体" w:hAnsi="宋体" w:cs="宋体" w:eastAsia="宋体" w:hint="default"/>
                <w:sz w:val="18"/>
                <w:szCs w:val="18"/>
              </w:rPr>
              <w:t>文</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件的有关规定，公司就</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年度非公开发行股票事宜对即期</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鉴于王玉辉女士已于</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回报摊薄的影响进行了认真分析，并提出了具体的填补回报</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日辞</w:t>
            </w: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措施，作为相关责任主体，公司全体董事、高级管理人员对</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去公司副总经理职</w:t>
            </w:r>
          </w:p>
        </w:tc>
      </w:tr>
      <w:tr>
        <w:trPr>
          <w:trHeight w:val="936"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王玉辉</w:t>
            </w:r>
            <w:r>
              <w:rPr>
                <w:rFonts w:ascii="Times New Roman" w:hAnsi="Times New Roman" w:cs="Times New Roman" w:eastAsia="Times New Roman" w:hint="default"/>
                <w:sz w:val="18"/>
                <w:szCs w:val="18"/>
              </w:rPr>
              <w:t>;</w:t>
            </w:r>
            <w:r>
              <w:rPr>
                <w:rFonts w:ascii="宋体" w:hAnsi="宋体" w:cs="宋体" w:eastAsia="宋体" w:hint="default"/>
                <w:sz w:val="18"/>
                <w:szCs w:val="18"/>
              </w:rPr>
              <w:t>张英瑶</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公司填补回报措施能够得到切实履行作出了承诺，具体承诺 </w:t>
            </w:r>
            <w:r>
              <w:rPr>
                <w:rFonts w:ascii="宋体" w:hAnsi="宋体" w:cs="宋体" w:eastAsia="宋体" w:hint="default"/>
                <w:spacing w:val="-4"/>
                <w:sz w:val="18"/>
                <w:szCs w:val="18"/>
              </w:rPr>
              <w:t>如下：（一）承诺不无偿或以不公平条件向其他单位或者个人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输送利益，也不采用其他方式损害公司利益。（二）承诺对董</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7"/>
              <w:jc w:val="both"/>
              <w:rPr>
                <w:rFonts w:ascii="宋体" w:hAnsi="宋体" w:cs="宋体" w:eastAsia="宋体" w:hint="default"/>
                <w:sz w:val="18"/>
                <w:szCs w:val="18"/>
              </w:rPr>
            </w:pPr>
            <w:r>
              <w:rPr>
                <w:rFonts w:ascii="宋体" w:hAnsi="宋体" w:cs="宋体" w:eastAsia="宋体" w:hint="default"/>
                <w:sz w:val="18"/>
                <w:szCs w:val="18"/>
              </w:rPr>
              <w:t>务，故王玉辉女士自 其离任之日起不继续 履行本承诺；报告期</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事和高级管理人员的职务消费行为进行约束</w:t>
            </w:r>
            <w:r>
              <w:rPr>
                <w:rFonts w:ascii="宋体" w:hAnsi="宋体" w:cs="宋体" w:eastAsia="宋体" w:hint="default"/>
                <w:spacing w:val="-94"/>
                <w:sz w:val="18"/>
                <w:szCs w:val="18"/>
              </w:rPr>
              <w:t>。</w:t>
            </w:r>
            <w:r>
              <w:rPr>
                <w:rFonts w:ascii="宋体" w:hAnsi="宋体" w:cs="宋体" w:eastAsia="宋体" w:hint="default"/>
                <w:sz w:val="18"/>
                <w:szCs w:val="18"/>
              </w:rPr>
              <w:t>（三</w:t>
            </w:r>
            <w:r>
              <w:rPr>
                <w:rFonts w:ascii="宋体" w:hAnsi="宋体" w:cs="宋体" w:eastAsia="宋体" w:hint="default"/>
                <w:spacing w:val="-3"/>
                <w:sz w:val="18"/>
                <w:szCs w:val="18"/>
              </w:rPr>
              <w:t>）</w:t>
            </w:r>
            <w:r>
              <w:rPr>
                <w:rFonts w:ascii="宋体" w:hAnsi="宋体" w:cs="宋体" w:eastAsia="宋体" w:hint="default"/>
                <w:sz w:val="18"/>
                <w:szCs w:val="18"/>
              </w:rPr>
              <w:t>承诺不动</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内，其余承诺人严格</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用公司资产从事与其履行职责无关的投资、消费活动</w:t>
            </w:r>
            <w:r>
              <w:rPr>
                <w:rFonts w:ascii="宋体" w:hAnsi="宋体" w:cs="宋体" w:eastAsia="宋体" w:hint="default"/>
                <w:spacing w:val="-90"/>
                <w:sz w:val="18"/>
                <w:szCs w:val="18"/>
              </w:rPr>
              <w:t>。</w:t>
            </w:r>
            <w:r>
              <w:rPr>
                <w:rFonts w:ascii="宋体" w:hAnsi="宋体" w:cs="宋体" w:eastAsia="宋体" w:hint="default"/>
                <w:sz w:val="18"/>
                <w:szCs w:val="18"/>
              </w:rPr>
              <w:t>（四）</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信守承诺，未发生违</w:t>
            </w:r>
          </w:p>
        </w:tc>
      </w:tr>
      <w:tr>
        <w:trPr>
          <w:trHeight w:val="313"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承诺由董事会或薪酬委员会制定的薪酬制度与公司填补回报</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反承诺的情况。</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措施的执行情况相挂钩</w:t>
            </w:r>
            <w:r>
              <w:rPr>
                <w:rFonts w:ascii="宋体" w:hAnsi="宋体" w:cs="宋体" w:eastAsia="宋体" w:hint="default"/>
                <w:spacing w:val="-94"/>
                <w:sz w:val="18"/>
                <w:szCs w:val="18"/>
              </w:rPr>
              <w:t>。</w:t>
            </w:r>
            <w:r>
              <w:rPr>
                <w:rFonts w:ascii="宋体" w:hAnsi="宋体" w:cs="宋体" w:eastAsia="宋体" w:hint="default"/>
                <w:sz w:val="18"/>
                <w:szCs w:val="18"/>
              </w:rPr>
              <w:t>（五</w:t>
            </w:r>
            <w:r>
              <w:rPr>
                <w:rFonts w:ascii="宋体" w:hAnsi="宋体" w:cs="宋体" w:eastAsia="宋体" w:hint="default"/>
                <w:spacing w:val="-3"/>
                <w:sz w:val="18"/>
                <w:szCs w:val="18"/>
              </w:rPr>
              <w:t>）</w:t>
            </w:r>
            <w:r>
              <w:rPr>
                <w:rFonts w:ascii="宋体" w:hAnsi="宋体" w:cs="宋体" w:eastAsia="宋体" w:hint="default"/>
                <w:sz w:val="18"/>
                <w:szCs w:val="18"/>
              </w:rPr>
              <w:t>承诺拟公</w:t>
            </w:r>
            <w:r>
              <w:rPr>
                <w:rFonts w:ascii="宋体" w:hAnsi="宋体" w:cs="宋体" w:eastAsia="宋体" w:hint="default"/>
                <w:spacing w:val="-2"/>
                <w:sz w:val="18"/>
                <w:szCs w:val="18"/>
              </w:rPr>
              <w:t>布</w:t>
            </w:r>
            <w:r>
              <w:rPr>
                <w:rFonts w:ascii="宋体" w:hAnsi="宋体" w:cs="宋体" w:eastAsia="宋体" w:hint="default"/>
                <w:sz w:val="18"/>
                <w:szCs w:val="18"/>
              </w:rPr>
              <w:t>的公司股权激励的</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行权条件与公司填补回报措施的执行情况相挂钩。</w:t>
            </w:r>
          </w:p>
        </w:tc>
        <w:tc>
          <w:tcPr>
            <w:tcW w:w="1559"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根据中国证监会《关于首发及再融资、重大资产重组摊薄即</w:t>
            </w:r>
          </w:p>
        </w:tc>
        <w:tc>
          <w:tcPr>
            <w:tcW w:w="1559"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期回报有关事项的指导意见</w:t>
            </w:r>
            <w:r>
              <w:rPr>
                <w:rFonts w:ascii="宋体" w:hAnsi="宋体" w:cs="宋体" w:eastAsia="宋体" w:hint="default"/>
                <w:spacing w:val="-90"/>
                <w:sz w:val="18"/>
                <w:szCs w:val="18"/>
              </w:rPr>
              <w:t>》</w:t>
            </w:r>
            <w:r>
              <w:rPr>
                <w:rFonts w:ascii="宋体" w:hAnsi="宋体" w:cs="宋体" w:eastAsia="宋体" w:hint="default"/>
                <w:sz w:val="18"/>
                <w:szCs w:val="18"/>
              </w:rPr>
              <w:t>（证监会公告</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1"/>
                <w:sz w:val="18"/>
                <w:szCs w:val="18"/>
              </w:rPr>
              <w:t>等</w:t>
            </w:r>
            <w:r>
              <w:rPr>
                <w:rFonts w:ascii="宋体" w:hAnsi="宋体" w:cs="宋体" w:eastAsia="宋体" w:hint="default"/>
                <w:sz w:val="18"/>
                <w:szCs w:val="18"/>
              </w:rPr>
              <w:t>文</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件的有关规定，公司就</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年度非公开发行股票事宜对即期</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回报摊薄的影响进行了认真分析，并提出了具体的填补回报</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毕会静</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措施，作为相关责任主体，公司全体董事、高级管理人员对 公司填补回报措施能够得到切实履行作出了承诺，具体承诺 </w:t>
            </w:r>
            <w:r>
              <w:rPr>
                <w:rFonts w:ascii="宋体" w:hAnsi="宋体" w:cs="宋体" w:eastAsia="宋体" w:hint="default"/>
                <w:spacing w:val="-4"/>
                <w:sz w:val="18"/>
                <w:szCs w:val="18"/>
              </w:rPr>
              <w:t>如下：（一）承诺不无偿或以不公平条件向其他单位或者个人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输送利益，也不采用其他方式损害公司利益。（二）承诺对董</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47"/>
              <w:jc w:val="both"/>
              <w:rPr>
                <w:rFonts w:ascii="宋体" w:hAnsi="宋体" w:cs="宋体" w:eastAsia="宋体" w:hint="default"/>
                <w:sz w:val="18"/>
                <w:szCs w:val="18"/>
              </w:rPr>
            </w:pPr>
            <w:r>
              <w:rPr>
                <w:rFonts w:ascii="宋体" w:hAnsi="宋体" w:cs="宋体" w:eastAsia="宋体" w:hint="default"/>
                <w:sz w:val="18"/>
                <w:szCs w:val="18"/>
              </w:rPr>
              <w:t>上述承诺人严格信守 承诺，未发生违反承 诺的情况。</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事和高级管理人员的职务消费行为进行约束</w:t>
            </w:r>
            <w:r>
              <w:rPr>
                <w:rFonts w:ascii="宋体" w:hAnsi="宋体" w:cs="宋体" w:eastAsia="宋体" w:hint="default"/>
                <w:spacing w:val="-94"/>
                <w:sz w:val="18"/>
                <w:szCs w:val="18"/>
              </w:rPr>
              <w:t>。</w:t>
            </w:r>
            <w:r>
              <w:rPr>
                <w:rFonts w:ascii="宋体" w:hAnsi="宋体" w:cs="宋体" w:eastAsia="宋体" w:hint="default"/>
                <w:sz w:val="18"/>
                <w:szCs w:val="18"/>
              </w:rPr>
              <w:t>（三</w:t>
            </w:r>
            <w:r>
              <w:rPr>
                <w:rFonts w:ascii="宋体" w:hAnsi="宋体" w:cs="宋体" w:eastAsia="宋体" w:hint="default"/>
                <w:spacing w:val="-3"/>
                <w:sz w:val="18"/>
                <w:szCs w:val="18"/>
              </w:rPr>
              <w:t>）</w:t>
            </w:r>
            <w:r>
              <w:rPr>
                <w:rFonts w:ascii="宋体" w:hAnsi="宋体" w:cs="宋体" w:eastAsia="宋体" w:hint="default"/>
                <w:sz w:val="18"/>
                <w:szCs w:val="18"/>
              </w:rPr>
              <w:t>承诺不动</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用公司资产从事与其履行职责无关的投资、消费活动</w:t>
            </w:r>
            <w:r>
              <w:rPr>
                <w:rFonts w:ascii="宋体" w:hAnsi="宋体" w:cs="宋体" w:eastAsia="宋体" w:hint="default"/>
                <w:spacing w:val="-90"/>
                <w:sz w:val="18"/>
                <w:szCs w:val="18"/>
              </w:rPr>
              <w:t>。</w:t>
            </w:r>
            <w:r>
              <w:rPr>
                <w:rFonts w:ascii="宋体" w:hAnsi="宋体" w:cs="宋体" w:eastAsia="宋体" w:hint="default"/>
                <w:sz w:val="18"/>
                <w:szCs w:val="18"/>
              </w:rPr>
              <w:t>（四）</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承诺由董事会或薪酬委员会制定的薪酬制度与公司填补回报</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措施的执行情况相挂钩</w:t>
            </w:r>
            <w:r>
              <w:rPr>
                <w:rFonts w:ascii="宋体" w:hAnsi="宋体" w:cs="宋体" w:eastAsia="宋体" w:hint="default"/>
                <w:spacing w:val="-94"/>
                <w:sz w:val="18"/>
                <w:szCs w:val="18"/>
              </w:rPr>
              <w:t>。</w:t>
            </w:r>
            <w:r>
              <w:rPr>
                <w:rFonts w:ascii="宋体" w:hAnsi="宋体" w:cs="宋体" w:eastAsia="宋体" w:hint="default"/>
                <w:sz w:val="18"/>
                <w:szCs w:val="18"/>
              </w:rPr>
              <w:t>（五</w:t>
            </w:r>
            <w:r>
              <w:rPr>
                <w:rFonts w:ascii="宋体" w:hAnsi="宋体" w:cs="宋体" w:eastAsia="宋体" w:hint="default"/>
                <w:spacing w:val="-3"/>
                <w:sz w:val="18"/>
                <w:szCs w:val="18"/>
              </w:rPr>
              <w:t>）</w:t>
            </w:r>
            <w:r>
              <w:rPr>
                <w:rFonts w:ascii="宋体" w:hAnsi="宋体" w:cs="宋体" w:eastAsia="宋体" w:hint="default"/>
                <w:sz w:val="18"/>
                <w:szCs w:val="18"/>
              </w:rPr>
              <w:t>承诺拟公</w:t>
            </w:r>
            <w:r>
              <w:rPr>
                <w:rFonts w:ascii="宋体" w:hAnsi="宋体" w:cs="宋体" w:eastAsia="宋体" w:hint="default"/>
                <w:spacing w:val="-2"/>
                <w:sz w:val="18"/>
                <w:szCs w:val="18"/>
              </w:rPr>
              <w:t>布</w:t>
            </w:r>
            <w:r>
              <w:rPr>
                <w:rFonts w:ascii="宋体" w:hAnsi="宋体" w:cs="宋体" w:eastAsia="宋体" w:hint="default"/>
                <w:sz w:val="18"/>
                <w:szCs w:val="18"/>
              </w:rPr>
              <w:t>的公司股权激励的</w:t>
            </w:r>
          </w:p>
        </w:tc>
        <w:tc>
          <w:tcPr>
            <w:tcW w:w="1559"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r>
    </w:tbl>
    <w:p>
      <w:pPr>
        <w:spacing w:after="0"/>
        <w:sectPr>
          <w:footerReference w:type="default" r:id="rId25"/>
          <w:pgSz w:w="16840" w:h="11910" w:orient="landscape"/>
          <w:pgMar w:footer="978" w:header="867" w:top="1060" w:bottom="1200" w:left="1320" w:right="134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985"/>
        <w:gridCol w:w="1417"/>
        <w:gridCol w:w="1134"/>
        <w:gridCol w:w="4820"/>
        <w:gridCol w:w="1559"/>
        <w:gridCol w:w="1276"/>
        <w:gridCol w:w="1702"/>
      </w:tblGrid>
      <w:tr>
        <w:trPr>
          <w:trHeight w:val="377" w:hRule="exact"/>
        </w:trPr>
        <w:tc>
          <w:tcPr>
            <w:tcW w:w="1985" w:type="dxa"/>
            <w:vMerge w:val="restart"/>
            <w:tcBorders>
              <w:top w:val="single" w:sz="15" w:space="0" w:color="000000"/>
              <w:left w:val="single" w:sz="4" w:space="0" w:color="000000"/>
              <w:right w:val="single" w:sz="4" w:space="0" w:color="000000"/>
            </w:tcBorders>
            <w:shd w:val="clear" w:color="auto" w:fill="D3D3D3"/>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48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行权条件与公司填补回报措施的执行情况相挂钩。</w:t>
            </w:r>
          </w:p>
        </w:tc>
        <w:tc>
          <w:tcPr>
            <w:tcW w:w="1559"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702" w:type="dxa"/>
            <w:tcBorders>
              <w:top w:val="single" w:sz="15" w:space="0" w:color="000000"/>
              <w:left w:val="single" w:sz="4" w:space="0" w:color="000000"/>
              <w:bottom w:val="single" w:sz="4" w:space="0" w:color="000000"/>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根据中国证监会《关于首发及再融资、重大资产重组摊薄即</w:t>
            </w:r>
          </w:p>
        </w:tc>
        <w:tc>
          <w:tcPr>
            <w:tcW w:w="1559"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期回报有关事项的指导意见</w:t>
            </w:r>
            <w:r>
              <w:rPr>
                <w:rFonts w:ascii="宋体" w:hAnsi="宋体" w:cs="宋体" w:eastAsia="宋体" w:hint="default"/>
                <w:spacing w:val="-90"/>
                <w:sz w:val="18"/>
                <w:szCs w:val="18"/>
              </w:rPr>
              <w:t>》</w:t>
            </w:r>
            <w:r>
              <w:rPr>
                <w:rFonts w:ascii="宋体" w:hAnsi="宋体" w:cs="宋体" w:eastAsia="宋体" w:hint="default"/>
                <w:sz w:val="18"/>
                <w:szCs w:val="18"/>
              </w:rPr>
              <w:t>（证监会公告</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1"/>
                <w:sz w:val="18"/>
                <w:szCs w:val="18"/>
              </w:rPr>
              <w:t>等</w:t>
            </w:r>
            <w:r>
              <w:rPr>
                <w:rFonts w:ascii="宋体" w:hAnsi="宋体" w:cs="宋体" w:eastAsia="宋体" w:hint="default"/>
                <w:sz w:val="18"/>
                <w:szCs w:val="18"/>
              </w:rPr>
              <w:t>文</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件的有关规定，公司就</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年度非公开发行股票事宜对即期</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鉴于司志刚先生已于</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回报摊薄的影响进行了认真分析，并提出了具体的填补回报</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日辞去</w:t>
            </w: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措施，作为相关责任主体，公司全体董事、高级管理人员对</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公司副总经理职务，</w:t>
            </w:r>
          </w:p>
        </w:tc>
      </w:tr>
      <w:tr>
        <w:trPr>
          <w:trHeight w:val="936"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司志刚、刘汴生</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公司填补回报措施能够得到切实履行作出了承诺，具体承诺 </w:t>
            </w:r>
            <w:r>
              <w:rPr>
                <w:rFonts w:ascii="宋体" w:hAnsi="宋体" w:cs="宋体" w:eastAsia="宋体" w:hint="default"/>
                <w:spacing w:val="-4"/>
                <w:sz w:val="18"/>
                <w:szCs w:val="18"/>
              </w:rPr>
              <w:t>如下：（一）承诺不无偿或以不公平条件向其他单位或者个人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输送利益，也不采用其他方式损害公司利益。（二）承诺对董</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7"/>
              <w:jc w:val="both"/>
              <w:rPr>
                <w:rFonts w:ascii="宋体" w:hAnsi="宋体" w:cs="宋体" w:eastAsia="宋体" w:hint="default"/>
                <w:sz w:val="18"/>
                <w:szCs w:val="18"/>
              </w:rPr>
            </w:pPr>
            <w:r>
              <w:rPr>
                <w:rFonts w:ascii="宋体" w:hAnsi="宋体" w:cs="宋体" w:eastAsia="宋体" w:hint="default"/>
                <w:sz w:val="18"/>
                <w:szCs w:val="18"/>
              </w:rPr>
              <w:t>故司志刚先生自其离 任之日起不继续履行 本承诺；报告期内，</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事和高级管理人员的职务消费行为进行约束</w:t>
            </w:r>
            <w:r>
              <w:rPr>
                <w:rFonts w:ascii="宋体" w:hAnsi="宋体" w:cs="宋体" w:eastAsia="宋体" w:hint="default"/>
                <w:spacing w:val="-94"/>
                <w:sz w:val="18"/>
                <w:szCs w:val="18"/>
              </w:rPr>
              <w:t>。</w:t>
            </w:r>
            <w:r>
              <w:rPr>
                <w:rFonts w:ascii="宋体" w:hAnsi="宋体" w:cs="宋体" w:eastAsia="宋体" w:hint="default"/>
                <w:sz w:val="18"/>
                <w:szCs w:val="18"/>
              </w:rPr>
              <w:t>（三</w:t>
            </w:r>
            <w:r>
              <w:rPr>
                <w:rFonts w:ascii="宋体" w:hAnsi="宋体" w:cs="宋体" w:eastAsia="宋体" w:hint="default"/>
                <w:spacing w:val="-3"/>
                <w:sz w:val="18"/>
                <w:szCs w:val="18"/>
              </w:rPr>
              <w:t>）</w:t>
            </w:r>
            <w:r>
              <w:rPr>
                <w:rFonts w:ascii="宋体" w:hAnsi="宋体" w:cs="宋体" w:eastAsia="宋体" w:hint="default"/>
                <w:sz w:val="18"/>
                <w:szCs w:val="18"/>
              </w:rPr>
              <w:t>承诺不动</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其余承诺人严格信守</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用公司资产从事与其履行职责无关的投资、消费活动</w:t>
            </w:r>
            <w:r>
              <w:rPr>
                <w:rFonts w:ascii="宋体" w:hAnsi="宋体" w:cs="宋体" w:eastAsia="宋体" w:hint="default"/>
                <w:spacing w:val="-90"/>
                <w:sz w:val="18"/>
                <w:szCs w:val="18"/>
              </w:rPr>
              <w:t>。</w:t>
            </w:r>
            <w:r>
              <w:rPr>
                <w:rFonts w:ascii="宋体" w:hAnsi="宋体" w:cs="宋体" w:eastAsia="宋体" w:hint="default"/>
                <w:sz w:val="18"/>
                <w:szCs w:val="18"/>
              </w:rPr>
              <w:t>（四）</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承诺，未发生违反承</w:t>
            </w:r>
          </w:p>
        </w:tc>
      </w:tr>
      <w:tr>
        <w:trPr>
          <w:trHeight w:val="313"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承诺由董事会或薪酬委员会制定的薪酬制度与公司填补回报</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诺的情况。</w:t>
            </w: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措施的执行情况相挂钩</w:t>
            </w:r>
            <w:r>
              <w:rPr>
                <w:rFonts w:ascii="宋体" w:hAnsi="宋体" w:cs="宋体" w:eastAsia="宋体" w:hint="default"/>
                <w:spacing w:val="-94"/>
                <w:sz w:val="18"/>
                <w:szCs w:val="18"/>
              </w:rPr>
              <w:t>。</w:t>
            </w:r>
            <w:r>
              <w:rPr>
                <w:rFonts w:ascii="宋体" w:hAnsi="宋体" w:cs="宋体" w:eastAsia="宋体" w:hint="default"/>
                <w:sz w:val="18"/>
                <w:szCs w:val="18"/>
              </w:rPr>
              <w:t>（五</w:t>
            </w:r>
            <w:r>
              <w:rPr>
                <w:rFonts w:ascii="宋体" w:hAnsi="宋体" w:cs="宋体" w:eastAsia="宋体" w:hint="default"/>
                <w:spacing w:val="-3"/>
                <w:sz w:val="18"/>
                <w:szCs w:val="18"/>
              </w:rPr>
              <w:t>）</w:t>
            </w:r>
            <w:r>
              <w:rPr>
                <w:rFonts w:ascii="宋体" w:hAnsi="宋体" w:cs="宋体" w:eastAsia="宋体" w:hint="default"/>
                <w:sz w:val="18"/>
                <w:szCs w:val="18"/>
              </w:rPr>
              <w:t>承诺拟公</w:t>
            </w:r>
            <w:r>
              <w:rPr>
                <w:rFonts w:ascii="宋体" w:hAnsi="宋体" w:cs="宋体" w:eastAsia="宋体" w:hint="default"/>
                <w:spacing w:val="-2"/>
                <w:sz w:val="18"/>
                <w:szCs w:val="18"/>
              </w:rPr>
              <w:t>布</w:t>
            </w:r>
            <w:r>
              <w:rPr>
                <w:rFonts w:ascii="宋体" w:hAnsi="宋体" w:cs="宋体" w:eastAsia="宋体" w:hint="default"/>
                <w:sz w:val="18"/>
                <w:szCs w:val="18"/>
              </w:rPr>
              <w:t>的公司股权激励的</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行权条件与公司填补回报措施的执行情况相挂钩。</w:t>
            </w:r>
          </w:p>
        </w:tc>
        <w:tc>
          <w:tcPr>
            <w:tcW w:w="1559"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根据中国证监会《关于首发及再融资、重大资产重组摊薄即</w:t>
            </w:r>
          </w:p>
        </w:tc>
        <w:tc>
          <w:tcPr>
            <w:tcW w:w="1559"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期回报有关事项的指导意见</w:t>
            </w:r>
            <w:r>
              <w:rPr>
                <w:rFonts w:ascii="宋体" w:hAnsi="宋体" w:cs="宋体" w:eastAsia="宋体" w:hint="default"/>
                <w:spacing w:val="-90"/>
                <w:sz w:val="18"/>
                <w:szCs w:val="18"/>
              </w:rPr>
              <w:t>》</w:t>
            </w:r>
            <w:r>
              <w:rPr>
                <w:rFonts w:ascii="宋体" w:hAnsi="宋体" w:cs="宋体" w:eastAsia="宋体" w:hint="default"/>
                <w:sz w:val="18"/>
                <w:szCs w:val="18"/>
              </w:rPr>
              <w:t>（证监会公告</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1"/>
                <w:sz w:val="18"/>
                <w:szCs w:val="18"/>
              </w:rPr>
              <w:t>等</w:t>
            </w:r>
            <w:r>
              <w:rPr>
                <w:rFonts w:ascii="宋体" w:hAnsi="宋体" w:cs="宋体" w:eastAsia="宋体" w:hint="default"/>
                <w:sz w:val="18"/>
                <w:szCs w:val="18"/>
              </w:rPr>
              <w:t>文</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件的有关规定，公司就</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年度非公开发行股票事宜对即期</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回报摊薄的影响进行了认真分析，并提出了具体的填补回报</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措施，作为相关责任主体，公司全体董事、高级管理人员对</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赵鑫、赵璇</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公司填补回报措施能够得到切实履行作出了承诺，具体承诺 </w:t>
            </w:r>
            <w:r>
              <w:rPr>
                <w:rFonts w:ascii="宋体" w:hAnsi="宋体" w:cs="宋体" w:eastAsia="宋体" w:hint="default"/>
                <w:spacing w:val="-4"/>
                <w:sz w:val="18"/>
                <w:szCs w:val="18"/>
              </w:rPr>
              <w:t>如下：（一）承诺不无偿或以不公平条件向其他单位或者个人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输送利益，也不采用其他方式损害公司利益。（二）承诺对董</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47"/>
              <w:jc w:val="both"/>
              <w:rPr>
                <w:rFonts w:ascii="宋体" w:hAnsi="宋体" w:cs="宋体" w:eastAsia="宋体" w:hint="default"/>
                <w:sz w:val="18"/>
                <w:szCs w:val="18"/>
              </w:rPr>
            </w:pPr>
            <w:r>
              <w:rPr>
                <w:rFonts w:ascii="宋体" w:hAnsi="宋体" w:cs="宋体" w:eastAsia="宋体" w:hint="default"/>
                <w:sz w:val="18"/>
                <w:szCs w:val="18"/>
              </w:rPr>
              <w:t>上述承诺人严格信守 承诺，未发生违反承 诺的情况。</w:t>
            </w:r>
          </w:p>
        </w:tc>
      </w:tr>
      <w:tr>
        <w:trPr>
          <w:trHeight w:val="311"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事和高级管理人员的职务消费行为进行约束</w:t>
            </w:r>
            <w:r>
              <w:rPr>
                <w:rFonts w:ascii="宋体" w:hAnsi="宋体" w:cs="宋体" w:eastAsia="宋体" w:hint="default"/>
                <w:spacing w:val="-94"/>
                <w:sz w:val="18"/>
                <w:szCs w:val="18"/>
              </w:rPr>
              <w:t>。</w:t>
            </w:r>
            <w:r>
              <w:rPr>
                <w:rFonts w:ascii="宋体" w:hAnsi="宋体" w:cs="宋体" w:eastAsia="宋体" w:hint="default"/>
                <w:sz w:val="18"/>
                <w:szCs w:val="18"/>
              </w:rPr>
              <w:t>（三</w:t>
            </w:r>
            <w:r>
              <w:rPr>
                <w:rFonts w:ascii="宋体" w:hAnsi="宋体" w:cs="宋体" w:eastAsia="宋体" w:hint="default"/>
                <w:spacing w:val="-3"/>
                <w:sz w:val="18"/>
                <w:szCs w:val="18"/>
              </w:rPr>
              <w:t>）</w:t>
            </w:r>
            <w:r>
              <w:rPr>
                <w:rFonts w:ascii="宋体" w:hAnsi="宋体" w:cs="宋体" w:eastAsia="宋体" w:hint="default"/>
                <w:sz w:val="18"/>
                <w:szCs w:val="18"/>
              </w:rPr>
              <w:t>承诺不动</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用公司资产从事与其履行职责无关的投资、消费活动</w:t>
            </w:r>
            <w:r>
              <w:rPr>
                <w:rFonts w:ascii="宋体" w:hAnsi="宋体" w:cs="宋体" w:eastAsia="宋体" w:hint="default"/>
                <w:spacing w:val="-90"/>
                <w:sz w:val="18"/>
                <w:szCs w:val="18"/>
              </w:rPr>
              <w:t>。</w:t>
            </w:r>
            <w:r>
              <w:rPr>
                <w:rFonts w:ascii="宋体" w:hAnsi="宋体" w:cs="宋体" w:eastAsia="宋体" w:hint="default"/>
                <w:sz w:val="18"/>
                <w:szCs w:val="18"/>
              </w:rPr>
              <w:t>（四）</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承诺由董事会或薪酬委员会制定的薪酬制度与公司填补回报</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措施的执行情况相挂钩</w:t>
            </w:r>
            <w:r>
              <w:rPr>
                <w:rFonts w:ascii="宋体" w:hAnsi="宋体" w:cs="宋体" w:eastAsia="宋体" w:hint="default"/>
                <w:spacing w:val="-94"/>
                <w:sz w:val="18"/>
                <w:szCs w:val="18"/>
              </w:rPr>
              <w:t>。</w:t>
            </w:r>
            <w:r>
              <w:rPr>
                <w:rFonts w:ascii="宋体" w:hAnsi="宋体" w:cs="宋体" w:eastAsia="宋体" w:hint="default"/>
                <w:sz w:val="18"/>
                <w:szCs w:val="18"/>
              </w:rPr>
              <w:t>（五</w:t>
            </w:r>
            <w:r>
              <w:rPr>
                <w:rFonts w:ascii="宋体" w:hAnsi="宋体" w:cs="宋体" w:eastAsia="宋体" w:hint="default"/>
                <w:spacing w:val="-3"/>
                <w:sz w:val="18"/>
                <w:szCs w:val="18"/>
              </w:rPr>
              <w:t>）</w:t>
            </w:r>
            <w:r>
              <w:rPr>
                <w:rFonts w:ascii="宋体" w:hAnsi="宋体" w:cs="宋体" w:eastAsia="宋体" w:hint="default"/>
                <w:sz w:val="18"/>
                <w:szCs w:val="18"/>
              </w:rPr>
              <w:t>承诺拟公</w:t>
            </w:r>
            <w:r>
              <w:rPr>
                <w:rFonts w:ascii="宋体" w:hAnsi="宋体" w:cs="宋体" w:eastAsia="宋体" w:hint="default"/>
                <w:spacing w:val="-2"/>
                <w:sz w:val="18"/>
                <w:szCs w:val="18"/>
              </w:rPr>
              <w:t>布</w:t>
            </w:r>
            <w:r>
              <w:rPr>
                <w:rFonts w:ascii="宋体" w:hAnsi="宋体" w:cs="宋体" w:eastAsia="宋体" w:hint="default"/>
                <w:sz w:val="18"/>
                <w:szCs w:val="18"/>
              </w:rPr>
              <w:t>的公司股权激励的</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行权条件与公司填补回报措施的执行情况相挂钩。</w:t>
            </w:r>
          </w:p>
        </w:tc>
        <w:tc>
          <w:tcPr>
            <w:tcW w:w="1559"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焦征海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31"/>
              <w:jc w:val="left"/>
              <w:rPr>
                <w:rFonts w:ascii="宋体" w:hAnsi="宋体" w:cs="宋体" w:eastAsia="宋体" w:hint="default"/>
                <w:sz w:val="18"/>
                <w:szCs w:val="18"/>
              </w:rPr>
            </w:pPr>
            <w:r>
              <w:rPr>
                <w:rFonts w:ascii="宋体" w:hAnsi="宋体" w:cs="宋体" w:eastAsia="宋体" w:hint="default"/>
                <w:sz w:val="18"/>
                <w:szCs w:val="18"/>
              </w:rPr>
              <w:t>根据中国证监会《关于首发及再融资、重大资产重组摊薄即 </w:t>
            </w:r>
            <w:r>
              <w:rPr>
                <w:rFonts w:ascii="宋体" w:hAnsi="宋体" w:cs="宋体" w:eastAsia="宋体" w:hint="default"/>
                <w:spacing w:val="-4"/>
                <w:sz w:val="18"/>
                <w:szCs w:val="18"/>
              </w:rPr>
              <w:t>期回报有关事项的指导意见》（证监会公告</w:t>
            </w:r>
            <w:r>
              <w:rPr>
                <w:rFonts w:ascii="Times New Roman" w:hAnsi="Times New Roman" w:cs="Times New Roman" w:eastAsia="Times New Roman" w:hint="default"/>
                <w:spacing w:val="-4"/>
                <w:sz w:val="18"/>
                <w:szCs w:val="18"/>
              </w:rPr>
              <w:t>[2015]31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号）等文</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7"/>
              <w:jc w:val="left"/>
              <w:rPr>
                <w:rFonts w:ascii="宋体" w:hAnsi="宋体" w:cs="宋体" w:eastAsia="宋体" w:hint="default"/>
                <w:sz w:val="18"/>
                <w:szCs w:val="18"/>
              </w:rPr>
            </w:pPr>
            <w:r>
              <w:rPr>
                <w:rFonts w:ascii="宋体" w:hAnsi="宋体" w:cs="宋体" w:eastAsia="宋体" w:hint="default"/>
                <w:sz w:val="18"/>
                <w:szCs w:val="18"/>
              </w:rPr>
              <w:t>上述承诺人严格信守 承诺，未发生违反承</w:t>
            </w:r>
          </w:p>
        </w:tc>
      </w:tr>
    </w:tbl>
    <w:p>
      <w:pPr>
        <w:spacing w:after="0" w:line="316" w:lineRule="auto"/>
        <w:jc w:val="left"/>
        <w:rPr>
          <w:rFonts w:ascii="宋体" w:hAnsi="宋体" w:cs="宋体" w:eastAsia="宋体" w:hint="default"/>
          <w:sz w:val="18"/>
          <w:szCs w:val="18"/>
        </w:rPr>
        <w:sectPr>
          <w:footerReference w:type="default" r:id="rId26"/>
          <w:pgSz w:w="16840" w:h="11910" w:orient="landscape"/>
          <w:pgMar w:footer="978" w:header="867" w:top="1060" w:bottom="1160" w:left="1320" w:right="1340"/>
          <w:pgNumType w:start="101"/>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985"/>
        <w:gridCol w:w="1417"/>
        <w:gridCol w:w="1134"/>
        <w:gridCol w:w="4820"/>
        <w:gridCol w:w="1559"/>
        <w:gridCol w:w="1276"/>
        <w:gridCol w:w="1702"/>
      </w:tblGrid>
      <w:tr>
        <w:trPr>
          <w:trHeight w:val="336" w:hRule="exact"/>
        </w:trPr>
        <w:tc>
          <w:tcPr>
            <w:tcW w:w="1985"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482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件的有关规定，公司就</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年度非公开发行股票事宜对即期</w:t>
            </w:r>
          </w:p>
        </w:tc>
        <w:tc>
          <w:tcPr>
            <w:tcW w:w="1559" w:type="dxa"/>
            <w:vMerge w:val="restart"/>
            <w:tcBorders>
              <w:top w:val="single" w:sz="15" w:space="0" w:color="000000"/>
              <w:left w:val="single" w:sz="4" w:space="0" w:color="000000"/>
              <w:right w:val="single" w:sz="4" w:space="0" w:color="000000"/>
            </w:tcBorders>
          </w:tcPr>
          <w:p>
            <w:pPr/>
          </w:p>
        </w:tc>
        <w:tc>
          <w:tcPr>
            <w:tcW w:w="1276" w:type="dxa"/>
            <w:vMerge w:val="restart"/>
            <w:tcBorders>
              <w:top w:val="single" w:sz="15" w:space="0" w:color="000000"/>
              <w:left w:val="single" w:sz="4" w:space="0" w:color="000000"/>
              <w:right w:val="single" w:sz="4" w:space="0" w:color="000000"/>
            </w:tcBorders>
          </w:tcPr>
          <w:p>
            <w:pPr/>
          </w:p>
        </w:tc>
        <w:tc>
          <w:tcPr>
            <w:tcW w:w="1702"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诺的情况。</w:t>
            </w: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回报摊薄的影响进行了认真分析，并提出了具体的填补回报</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措施，作为相关责任主体，公司全体董事、高级管理人员对</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公司填补回报措施能够得到切实履行作出了承诺，具体承诺</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如下</w:t>
            </w:r>
            <w:r>
              <w:rPr>
                <w:rFonts w:ascii="宋体" w:hAnsi="宋体" w:cs="宋体" w:eastAsia="宋体" w:hint="default"/>
                <w:spacing w:val="-94"/>
                <w:sz w:val="18"/>
                <w:szCs w:val="18"/>
              </w:rPr>
              <w:t>：</w:t>
            </w:r>
            <w:r>
              <w:rPr>
                <w:rFonts w:ascii="宋体" w:hAnsi="宋体" w:cs="宋体" w:eastAsia="宋体" w:hint="default"/>
                <w:sz w:val="18"/>
                <w:szCs w:val="18"/>
              </w:rPr>
              <w:t>（一</w:t>
            </w:r>
            <w:r>
              <w:rPr>
                <w:rFonts w:ascii="宋体" w:hAnsi="宋体" w:cs="宋体" w:eastAsia="宋体" w:hint="default"/>
                <w:spacing w:val="-3"/>
                <w:sz w:val="18"/>
                <w:szCs w:val="18"/>
              </w:rPr>
              <w:t>）</w:t>
            </w:r>
            <w:r>
              <w:rPr>
                <w:rFonts w:ascii="宋体" w:hAnsi="宋体" w:cs="宋体" w:eastAsia="宋体" w:hint="default"/>
                <w:sz w:val="18"/>
                <w:szCs w:val="18"/>
              </w:rPr>
              <w:t>承诺不无偿或以不公平条件向其他单位或者个人</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输送利益</w:t>
            </w:r>
            <w:r>
              <w:rPr>
                <w:rFonts w:ascii="宋体" w:hAnsi="宋体" w:cs="宋体" w:eastAsia="宋体" w:hint="default"/>
                <w:spacing w:val="-3"/>
                <w:sz w:val="18"/>
                <w:szCs w:val="18"/>
              </w:rPr>
              <w:t>，</w:t>
            </w:r>
            <w:r>
              <w:rPr>
                <w:rFonts w:ascii="宋体" w:hAnsi="宋体" w:cs="宋体" w:eastAsia="宋体" w:hint="default"/>
                <w:sz w:val="18"/>
                <w:szCs w:val="18"/>
              </w:rPr>
              <w:t>也不采用其他方式损害公司利益</w:t>
            </w:r>
            <w:r>
              <w:rPr>
                <w:rFonts w:ascii="宋体" w:hAnsi="宋体" w:cs="宋体" w:eastAsia="宋体" w:hint="default"/>
                <w:spacing w:val="-93"/>
                <w:sz w:val="18"/>
                <w:szCs w:val="18"/>
              </w:rPr>
              <w:t>。</w:t>
            </w:r>
            <w:r>
              <w:rPr>
                <w:rFonts w:ascii="宋体" w:hAnsi="宋体" w:cs="宋体" w:eastAsia="宋体" w:hint="default"/>
                <w:sz w:val="18"/>
                <w:szCs w:val="18"/>
              </w:rPr>
              <w:t>（二</w:t>
            </w:r>
            <w:r>
              <w:rPr>
                <w:rFonts w:ascii="宋体" w:hAnsi="宋体" w:cs="宋体" w:eastAsia="宋体" w:hint="default"/>
                <w:spacing w:val="-3"/>
                <w:sz w:val="18"/>
                <w:szCs w:val="18"/>
              </w:rPr>
              <w:t>）</w:t>
            </w:r>
            <w:r>
              <w:rPr>
                <w:rFonts w:ascii="宋体" w:hAnsi="宋体" w:cs="宋体" w:eastAsia="宋体" w:hint="default"/>
                <w:sz w:val="18"/>
                <w:szCs w:val="18"/>
              </w:rPr>
              <w:t>承</w:t>
            </w:r>
            <w:r>
              <w:rPr>
                <w:rFonts w:ascii="宋体" w:hAnsi="宋体" w:cs="宋体" w:eastAsia="宋体" w:hint="default"/>
                <w:spacing w:val="1"/>
                <w:sz w:val="18"/>
                <w:szCs w:val="18"/>
              </w:rPr>
              <w:t>诺</w:t>
            </w:r>
            <w:r>
              <w:rPr>
                <w:rFonts w:ascii="宋体" w:hAnsi="宋体" w:cs="宋体" w:eastAsia="宋体" w:hint="default"/>
                <w:sz w:val="18"/>
                <w:szCs w:val="18"/>
              </w:rPr>
              <w:t>对董</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事和高级管理人员的职务消费行为进行约束</w:t>
            </w:r>
            <w:r>
              <w:rPr>
                <w:rFonts w:ascii="宋体" w:hAnsi="宋体" w:cs="宋体" w:eastAsia="宋体" w:hint="default"/>
                <w:spacing w:val="-94"/>
                <w:sz w:val="18"/>
                <w:szCs w:val="18"/>
              </w:rPr>
              <w:t>。</w:t>
            </w:r>
            <w:r>
              <w:rPr>
                <w:rFonts w:ascii="宋体" w:hAnsi="宋体" w:cs="宋体" w:eastAsia="宋体" w:hint="default"/>
                <w:sz w:val="18"/>
                <w:szCs w:val="18"/>
              </w:rPr>
              <w:t>（三</w:t>
            </w:r>
            <w:r>
              <w:rPr>
                <w:rFonts w:ascii="宋体" w:hAnsi="宋体" w:cs="宋体" w:eastAsia="宋体" w:hint="default"/>
                <w:spacing w:val="-3"/>
                <w:sz w:val="18"/>
                <w:szCs w:val="18"/>
              </w:rPr>
              <w:t>）</w:t>
            </w:r>
            <w:r>
              <w:rPr>
                <w:rFonts w:ascii="宋体" w:hAnsi="宋体" w:cs="宋体" w:eastAsia="宋体" w:hint="default"/>
                <w:sz w:val="18"/>
                <w:szCs w:val="18"/>
              </w:rPr>
              <w:t>承诺不动</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用公司资产从事与其履行职责无关的投资、消费活动</w:t>
            </w:r>
            <w:r>
              <w:rPr>
                <w:rFonts w:ascii="宋体" w:hAnsi="宋体" w:cs="宋体" w:eastAsia="宋体" w:hint="default"/>
                <w:spacing w:val="-90"/>
                <w:sz w:val="18"/>
                <w:szCs w:val="18"/>
              </w:rPr>
              <w:t>。</w:t>
            </w:r>
            <w:r>
              <w:rPr>
                <w:rFonts w:ascii="宋体" w:hAnsi="宋体" w:cs="宋体" w:eastAsia="宋体" w:hint="default"/>
                <w:sz w:val="18"/>
                <w:szCs w:val="18"/>
              </w:rPr>
              <w:t>（四）</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承诺由董事会或薪酬委员会制定的薪酬制度与公司填补回报</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措施的执行情况相挂钩</w:t>
            </w:r>
            <w:r>
              <w:rPr>
                <w:rFonts w:ascii="宋体" w:hAnsi="宋体" w:cs="宋体" w:eastAsia="宋体" w:hint="default"/>
                <w:spacing w:val="-94"/>
                <w:sz w:val="18"/>
                <w:szCs w:val="18"/>
              </w:rPr>
              <w:t>。</w:t>
            </w:r>
            <w:r>
              <w:rPr>
                <w:rFonts w:ascii="宋体" w:hAnsi="宋体" w:cs="宋体" w:eastAsia="宋体" w:hint="default"/>
                <w:sz w:val="18"/>
                <w:szCs w:val="18"/>
              </w:rPr>
              <w:t>（五</w:t>
            </w:r>
            <w:r>
              <w:rPr>
                <w:rFonts w:ascii="宋体" w:hAnsi="宋体" w:cs="宋体" w:eastAsia="宋体" w:hint="default"/>
                <w:spacing w:val="-3"/>
                <w:sz w:val="18"/>
                <w:szCs w:val="18"/>
              </w:rPr>
              <w:t>）</w:t>
            </w:r>
            <w:r>
              <w:rPr>
                <w:rFonts w:ascii="宋体" w:hAnsi="宋体" w:cs="宋体" w:eastAsia="宋体" w:hint="default"/>
                <w:sz w:val="18"/>
                <w:szCs w:val="18"/>
              </w:rPr>
              <w:t>承诺拟公</w:t>
            </w:r>
            <w:r>
              <w:rPr>
                <w:rFonts w:ascii="宋体" w:hAnsi="宋体" w:cs="宋体" w:eastAsia="宋体" w:hint="default"/>
                <w:spacing w:val="-2"/>
                <w:sz w:val="18"/>
                <w:szCs w:val="18"/>
              </w:rPr>
              <w:t>布</w:t>
            </w:r>
            <w:r>
              <w:rPr>
                <w:rFonts w:ascii="宋体" w:hAnsi="宋体" w:cs="宋体" w:eastAsia="宋体" w:hint="default"/>
                <w:sz w:val="18"/>
                <w:szCs w:val="18"/>
              </w:rPr>
              <w:t>的公司股权激励的</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行权条件与公司填补回报措施的执行情况相挂钩。</w:t>
            </w:r>
          </w:p>
        </w:tc>
        <w:tc>
          <w:tcPr>
            <w:tcW w:w="155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根据中国证监会《关于首发及再融资、重大资产重组摊薄即</w:t>
            </w:r>
          </w:p>
        </w:tc>
        <w:tc>
          <w:tcPr>
            <w:tcW w:w="1559"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期回报有关事项的指导意见</w:t>
            </w:r>
            <w:r>
              <w:rPr>
                <w:rFonts w:ascii="宋体" w:hAnsi="宋体" w:cs="宋体" w:eastAsia="宋体" w:hint="default"/>
                <w:spacing w:val="-90"/>
                <w:sz w:val="18"/>
                <w:szCs w:val="18"/>
              </w:rPr>
              <w:t>》</w:t>
            </w:r>
            <w:r>
              <w:rPr>
                <w:rFonts w:ascii="宋体" w:hAnsi="宋体" w:cs="宋体" w:eastAsia="宋体" w:hint="default"/>
                <w:sz w:val="18"/>
                <w:szCs w:val="18"/>
              </w:rPr>
              <w:t>（证监会公告</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1"/>
                <w:sz w:val="18"/>
                <w:szCs w:val="18"/>
              </w:rPr>
              <w:t>等</w:t>
            </w:r>
            <w:r>
              <w:rPr>
                <w:rFonts w:ascii="宋体" w:hAnsi="宋体" w:cs="宋体" w:eastAsia="宋体" w:hint="default"/>
                <w:sz w:val="18"/>
                <w:szCs w:val="18"/>
              </w:rPr>
              <w:t>文</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件的有关规定，公司就</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年度非公开发行股票事宜对即期</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回报摊薄的影响进行了认真分析，并提出了具体的填补回报</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措施，作为相关责任主体，公司全体董事、高级管理人员对</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陈亮</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公司填补回报措施能够得到切实履行作出了承诺，具体承诺 </w:t>
            </w:r>
            <w:r>
              <w:rPr>
                <w:rFonts w:ascii="宋体" w:hAnsi="宋体" w:cs="宋体" w:eastAsia="宋体" w:hint="default"/>
                <w:spacing w:val="-4"/>
                <w:sz w:val="18"/>
                <w:szCs w:val="18"/>
              </w:rPr>
              <w:t>如下：（一）承诺不无偿或以不公平条件向其他单位或者个人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输送利益，也不采用其他方式损害公司利益。（二）承诺对董</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47"/>
              <w:jc w:val="both"/>
              <w:rPr>
                <w:rFonts w:ascii="宋体" w:hAnsi="宋体" w:cs="宋体" w:eastAsia="宋体" w:hint="default"/>
                <w:sz w:val="18"/>
                <w:szCs w:val="18"/>
              </w:rPr>
            </w:pPr>
            <w:r>
              <w:rPr>
                <w:rFonts w:ascii="宋体" w:hAnsi="宋体" w:cs="宋体" w:eastAsia="宋体" w:hint="default"/>
                <w:sz w:val="18"/>
                <w:szCs w:val="18"/>
              </w:rPr>
              <w:t>上述承诺人严格信守 承诺，未发生违反承 诺的情况。</w:t>
            </w:r>
          </w:p>
        </w:tc>
      </w:tr>
      <w:tr>
        <w:trPr>
          <w:trHeight w:val="311"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事和高级管理人员的职务消费行为进行约束</w:t>
            </w:r>
            <w:r>
              <w:rPr>
                <w:rFonts w:ascii="宋体" w:hAnsi="宋体" w:cs="宋体" w:eastAsia="宋体" w:hint="default"/>
                <w:spacing w:val="-94"/>
                <w:sz w:val="18"/>
                <w:szCs w:val="18"/>
              </w:rPr>
              <w:t>。</w:t>
            </w:r>
            <w:r>
              <w:rPr>
                <w:rFonts w:ascii="宋体" w:hAnsi="宋体" w:cs="宋体" w:eastAsia="宋体" w:hint="default"/>
                <w:sz w:val="18"/>
                <w:szCs w:val="18"/>
              </w:rPr>
              <w:t>（三</w:t>
            </w:r>
            <w:r>
              <w:rPr>
                <w:rFonts w:ascii="宋体" w:hAnsi="宋体" w:cs="宋体" w:eastAsia="宋体" w:hint="default"/>
                <w:spacing w:val="-3"/>
                <w:sz w:val="18"/>
                <w:szCs w:val="18"/>
              </w:rPr>
              <w:t>）</w:t>
            </w:r>
            <w:r>
              <w:rPr>
                <w:rFonts w:ascii="宋体" w:hAnsi="宋体" w:cs="宋体" w:eastAsia="宋体" w:hint="default"/>
                <w:sz w:val="18"/>
                <w:szCs w:val="18"/>
              </w:rPr>
              <w:t>承诺不动</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用公司资产从事与其履行职责无关的投资、消费活动</w:t>
            </w:r>
            <w:r>
              <w:rPr>
                <w:rFonts w:ascii="宋体" w:hAnsi="宋体" w:cs="宋体" w:eastAsia="宋体" w:hint="default"/>
                <w:spacing w:val="-90"/>
                <w:sz w:val="18"/>
                <w:szCs w:val="18"/>
              </w:rPr>
              <w:t>。</w:t>
            </w:r>
            <w:r>
              <w:rPr>
                <w:rFonts w:ascii="宋体" w:hAnsi="宋体" w:cs="宋体" w:eastAsia="宋体" w:hint="default"/>
                <w:sz w:val="18"/>
                <w:szCs w:val="18"/>
              </w:rPr>
              <w:t>（四）</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承诺由董事会或薪酬委员会制定的薪酬制度与公司填补回报</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措施的执行情况相挂钩</w:t>
            </w:r>
            <w:r>
              <w:rPr>
                <w:rFonts w:ascii="宋体" w:hAnsi="宋体" w:cs="宋体" w:eastAsia="宋体" w:hint="default"/>
                <w:spacing w:val="-94"/>
                <w:sz w:val="18"/>
                <w:szCs w:val="18"/>
              </w:rPr>
              <w:t>。</w:t>
            </w:r>
            <w:r>
              <w:rPr>
                <w:rFonts w:ascii="宋体" w:hAnsi="宋体" w:cs="宋体" w:eastAsia="宋体" w:hint="default"/>
                <w:sz w:val="18"/>
                <w:szCs w:val="18"/>
              </w:rPr>
              <w:t>（五</w:t>
            </w:r>
            <w:r>
              <w:rPr>
                <w:rFonts w:ascii="宋体" w:hAnsi="宋体" w:cs="宋体" w:eastAsia="宋体" w:hint="default"/>
                <w:spacing w:val="-3"/>
                <w:sz w:val="18"/>
                <w:szCs w:val="18"/>
              </w:rPr>
              <w:t>）</w:t>
            </w:r>
            <w:r>
              <w:rPr>
                <w:rFonts w:ascii="宋体" w:hAnsi="宋体" w:cs="宋体" w:eastAsia="宋体" w:hint="default"/>
                <w:sz w:val="18"/>
                <w:szCs w:val="18"/>
              </w:rPr>
              <w:t>承诺拟公</w:t>
            </w:r>
            <w:r>
              <w:rPr>
                <w:rFonts w:ascii="宋体" w:hAnsi="宋体" w:cs="宋体" w:eastAsia="宋体" w:hint="default"/>
                <w:spacing w:val="-2"/>
                <w:sz w:val="18"/>
                <w:szCs w:val="18"/>
              </w:rPr>
              <w:t>布</w:t>
            </w:r>
            <w:r>
              <w:rPr>
                <w:rFonts w:ascii="宋体" w:hAnsi="宋体" w:cs="宋体" w:eastAsia="宋体" w:hint="default"/>
                <w:sz w:val="18"/>
                <w:szCs w:val="18"/>
              </w:rPr>
              <w:t>的公司股权激励的</w:t>
            </w:r>
          </w:p>
        </w:tc>
        <w:tc>
          <w:tcPr>
            <w:tcW w:w="155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行权条件与公司填补回报措施的执行情况相挂钩。</w:t>
            </w:r>
          </w:p>
        </w:tc>
        <w:tc>
          <w:tcPr>
            <w:tcW w:w="1559"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根据中国证监会《关于首发及再融资、重大资产重组摊薄即</w:t>
            </w:r>
          </w:p>
        </w:tc>
        <w:tc>
          <w:tcPr>
            <w:tcW w:w="1559"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r>
      <w:tr>
        <w:trPr>
          <w:trHeight w:val="1247"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金香爱</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07" w:lineRule="auto" w:before="10"/>
              <w:ind w:left="22" w:right="22"/>
              <w:jc w:val="left"/>
              <w:rPr>
                <w:rFonts w:ascii="宋体" w:hAnsi="宋体" w:cs="宋体" w:eastAsia="宋体" w:hint="default"/>
                <w:sz w:val="18"/>
                <w:szCs w:val="18"/>
              </w:rPr>
            </w:pPr>
            <w:r>
              <w:rPr>
                <w:rFonts w:ascii="宋体" w:hAnsi="宋体" w:cs="宋体" w:eastAsia="宋体" w:hint="default"/>
                <w:spacing w:val="-4"/>
                <w:sz w:val="18"/>
                <w:szCs w:val="18"/>
              </w:rPr>
              <w:t>期回报有关事项的指导意见》（证监会公告</w:t>
            </w:r>
            <w:r>
              <w:rPr>
                <w:rFonts w:ascii="Times New Roman" w:hAnsi="Times New Roman" w:cs="Times New Roman" w:eastAsia="Times New Roman" w:hint="default"/>
                <w:spacing w:val="-4"/>
                <w:sz w:val="18"/>
                <w:szCs w:val="18"/>
              </w:rPr>
              <w:t>[2015]31</w:t>
            </w:r>
            <w:r>
              <w:rPr>
                <w:rFonts w:ascii="Times New Roman" w:hAnsi="Times New Roman" w:cs="Times New Roman" w:eastAsia="Times New Roman" w:hint="default"/>
                <w:sz w:val="18"/>
                <w:szCs w:val="18"/>
              </w:rPr>
              <w:t> </w:t>
            </w:r>
            <w:r>
              <w:rPr>
                <w:rFonts w:ascii="宋体" w:hAnsi="宋体" w:cs="宋体" w:eastAsia="宋体" w:hint="default"/>
                <w:sz w:val="18"/>
                <w:szCs w:val="18"/>
              </w:rPr>
              <w:t>号）等文</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件的有关规定，公司就</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年度非公开发行股票事宜对即期 回报摊薄的影响进行了认真分析，并提出了具体的填补回报 措施，作为相关责任主体，公司全体董事、高级管理人员对</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319" w:lineRule="auto" w:before="146"/>
              <w:ind w:left="22" w:right="47"/>
              <w:jc w:val="both"/>
              <w:rPr>
                <w:rFonts w:ascii="宋体" w:hAnsi="宋体" w:cs="宋体" w:eastAsia="宋体" w:hint="default"/>
                <w:sz w:val="18"/>
                <w:szCs w:val="18"/>
              </w:rPr>
            </w:pPr>
            <w:r>
              <w:rPr>
                <w:rFonts w:ascii="宋体" w:hAnsi="宋体" w:cs="宋体" w:eastAsia="宋体" w:hint="default"/>
                <w:sz w:val="18"/>
                <w:szCs w:val="18"/>
              </w:rPr>
              <w:t>上述承诺人严格信守 承诺，未发生违反承 诺的情况。</w:t>
            </w:r>
          </w:p>
        </w:tc>
      </w:tr>
      <w:tr>
        <w:trPr>
          <w:trHeight w:val="318"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公司填补回报措施能够得到切实履行作出了承诺，具体承诺</w:t>
            </w:r>
          </w:p>
        </w:tc>
        <w:tc>
          <w:tcPr>
            <w:tcW w:w="1559"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200" w:left="1320" w:right="134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985"/>
        <w:gridCol w:w="1417"/>
        <w:gridCol w:w="1134"/>
        <w:gridCol w:w="4820"/>
        <w:gridCol w:w="1559"/>
        <w:gridCol w:w="1276"/>
        <w:gridCol w:w="1702"/>
      </w:tblGrid>
      <w:tr>
        <w:trPr>
          <w:trHeight w:val="331" w:hRule="exact"/>
        </w:trPr>
        <w:tc>
          <w:tcPr>
            <w:tcW w:w="1985"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482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如下</w:t>
            </w:r>
            <w:r>
              <w:rPr>
                <w:rFonts w:ascii="宋体" w:hAnsi="宋体" w:cs="宋体" w:eastAsia="宋体" w:hint="default"/>
                <w:spacing w:val="-94"/>
                <w:sz w:val="18"/>
                <w:szCs w:val="18"/>
              </w:rPr>
              <w:t>：</w:t>
            </w:r>
            <w:r>
              <w:rPr>
                <w:rFonts w:ascii="宋体" w:hAnsi="宋体" w:cs="宋体" w:eastAsia="宋体" w:hint="default"/>
                <w:sz w:val="18"/>
                <w:szCs w:val="18"/>
              </w:rPr>
              <w:t>（一</w:t>
            </w:r>
            <w:r>
              <w:rPr>
                <w:rFonts w:ascii="宋体" w:hAnsi="宋体" w:cs="宋体" w:eastAsia="宋体" w:hint="default"/>
                <w:spacing w:val="-3"/>
                <w:sz w:val="18"/>
                <w:szCs w:val="18"/>
              </w:rPr>
              <w:t>）</w:t>
            </w:r>
            <w:r>
              <w:rPr>
                <w:rFonts w:ascii="宋体" w:hAnsi="宋体" w:cs="宋体" w:eastAsia="宋体" w:hint="default"/>
                <w:sz w:val="18"/>
                <w:szCs w:val="18"/>
              </w:rPr>
              <w:t>承诺不无偿或以不公平条件向其他单位或者个人</w:t>
            </w:r>
          </w:p>
        </w:tc>
        <w:tc>
          <w:tcPr>
            <w:tcW w:w="1559" w:type="dxa"/>
            <w:vMerge w:val="restart"/>
            <w:tcBorders>
              <w:top w:val="single" w:sz="15" w:space="0" w:color="000000"/>
              <w:left w:val="single" w:sz="4" w:space="0" w:color="000000"/>
              <w:right w:val="single" w:sz="4" w:space="0" w:color="000000"/>
            </w:tcBorders>
          </w:tcPr>
          <w:p>
            <w:pPr/>
          </w:p>
        </w:tc>
        <w:tc>
          <w:tcPr>
            <w:tcW w:w="1276" w:type="dxa"/>
            <w:vMerge w:val="restart"/>
            <w:tcBorders>
              <w:top w:val="single" w:sz="15" w:space="0" w:color="000000"/>
              <w:left w:val="single" w:sz="4" w:space="0" w:color="000000"/>
              <w:right w:val="single" w:sz="4" w:space="0" w:color="000000"/>
            </w:tcBorders>
          </w:tcPr>
          <w:p>
            <w:pPr/>
          </w:p>
        </w:tc>
        <w:tc>
          <w:tcPr>
            <w:tcW w:w="1702" w:type="dxa"/>
            <w:vMerge w:val="restart"/>
            <w:tcBorders>
              <w:top w:val="single" w:sz="15" w:space="0" w:color="000000"/>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输送利益</w:t>
            </w:r>
            <w:r>
              <w:rPr>
                <w:rFonts w:ascii="宋体" w:hAnsi="宋体" w:cs="宋体" w:eastAsia="宋体" w:hint="default"/>
                <w:spacing w:val="-3"/>
                <w:sz w:val="18"/>
                <w:szCs w:val="18"/>
              </w:rPr>
              <w:t>，</w:t>
            </w:r>
            <w:r>
              <w:rPr>
                <w:rFonts w:ascii="宋体" w:hAnsi="宋体" w:cs="宋体" w:eastAsia="宋体" w:hint="default"/>
                <w:sz w:val="18"/>
                <w:szCs w:val="18"/>
              </w:rPr>
              <w:t>也不采用其他方式损害公司利益</w:t>
            </w:r>
            <w:r>
              <w:rPr>
                <w:rFonts w:ascii="宋体" w:hAnsi="宋体" w:cs="宋体" w:eastAsia="宋体" w:hint="default"/>
                <w:spacing w:val="-93"/>
                <w:sz w:val="18"/>
                <w:szCs w:val="18"/>
              </w:rPr>
              <w:t>。</w:t>
            </w:r>
            <w:r>
              <w:rPr>
                <w:rFonts w:ascii="宋体" w:hAnsi="宋体" w:cs="宋体" w:eastAsia="宋体" w:hint="default"/>
                <w:sz w:val="18"/>
                <w:szCs w:val="18"/>
              </w:rPr>
              <w:t>（二</w:t>
            </w:r>
            <w:r>
              <w:rPr>
                <w:rFonts w:ascii="宋体" w:hAnsi="宋体" w:cs="宋体" w:eastAsia="宋体" w:hint="default"/>
                <w:spacing w:val="-3"/>
                <w:sz w:val="18"/>
                <w:szCs w:val="18"/>
              </w:rPr>
              <w:t>）</w:t>
            </w:r>
            <w:r>
              <w:rPr>
                <w:rFonts w:ascii="宋体" w:hAnsi="宋体" w:cs="宋体" w:eastAsia="宋体" w:hint="default"/>
                <w:sz w:val="18"/>
                <w:szCs w:val="18"/>
              </w:rPr>
              <w:t>承</w:t>
            </w:r>
            <w:r>
              <w:rPr>
                <w:rFonts w:ascii="宋体" w:hAnsi="宋体" w:cs="宋体" w:eastAsia="宋体" w:hint="default"/>
                <w:spacing w:val="1"/>
                <w:sz w:val="18"/>
                <w:szCs w:val="18"/>
              </w:rPr>
              <w:t>诺</w:t>
            </w:r>
            <w:r>
              <w:rPr>
                <w:rFonts w:ascii="宋体" w:hAnsi="宋体" w:cs="宋体" w:eastAsia="宋体" w:hint="default"/>
                <w:sz w:val="18"/>
                <w:szCs w:val="18"/>
              </w:rPr>
              <w:t>对董</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事和高级管理人员的职务消费行为进行约束</w:t>
            </w:r>
            <w:r>
              <w:rPr>
                <w:rFonts w:ascii="宋体" w:hAnsi="宋体" w:cs="宋体" w:eastAsia="宋体" w:hint="default"/>
                <w:spacing w:val="-94"/>
                <w:sz w:val="18"/>
                <w:szCs w:val="18"/>
              </w:rPr>
              <w:t>。</w:t>
            </w:r>
            <w:r>
              <w:rPr>
                <w:rFonts w:ascii="宋体" w:hAnsi="宋体" w:cs="宋体" w:eastAsia="宋体" w:hint="default"/>
                <w:sz w:val="18"/>
                <w:szCs w:val="18"/>
              </w:rPr>
              <w:t>（三</w:t>
            </w:r>
            <w:r>
              <w:rPr>
                <w:rFonts w:ascii="宋体" w:hAnsi="宋体" w:cs="宋体" w:eastAsia="宋体" w:hint="default"/>
                <w:spacing w:val="-3"/>
                <w:sz w:val="18"/>
                <w:szCs w:val="18"/>
              </w:rPr>
              <w:t>）</w:t>
            </w:r>
            <w:r>
              <w:rPr>
                <w:rFonts w:ascii="宋体" w:hAnsi="宋体" w:cs="宋体" w:eastAsia="宋体" w:hint="default"/>
                <w:sz w:val="18"/>
                <w:szCs w:val="18"/>
              </w:rPr>
              <w:t>承诺不动</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用公司资产从事与其履行职责无关的投资、消费活动</w:t>
            </w:r>
            <w:r>
              <w:rPr>
                <w:rFonts w:ascii="宋体" w:hAnsi="宋体" w:cs="宋体" w:eastAsia="宋体" w:hint="default"/>
                <w:spacing w:val="-90"/>
                <w:sz w:val="18"/>
                <w:szCs w:val="18"/>
              </w:rPr>
              <w:t>。</w:t>
            </w:r>
            <w:r>
              <w:rPr>
                <w:rFonts w:ascii="宋体" w:hAnsi="宋体" w:cs="宋体" w:eastAsia="宋体" w:hint="default"/>
                <w:sz w:val="18"/>
                <w:szCs w:val="18"/>
              </w:rPr>
              <w:t>（四）</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承诺由董事会或薪酬委员会制定的薪酬制度与公司填补回报</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3"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措施的执行情况相挂钩</w:t>
            </w:r>
            <w:r>
              <w:rPr>
                <w:rFonts w:ascii="宋体" w:hAnsi="宋体" w:cs="宋体" w:eastAsia="宋体" w:hint="default"/>
                <w:spacing w:val="-94"/>
                <w:sz w:val="18"/>
                <w:szCs w:val="18"/>
              </w:rPr>
              <w:t>。</w:t>
            </w:r>
            <w:r>
              <w:rPr>
                <w:rFonts w:ascii="宋体" w:hAnsi="宋体" w:cs="宋体" w:eastAsia="宋体" w:hint="default"/>
                <w:sz w:val="18"/>
                <w:szCs w:val="18"/>
              </w:rPr>
              <w:t>（五</w:t>
            </w:r>
            <w:r>
              <w:rPr>
                <w:rFonts w:ascii="宋体" w:hAnsi="宋体" w:cs="宋体" w:eastAsia="宋体" w:hint="default"/>
                <w:spacing w:val="-3"/>
                <w:sz w:val="18"/>
                <w:szCs w:val="18"/>
              </w:rPr>
              <w:t>）</w:t>
            </w:r>
            <w:r>
              <w:rPr>
                <w:rFonts w:ascii="宋体" w:hAnsi="宋体" w:cs="宋体" w:eastAsia="宋体" w:hint="default"/>
                <w:sz w:val="18"/>
                <w:szCs w:val="18"/>
              </w:rPr>
              <w:t>承诺拟公</w:t>
            </w:r>
            <w:r>
              <w:rPr>
                <w:rFonts w:ascii="宋体" w:hAnsi="宋体" w:cs="宋体" w:eastAsia="宋体" w:hint="default"/>
                <w:spacing w:val="-2"/>
                <w:sz w:val="18"/>
                <w:szCs w:val="18"/>
              </w:rPr>
              <w:t>布</w:t>
            </w:r>
            <w:r>
              <w:rPr>
                <w:rFonts w:ascii="宋体" w:hAnsi="宋体" w:cs="宋体" w:eastAsia="宋体" w:hint="default"/>
                <w:sz w:val="18"/>
                <w:szCs w:val="18"/>
              </w:rPr>
              <w:t>的公司股权激励的</w:t>
            </w:r>
          </w:p>
        </w:tc>
        <w:tc>
          <w:tcPr>
            <w:tcW w:w="155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行权条件与公司填补回报措施的执行情况相挂钩。</w:t>
            </w:r>
          </w:p>
        </w:tc>
        <w:tc>
          <w:tcPr>
            <w:tcW w:w="155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公司使用募集资金永久补充流动资金前十二个月内不存在从</w:t>
            </w:r>
          </w:p>
        </w:tc>
        <w:tc>
          <w:tcPr>
            <w:tcW w:w="1559"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r>
      <w:tr>
        <w:trPr>
          <w:trHeight w:val="942" w:hRule="exact"/>
        </w:trPr>
        <w:tc>
          <w:tcPr>
            <w:tcW w:w="1985"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22"/>
              <w:jc w:val="left"/>
              <w:rPr>
                <w:rFonts w:ascii="宋体" w:hAnsi="宋体" w:cs="宋体" w:eastAsia="宋体" w:hint="default"/>
                <w:sz w:val="18"/>
                <w:szCs w:val="18"/>
              </w:rPr>
            </w:pPr>
            <w:r>
              <w:rPr>
                <w:rFonts w:ascii="宋体" w:hAnsi="宋体" w:cs="宋体" w:eastAsia="宋体" w:hint="default"/>
                <w:sz w:val="18"/>
                <w:szCs w:val="18"/>
              </w:rPr>
              <w:t>新开普电子股份 有限公司</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99"/>
              <w:jc w:val="left"/>
              <w:rPr>
                <w:rFonts w:ascii="宋体" w:hAnsi="宋体" w:cs="宋体" w:eastAsia="宋体" w:hint="default"/>
                <w:sz w:val="18"/>
                <w:szCs w:val="18"/>
              </w:rPr>
            </w:pPr>
            <w:r>
              <w:rPr>
                <w:rFonts w:ascii="宋体" w:hAnsi="宋体" w:cs="宋体" w:eastAsia="宋体" w:hint="default"/>
                <w:sz w:val="18"/>
                <w:szCs w:val="18"/>
              </w:rPr>
              <w:t>募集资金使 用承诺</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7"/>
              <w:jc w:val="both"/>
              <w:rPr>
                <w:rFonts w:ascii="宋体" w:hAnsi="宋体" w:cs="宋体" w:eastAsia="宋体" w:hint="default"/>
                <w:sz w:val="18"/>
                <w:szCs w:val="18"/>
              </w:rPr>
            </w:pPr>
            <w:r>
              <w:rPr>
                <w:rFonts w:ascii="宋体" w:hAnsi="宋体" w:cs="宋体" w:eastAsia="宋体" w:hint="default"/>
                <w:sz w:val="18"/>
                <w:szCs w:val="18"/>
              </w:rPr>
              <w:t>事风险投资的情况，未对控股子公司以外的对象提供财务资 助。公司承诺募集资金永久性补充流动资金后仅用于主营业 务发展，并在十二个月内不进行高风险投资以及为控股子公</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47"/>
              <w:jc w:val="both"/>
              <w:rPr>
                <w:rFonts w:ascii="宋体" w:hAnsi="宋体" w:cs="宋体" w:eastAsia="宋体" w:hint="default"/>
                <w:sz w:val="18"/>
                <w:szCs w:val="18"/>
              </w:rPr>
            </w:pPr>
            <w:r>
              <w:rPr>
                <w:rFonts w:ascii="宋体" w:hAnsi="宋体" w:cs="宋体" w:eastAsia="宋体" w:hint="default"/>
                <w:sz w:val="18"/>
                <w:szCs w:val="18"/>
              </w:rPr>
              <w:t>上述承诺人严格信守 承诺，未发生违反承 诺的情况。</w:t>
            </w:r>
          </w:p>
        </w:tc>
      </w:tr>
      <w:tr>
        <w:trPr>
          <w:trHeight w:val="351"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司以外的对象提供财务资助。</w:t>
            </w:r>
          </w:p>
        </w:tc>
        <w:tc>
          <w:tcPr>
            <w:tcW w:w="1559"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3892"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r>
      <w:tr>
        <w:trPr>
          <w:trHeight w:val="402" w:hRule="exact"/>
        </w:trPr>
        <w:tc>
          <w:tcPr>
            <w:tcW w:w="13892"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90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7" w:hRule="exact"/>
        </w:trPr>
        <w:tc>
          <w:tcPr>
            <w:tcW w:w="198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如承诺超期未履行完毕</w:t>
            </w:r>
          </w:p>
        </w:tc>
        <w:tc>
          <w:tcPr>
            <w:tcW w:w="11908" w:type="dxa"/>
            <w:gridSpan w:val="6"/>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5"/>
                <w:sz w:val="18"/>
                <w:szCs w:val="18"/>
              </w:rPr>
              <w:t>的，应当详细说明未完成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履行的具体原因及下一</w:t>
            </w:r>
          </w:p>
        </w:tc>
        <w:tc>
          <w:tcPr>
            <w:tcW w:w="11908"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7" w:hRule="exact"/>
        </w:trPr>
        <w:tc>
          <w:tcPr>
            <w:tcW w:w="198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步的工作计划</w:t>
            </w:r>
          </w:p>
        </w:tc>
        <w:tc>
          <w:tcPr>
            <w:tcW w:w="11908" w:type="dxa"/>
            <w:gridSpan w:val="6"/>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40"/>
        </w:sectPr>
      </w:pPr>
    </w:p>
    <w:p>
      <w:pPr>
        <w:spacing w:line="240" w:lineRule="auto" w:before="7"/>
        <w:rPr>
          <w:rFonts w:ascii="Times New Roman" w:hAnsi="Times New Roman" w:cs="Times New Roman" w:eastAsia="Times New Roman" w:hint="default"/>
          <w:sz w:val="23"/>
          <w:szCs w:val="23"/>
        </w:rPr>
      </w:pPr>
    </w:p>
    <w:p>
      <w:pPr>
        <w:pStyle w:val="Heading3"/>
        <w:spacing w:line="259" w:lineRule="auto" w:before="35"/>
        <w:ind w:right="111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0"/>
        <w:rPr>
          <w:rFonts w:ascii="宋体" w:hAnsi="宋体" w:cs="宋体" w:eastAsia="宋体" w:hint="default"/>
          <w:b/>
          <w:bCs/>
          <w:sz w:val="20"/>
          <w:szCs w:val="20"/>
        </w:rPr>
      </w:pPr>
    </w:p>
    <w:p>
      <w:pPr>
        <w:spacing w:before="163"/>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2"/>
        <w:spacing w:line="240" w:lineRule="auto" w:before="155"/>
        <w:ind w:right="1113"/>
        <w:jc w:val="left"/>
        <w:rPr>
          <w:b w:val="0"/>
          <w:bCs w:val="0"/>
        </w:rPr>
      </w:pPr>
      <w:r>
        <w:rPr/>
        <w:t>三、控股股东及其关联方对上市公司的非经营性占用资金情况</w:t>
      </w:r>
      <w:r>
        <w:rPr>
          <w:b w:val="0"/>
          <w:bCs w:val="0"/>
        </w:rPr>
      </w:r>
    </w:p>
    <w:p>
      <w:pPr>
        <w:spacing w:line="240" w:lineRule="auto" w:before="8"/>
        <w:rPr>
          <w:rFonts w:ascii="宋体" w:hAnsi="宋体" w:cs="宋体" w:eastAsia="宋体" w:hint="default"/>
          <w:b/>
          <w:bCs/>
          <w:sz w:val="32"/>
          <w:szCs w:val="32"/>
        </w:rPr>
      </w:pPr>
    </w:p>
    <w:p>
      <w:pPr>
        <w:spacing w:line="489" w:lineRule="auto" w:before="0"/>
        <w:ind w:left="154" w:right="49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8"/>
        <w:rPr>
          <w:rFonts w:ascii="宋体" w:hAnsi="宋体" w:cs="宋体" w:eastAsia="宋体" w:hint="default"/>
          <w:sz w:val="16"/>
          <w:szCs w:val="16"/>
        </w:rPr>
      </w:pPr>
    </w:p>
    <w:p>
      <w:pPr>
        <w:pStyle w:val="Heading2"/>
        <w:spacing w:line="240" w:lineRule="auto"/>
        <w:ind w:right="1113"/>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3"/>
        <w:rPr>
          <w:rFonts w:ascii="宋体" w:hAnsi="宋体" w:cs="宋体" w:eastAsia="宋体" w:hint="default"/>
          <w:b/>
          <w:bCs/>
          <w:sz w:val="31"/>
          <w:szCs w:val="31"/>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2"/>
        <w:spacing w:line="240" w:lineRule="auto" w:before="155"/>
        <w:ind w:right="993"/>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3"/>
        <w:rPr>
          <w:rFonts w:ascii="宋体" w:hAnsi="宋体" w:cs="宋体" w:eastAsia="宋体" w:hint="default"/>
          <w:b/>
          <w:bCs/>
          <w:sz w:val="31"/>
          <w:szCs w:val="31"/>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2"/>
        <w:spacing w:line="240" w:lineRule="auto" w:before="155"/>
        <w:ind w:right="1113"/>
        <w:jc w:val="left"/>
        <w:rPr>
          <w:b w:val="0"/>
          <w:bCs w:val="0"/>
        </w:rPr>
      </w:pPr>
      <w:r>
        <w:rPr/>
        <w:t>六、董事会关于报告期会计政策、会计估计变更或重大会计差错更正的说明</w:t>
      </w:r>
      <w:r>
        <w:rPr>
          <w:b w:val="0"/>
          <w:bCs w:val="0"/>
        </w:rPr>
      </w:r>
    </w:p>
    <w:p>
      <w:pPr>
        <w:spacing w:line="240" w:lineRule="auto" w:before="8"/>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7"/>
          <w:szCs w:val="17"/>
        </w:rPr>
      </w:pPr>
    </w:p>
    <w:p>
      <w:pPr>
        <w:pStyle w:val="BodyText"/>
        <w:spacing w:line="386" w:lineRule="auto" w:before="0"/>
        <w:ind w:left="153" w:right="1130" w:firstLine="420"/>
        <w:jc w:val="both"/>
      </w:pPr>
      <w:r>
        <w:rPr>
          <w:rFonts w:ascii="Times New Roman" w:hAnsi="Times New Roman" w:cs="Times New Roman" w:eastAsia="Times New Roman" w:hint="default"/>
        </w:rPr>
        <w:t>1</w:t>
      </w:r>
      <w:r>
        <w:rPr/>
        <w:t>、执行《财政部关于修订印发</w:t>
      </w:r>
      <w:r>
        <w:rPr>
          <w:rFonts w:ascii="Times New Roman" w:hAnsi="Times New Roman" w:cs="Times New Roman" w:eastAsia="Times New Roman" w:hint="default"/>
        </w:rPr>
        <w:t>2019</w:t>
      </w:r>
      <w:r>
        <w:rPr/>
        <w:t>年度一般企业财务报表格式的通知》和《关于修订印发合并财务 报表格式（</w:t>
      </w:r>
      <w:r>
        <w:rPr>
          <w:rFonts w:ascii="Times New Roman" w:hAnsi="Times New Roman" w:cs="Times New Roman" w:eastAsia="Times New Roman" w:hint="default"/>
        </w:rPr>
        <w:t>2019</w:t>
      </w:r>
      <w:r>
        <w:rPr/>
        <w:t>版）的通知》</w:t>
      </w:r>
    </w:p>
    <w:p>
      <w:pPr>
        <w:pStyle w:val="BodyText"/>
        <w:spacing w:line="364" w:lineRule="auto" w:before="35"/>
        <w:ind w:right="1092" w:firstLine="420"/>
        <w:jc w:val="both"/>
      </w:pPr>
      <w:r>
        <w:rPr/>
        <w:t>财政部分别于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日发布了《关于修订印发</w:t>
      </w:r>
      <w:r>
        <w:rPr>
          <w:rFonts w:ascii="Times New Roman" w:hAnsi="Times New Roman" w:cs="Times New Roman" w:eastAsia="Times New Roman" w:hint="default"/>
        </w:rPr>
        <w:t>2019</w:t>
      </w:r>
      <w:r>
        <w:rPr/>
        <w:t>年度一般企业财务报表格式 的通知》（财会</w:t>
      </w:r>
      <w:r>
        <w:rPr>
          <w:sz w:val="24"/>
          <w:szCs w:val="24"/>
        </w:rPr>
        <w:t>〔</w:t>
      </w:r>
      <w:r>
        <w:rPr>
          <w:rFonts w:ascii="Times New Roman" w:hAnsi="Times New Roman" w:cs="Times New Roman" w:eastAsia="Times New Roman" w:hint="default"/>
        </w:rPr>
        <w:t>2019</w:t>
      </w:r>
      <w:r>
        <w:rPr>
          <w:sz w:val="24"/>
          <w:szCs w:val="24"/>
        </w:rPr>
        <w:t>〕</w:t>
      </w:r>
      <w:r>
        <w:rPr>
          <w:rFonts w:ascii="Times New Roman" w:hAnsi="Times New Roman" w:cs="Times New Roman" w:eastAsia="Times New Roman" w:hint="default"/>
        </w:rPr>
        <w:t>6</w:t>
      </w:r>
      <w:r>
        <w:rPr/>
        <w:t>号）和《关于修订印发合并财务报表格式（</w:t>
      </w:r>
      <w:r>
        <w:rPr>
          <w:rFonts w:ascii="Times New Roman" w:hAnsi="Times New Roman" w:cs="Times New Roman" w:eastAsia="Times New Roman" w:hint="default"/>
        </w:rPr>
        <w:t>2019</w:t>
      </w:r>
      <w:r>
        <w:rPr/>
        <w:t>版）的通知》（财会</w:t>
      </w:r>
      <w:r>
        <w:rPr>
          <w:sz w:val="24"/>
          <w:szCs w:val="24"/>
        </w:rPr>
        <w:t>〔</w:t>
      </w:r>
      <w:r>
        <w:rPr>
          <w:rFonts w:ascii="Times New Roman" w:hAnsi="Times New Roman" w:cs="Times New Roman" w:eastAsia="Times New Roman" w:hint="default"/>
        </w:rPr>
        <w:t>2019</w:t>
      </w:r>
      <w:r>
        <w:rPr>
          <w:sz w:val="24"/>
          <w:szCs w:val="24"/>
        </w:rPr>
        <w:t>〕 </w:t>
      </w:r>
      <w:r>
        <w:rPr>
          <w:rFonts w:ascii="Times New Roman" w:hAnsi="Times New Roman" w:cs="Times New Roman" w:eastAsia="Times New Roman" w:hint="default"/>
        </w:rPr>
        <w:t>16</w:t>
      </w:r>
      <w:r>
        <w:rPr/>
        <w:t>号），对一般企业财务报表格式进行了修订。本公司执行上述规定的主要影响如下：</w:t>
      </w:r>
    </w:p>
    <w:p>
      <w:pPr>
        <w:spacing w:line="240" w:lineRule="auto" w:before="5"/>
        <w:rPr>
          <w:rFonts w:ascii="宋体" w:hAnsi="宋体" w:cs="宋体" w:eastAsia="宋体" w:hint="default"/>
          <w:sz w:val="11"/>
          <w:szCs w:val="11"/>
        </w:rPr>
      </w:pPr>
    </w:p>
    <w:tbl>
      <w:tblPr>
        <w:tblW w:w="0" w:type="auto"/>
        <w:jc w:val="left"/>
        <w:tblInd w:w="704" w:type="dxa"/>
        <w:tblLayout w:type="fixed"/>
        <w:tblCellMar>
          <w:top w:w="0" w:type="dxa"/>
          <w:left w:w="0" w:type="dxa"/>
          <w:bottom w:w="0" w:type="dxa"/>
          <w:right w:w="0" w:type="dxa"/>
        </w:tblCellMar>
        <w:tblLook w:val="01E0"/>
      </w:tblPr>
      <w:tblGrid>
        <w:gridCol w:w="2130"/>
        <w:gridCol w:w="327"/>
        <w:gridCol w:w="1803"/>
        <w:gridCol w:w="2131"/>
        <w:gridCol w:w="2131"/>
      </w:tblGrid>
      <w:tr>
        <w:trPr>
          <w:trHeight w:val="394" w:hRule="exact"/>
        </w:trPr>
        <w:tc>
          <w:tcPr>
            <w:tcW w:w="2130" w:type="dxa"/>
            <w:vMerge w:val="restart"/>
            <w:tcBorders>
              <w:top w:val="single" w:sz="6" w:space="0" w:color="000000"/>
              <w:left w:val="single" w:sz="6" w:space="0" w:color="000000"/>
              <w:right w:val="single" w:sz="6" w:space="0" w:color="000000"/>
            </w:tcBorders>
            <w:shd w:val="clear" w:color="auto" w:fill="D9D9D9"/>
          </w:tcPr>
          <w:p>
            <w:pPr>
              <w:pStyle w:val="TableParagraph"/>
              <w:spacing w:line="364" w:lineRule="auto" w:before="62"/>
              <w:ind w:left="966" w:right="61" w:hanging="903"/>
              <w:jc w:val="left"/>
              <w:rPr>
                <w:rFonts w:ascii="宋体" w:hAnsi="宋体" w:cs="宋体" w:eastAsia="宋体" w:hint="default"/>
                <w:sz w:val="18"/>
                <w:szCs w:val="18"/>
              </w:rPr>
            </w:pPr>
            <w:r>
              <w:rPr>
                <w:rFonts w:ascii="宋体" w:hAnsi="宋体" w:cs="宋体" w:eastAsia="宋体" w:hint="default"/>
                <w:b/>
                <w:bCs/>
                <w:sz w:val="18"/>
                <w:szCs w:val="18"/>
              </w:rPr>
              <w:t>会计政策变更的内容和原</w:t>
            </w:r>
            <w:r>
              <w:rPr>
                <w:rFonts w:ascii="宋体" w:hAnsi="宋体" w:cs="宋体" w:eastAsia="宋体" w:hint="default"/>
                <w:b/>
                <w:bCs/>
                <w:spacing w:val="1"/>
                <w:w w:val="99"/>
                <w:sz w:val="18"/>
                <w:szCs w:val="18"/>
              </w:rPr>
              <w:t> </w:t>
            </w:r>
            <w:r>
              <w:rPr>
                <w:rFonts w:ascii="宋体" w:hAnsi="宋体" w:cs="宋体" w:eastAsia="宋体" w:hint="default"/>
                <w:b/>
                <w:bCs/>
                <w:sz w:val="18"/>
                <w:szCs w:val="18"/>
              </w:rPr>
              <w:t>因</w:t>
            </w:r>
            <w:r>
              <w:rPr>
                <w:rFonts w:ascii="宋体" w:hAnsi="宋体" w:cs="宋体" w:eastAsia="宋体" w:hint="default"/>
                <w:sz w:val="18"/>
                <w:szCs w:val="18"/>
              </w:rPr>
            </w:r>
          </w:p>
        </w:tc>
        <w:tc>
          <w:tcPr>
            <w:tcW w:w="2130" w:type="dxa"/>
            <w:gridSpan w:val="2"/>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95" w:right="0"/>
              <w:jc w:val="left"/>
              <w:rPr>
                <w:rFonts w:ascii="宋体" w:hAnsi="宋体" w:cs="宋体" w:eastAsia="宋体" w:hint="default"/>
                <w:sz w:val="18"/>
                <w:szCs w:val="18"/>
              </w:rPr>
            </w:pPr>
            <w:r>
              <w:rPr>
                <w:rFonts w:ascii="宋体" w:hAnsi="宋体" w:cs="宋体" w:eastAsia="宋体" w:hint="default"/>
                <w:b/>
                <w:bCs/>
                <w:sz w:val="18"/>
                <w:szCs w:val="18"/>
              </w:rPr>
              <w:t>审批程序</w:t>
            </w:r>
            <w:r>
              <w:rPr>
                <w:rFonts w:ascii="宋体" w:hAnsi="宋体" w:cs="宋体" w:eastAsia="宋体" w:hint="default"/>
                <w:sz w:val="18"/>
                <w:szCs w:val="18"/>
              </w:rPr>
            </w:r>
          </w:p>
        </w:tc>
        <w:tc>
          <w:tcPr>
            <w:tcW w:w="4262"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949" w:right="0"/>
              <w:jc w:val="left"/>
              <w:rPr>
                <w:rFonts w:ascii="宋体" w:hAnsi="宋体" w:cs="宋体" w:eastAsia="宋体" w:hint="default"/>
                <w:sz w:val="18"/>
                <w:szCs w:val="18"/>
              </w:rPr>
            </w:pPr>
            <w:r>
              <w:rPr>
                <w:rFonts w:ascii="宋体" w:hAnsi="宋体" w:cs="宋体" w:eastAsia="宋体" w:hint="default"/>
                <w:b/>
                <w:bCs/>
                <w:sz w:val="18"/>
                <w:szCs w:val="18"/>
              </w:rPr>
              <w:t>受影响的报表项目名称和金额</w:t>
            </w:r>
            <w:r>
              <w:rPr>
                <w:rFonts w:ascii="宋体" w:hAnsi="宋体" w:cs="宋体" w:eastAsia="宋体" w:hint="default"/>
                <w:sz w:val="18"/>
                <w:szCs w:val="18"/>
              </w:rPr>
            </w:r>
          </w:p>
        </w:tc>
      </w:tr>
      <w:tr>
        <w:trPr>
          <w:trHeight w:val="394" w:hRule="exact"/>
        </w:trPr>
        <w:tc>
          <w:tcPr>
            <w:tcW w:w="2130" w:type="dxa"/>
            <w:vMerge/>
            <w:tcBorders>
              <w:left w:val="single" w:sz="6" w:space="0" w:color="000000"/>
              <w:bottom w:val="single" w:sz="6" w:space="0" w:color="000000"/>
              <w:right w:val="single" w:sz="6" w:space="0" w:color="000000"/>
            </w:tcBorders>
            <w:shd w:val="clear" w:color="auto" w:fill="D9D9D9"/>
          </w:tcPr>
          <w:p>
            <w:pPr/>
          </w:p>
        </w:tc>
        <w:tc>
          <w:tcPr>
            <w:tcW w:w="2130" w:type="dxa"/>
            <w:gridSpan w:val="2"/>
            <w:vMerge/>
            <w:tcBorders>
              <w:left w:val="single" w:sz="6" w:space="0" w:color="000000"/>
              <w:bottom w:val="single" w:sz="6" w:space="0" w:color="000000"/>
              <w:right w:val="single" w:sz="6" w:space="0" w:color="000000"/>
            </w:tcBorders>
            <w:shd w:val="clear" w:color="auto" w:fill="D9D9D9"/>
          </w:tcPr>
          <w:p>
            <w:pPr/>
          </w:p>
        </w:tc>
        <w:tc>
          <w:tcPr>
            <w:tcW w:w="21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21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382" w:hRule="exact"/>
        </w:trPr>
        <w:tc>
          <w:tcPr>
            <w:tcW w:w="2130" w:type="dxa"/>
            <w:tcBorders>
              <w:top w:val="single" w:sz="6" w:space="0" w:color="000000"/>
              <w:left w:val="single" w:sz="6" w:space="0" w:color="000000"/>
              <w:bottom w:val="nil" w:sz="6" w:space="0" w:color="auto"/>
              <w:right w:val="single" w:sz="6" w:space="0" w:color="000000"/>
            </w:tcBorders>
          </w:tcPr>
          <w:p>
            <w:pPr/>
          </w:p>
        </w:tc>
        <w:tc>
          <w:tcPr>
            <w:tcW w:w="327" w:type="dxa"/>
            <w:tcBorders>
              <w:top w:val="single" w:sz="6" w:space="0" w:color="000000"/>
              <w:left w:val="single" w:sz="6" w:space="0" w:color="000000"/>
              <w:bottom w:val="nil" w:sz="6" w:space="0" w:color="auto"/>
              <w:right w:val="nil" w:sz="6" w:space="0" w:color="auto"/>
            </w:tcBorders>
          </w:tcPr>
          <w:p>
            <w:pPr/>
          </w:p>
        </w:tc>
        <w:tc>
          <w:tcPr>
            <w:tcW w:w="1803" w:type="dxa"/>
            <w:tcBorders>
              <w:top w:val="single" w:sz="6" w:space="0" w:color="000000"/>
              <w:left w:val="nil" w:sz="6" w:space="0" w:color="auto"/>
              <w:bottom w:val="nil" w:sz="6" w:space="0" w:color="auto"/>
              <w:right w:val="single" w:sz="6" w:space="0" w:color="000000"/>
            </w:tcBorders>
          </w:tcPr>
          <w:p>
            <w:pPr/>
          </w:p>
        </w:tc>
        <w:tc>
          <w:tcPr>
            <w:tcW w:w="213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w:t>
            </w:r>
          </w:p>
        </w:tc>
        <w:tc>
          <w:tcPr>
            <w:tcW w:w="213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w:t>
            </w:r>
          </w:p>
        </w:tc>
      </w:tr>
      <w:tr>
        <w:trPr>
          <w:trHeight w:val="359" w:hRule="exact"/>
        </w:trPr>
        <w:tc>
          <w:tcPr>
            <w:tcW w:w="2130"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宋体" w:hAnsi="宋体" w:cs="宋体" w:eastAsia="宋体" w:hint="default"/>
                <w:sz w:val="18"/>
                <w:szCs w:val="18"/>
              </w:rPr>
              <w:t>资产负债表中</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w:t>
            </w:r>
          </w:p>
        </w:tc>
        <w:tc>
          <w:tcPr>
            <w:tcW w:w="327" w:type="dxa"/>
            <w:tcBorders>
              <w:top w:val="nil" w:sz="6" w:space="0" w:color="auto"/>
              <w:left w:val="single" w:sz="6" w:space="0" w:color="000000"/>
              <w:bottom w:val="nil" w:sz="6" w:space="0" w:color="auto"/>
              <w:right w:val="nil" w:sz="6" w:space="0" w:color="auto"/>
            </w:tcBorders>
          </w:tcPr>
          <w:p>
            <w:pPr/>
          </w:p>
        </w:tc>
        <w:tc>
          <w:tcPr>
            <w:tcW w:w="1803" w:type="dxa"/>
            <w:tcBorders>
              <w:top w:val="nil" w:sz="6" w:space="0" w:color="auto"/>
              <w:left w:val="nil" w:sz="6" w:space="0" w:color="auto"/>
              <w:bottom w:val="nil" w:sz="6" w:space="0" w:color="auto"/>
              <w:right w:val="single" w:sz="6" w:space="0" w:color="000000"/>
            </w:tcBorders>
          </w:tcPr>
          <w:p>
            <w:pPr/>
          </w:p>
        </w:tc>
        <w:tc>
          <w:tcPr>
            <w:tcW w:w="2131"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宋体" w:hAnsi="宋体" w:cs="宋体" w:eastAsia="宋体" w:hint="default"/>
                <w:sz w:val="18"/>
                <w:szCs w:val="18"/>
              </w:rPr>
              <w:t>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w:t>
            </w:r>
          </w:p>
        </w:tc>
        <w:tc>
          <w:tcPr>
            <w:tcW w:w="2131"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宋体" w:hAnsi="宋体" w:cs="宋体" w:eastAsia="宋体" w:hint="default"/>
                <w:sz w:val="18"/>
                <w:szCs w:val="18"/>
              </w:rPr>
              <w:t>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w:t>
            </w:r>
          </w:p>
        </w:tc>
      </w:tr>
      <w:tr>
        <w:trPr>
          <w:trHeight w:val="359" w:hRule="exact"/>
        </w:trPr>
        <w:tc>
          <w:tcPr>
            <w:tcW w:w="2130"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w:t>
            </w:r>
          </w:p>
        </w:tc>
        <w:tc>
          <w:tcPr>
            <w:tcW w:w="327" w:type="dxa"/>
            <w:tcBorders>
              <w:top w:val="nil" w:sz="6" w:space="0" w:color="auto"/>
              <w:left w:val="single" w:sz="6" w:space="0" w:color="000000"/>
              <w:bottom w:val="nil" w:sz="6" w:space="0" w:color="auto"/>
              <w:right w:val="nil" w:sz="6" w:space="0" w:color="auto"/>
            </w:tcBorders>
          </w:tcPr>
          <w:p>
            <w:pPr/>
          </w:p>
        </w:tc>
        <w:tc>
          <w:tcPr>
            <w:tcW w:w="1803" w:type="dxa"/>
            <w:tcBorders>
              <w:top w:val="nil" w:sz="6" w:space="0" w:color="auto"/>
              <w:left w:val="nil" w:sz="6" w:space="0" w:color="auto"/>
              <w:bottom w:val="nil" w:sz="6" w:space="0" w:color="auto"/>
              <w:right w:val="single" w:sz="6" w:space="0" w:color="000000"/>
            </w:tcBorders>
          </w:tcPr>
          <w:p>
            <w:pPr/>
          </w:p>
        </w:tc>
        <w:tc>
          <w:tcPr>
            <w:tcW w:w="2131"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宋体" w:hAnsi="宋体" w:cs="宋体" w:eastAsia="宋体" w:hint="default"/>
                <w:sz w:val="18"/>
                <w:szCs w:val="18"/>
              </w:rPr>
              <w:t>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w:t>
            </w:r>
          </w:p>
        </w:tc>
        <w:tc>
          <w:tcPr>
            <w:tcW w:w="2131"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宋体" w:hAnsi="宋体" w:cs="宋体" w:eastAsia="宋体" w:hint="default"/>
                <w:sz w:val="18"/>
                <w:szCs w:val="18"/>
              </w:rPr>
              <w:t>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w:t>
            </w:r>
          </w:p>
        </w:tc>
      </w:tr>
      <w:tr>
        <w:trPr>
          <w:trHeight w:val="443" w:hRule="exact"/>
        </w:trPr>
        <w:tc>
          <w:tcPr>
            <w:tcW w:w="2130"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宋体" w:hAnsi="宋体" w:cs="宋体" w:eastAsia="宋体" w:hint="default"/>
                <w:sz w:val="18"/>
                <w:szCs w:val="18"/>
              </w:rPr>
              <w:t>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应</w:t>
            </w:r>
          </w:p>
        </w:tc>
        <w:tc>
          <w:tcPr>
            <w:tcW w:w="327" w:type="dxa"/>
            <w:tcBorders>
              <w:top w:val="nil" w:sz="6" w:space="0" w:color="auto"/>
              <w:left w:val="single" w:sz="6" w:space="0" w:color="000000"/>
              <w:bottom w:val="nil" w:sz="6" w:space="0" w:color="auto"/>
              <w:right w:val="nil" w:sz="6" w:space="0" w:color="auto"/>
            </w:tcBorders>
          </w:tcPr>
          <w:p>
            <w:pPr/>
          </w:p>
        </w:tc>
        <w:tc>
          <w:tcPr>
            <w:tcW w:w="1803"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2131"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宋体" w:hAnsi="宋体" w:cs="宋体" w:eastAsia="宋体" w:hint="default"/>
                <w:sz w:val="18"/>
                <w:szCs w:val="18"/>
              </w:rPr>
              <w:t>余额</w:t>
            </w:r>
            <w:r>
              <w:rPr>
                <w:rFonts w:ascii="Times New Roman" w:hAnsi="Times New Roman" w:cs="Times New Roman" w:eastAsia="Times New Roman" w:hint="default"/>
                <w:sz w:val="18"/>
                <w:szCs w:val="18"/>
              </w:rPr>
              <w:t>1,102,000.00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应收</w:t>
            </w:r>
          </w:p>
        </w:tc>
        <w:tc>
          <w:tcPr>
            <w:tcW w:w="2131"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宋体" w:hAnsi="宋体" w:cs="宋体" w:eastAsia="宋体" w:hint="default"/>
                <w:spacing w:val="-3"/>
                <w:sz w:val="18"/>
                <w:szCs w:val="18"/>
              </w:rPr>
              <w:t>余额</w:t>
            </w:r>
            <w:r>
              <w:rPr>
                <w:rFonts w:ascii="Times New Roman" w:hAnsi="Times New Roman" w:cs="Times New Roman" w:eastAsia="Times New Roman" w:hint="default"/>
                <w:spacing w:val="-3"/>
                <w:sz w:val="18"/>
                <w:szCs w:val="18"/>
              </w:rPr>
              <w:t>202,000.00</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应收账</w:t>
            </w:r>
          </w:p>
        </w:tc>
      </w:tr>
      <w:tr>
        <w:trPr>
          <w:trHeight w:val="274" w:hRule="exact"/>
        </w:trPr>
        <w:tc>
          <w:tcPr>
            <w:tcW w:w="2130" w:type="dxa"/>
            <w:tcBorders>
              <w:top w:val="nil" w:sz="6" w:space="0" w:color="auto"/>
              <w:left w:val="single" w:sz="6" w:space="0" w:color="000000"/>
              <w:bottom w:val="nil" w:sz="6" w:space="0" w:color="auto"/>
              <w:right w:val="single" w:sz="6" w:space="0" w:color="000000"/>
            </w:tcBorders>
          </w:tcPr>
          <w:p>
            <w:pPr>
              <w:pStyle w:val="TableParagraph"/>
              <w:spacing w:line="194" w:lineRule="exact"/>
              <w:ind w:left="2" w:right="0"/>
              <w:jc w:val="left"/>
              <w:rPr>
                <w:rFonts w:ascii="宋体" w:hAnsi="宋体" w:cs="宋体" w:eastAsia="宋体" w:hint="default"/>
                <w:sz w:val="18"/>
                <w:szCs w:val="18"/>
              </w:rPr>
            </w:pPr>
            <w:r>
              <w:rPr>
                <w:rFonts w:ascii="宋体" w:hAnsi="宋体" w:cs="宋体" w:eastAsia="宋体" w:hint="default"/>
                <w:sz w:val="18"/>
                <w:szCs w:val="18"/>
              </w:rPr>
              <w:t>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p>
        </w:tc>
        <w:tc>
          <w:tcPr>
            <w:tcW w:w="327" w:type="dxa"/>
            <w:tcBorders>
              <w:top w:val="nil" w:sz="6" w:space="0" w:color="auto"/>
              <w:left w:val="single" w:sz="6" w:space="0" w:color="000000"/>
              <w:bottom w:val="nil" w:sz="6" w:space="0" w:color="auto"/>
              <w:right w:val="nil" w:sz="6" w:space="0" w:color="auto"/>
            </w:tcBorders>
          </w:tcPr>
          <w:p>
            <w:pPr/>
          </w:p>
        </w:tc>
        <w:tc>
          <w:tcPr>
            <w:tcW w:w="1803" w:type="dxa"/>
            <w:tcBorders>
              <w:top w:val="nil" w:sz="6" w:space="0" w:color="auto"/>
              <w:left w:val="nil" w:sz="6" w:space="0" w:color="auto"/>
              <w:bottom w:val="nil" w:sz="6" w:space="0" w:color="auto"/>
              <w:right w:val="single" w:sz="6" w:space="0" w:color="000000"/>
            </w:tcBorders>
          </w:tcPr>
          <w:p>
            <w:pPr/>
          </w:p>
        </w:tc>
        <w:tc>
          <w:tcPr>
            <w:tcW w:w="2131" w:type="dxa"/>
            <w:tcBorders>
              <w:top w:val="nil" w:sz="6" w:space="0" w:color="auto"/>
              <w:left w:val="single" w:sz="6" w:space="0" w:color="000000"/>
              <w:bottom w:val="nil" w:sz="6" w:space="0" w:color="auto"/>
              <w:right w:val="single" w:sz="6" w:space="0" w:color="000000"/>
            </w:tcBorders>
          </w:tcPr>
          <w:p>
            <w:pPr>
              <w:pStyle w:val="TableParagraph"/>
              <w:spacing w:line="194" w:lineRule="exact"/>
              <w:ind w:left="2" w:right="0"/>
              <w:jc w:val="left"/>
              <w:rPr>
                <w:rFonts w:ascii="宋体" w:hAnsi="宋体" w:cs="宋体" w:eastAsia="宋体" w:hint="default"/>
                <w:sz w:val="18"/>
                <w:szCs w:val="18"/>
              </w:rPr>
            </w:pPr>
            <w:r>
              <w:rPr>
                <w:rFonts w:ascii="宋体" w:hAnsi="宋体" w:cs="宋体" w:eastAsia="宋体" w:hint="default"/>
                <w:sz w:val="18"/>
                <w:szCs w:val="18"/>
              </w:rPr>
              <w:t>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p>
        </w:tc>
        <w:tc>
          <w:tcPr>
            <w:tcW w:w="2131" w:type="dxa"/>
            <w:tcBorders>
              <w:top w:val="nil" w:sz="6" w:space="0" w:color="auto"/>
              <w:left w:val="single" w:sz="6" w:space="0" w:color="000000"/>
              <w:bottom w:val="nil" w:sz="6" w:space="0" w:color="auto"/>
              <w:right w:val="single" w:sz="6" w:space="0" w:color="000000"/>
            </w:tcBorders>
          </w:tcPr>
          <w:p>
            <w:pPr>
              <w:pStyle w:val="TableParagraph"/>
              <w:spacing w:line="194" w:lineRule="exact"/>
              <w:ind w:left="2" w:right="0"/>
              <w:jc w:val="left"/>
              <w:rPr>
                <w:rFonts w:ascii="宋体" w:hAnsi="宋体" w:cs="宋体" w:eastAsia="宋体" w:hint="default"/>
                <w:sz w:val="18"/>
                <w:szCs w:val="18"/>
              </w:rPr>
            </w:pPr>
            <w:r>
              <w:rPr>
                <w:rFonts w:ascii="宋体" w:hAnsi="宋体" w:cs="宋体" w:eastAsia="宋体" w:hint="default"/>
                <w:sz w:val="18"/>
                <w:szCs w:val="18"/>
              </w:rPr>
              <w:t>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p>
        </w:tc>
      </w:tr>
      <w:tr>
        <w:trPr>
          <w:trHeight w:val="359" w:hRule="exact"/>
        </w:trPr>
        <w:tc>
          <w:tcPr>
            <w:tcW w:w="2130"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p>
        </w:tc>
        <w:tc>
          <w:tcPr>
            <w:tcW w:w="327" w:type="dxa"/>
            <w:tcBorders>
              <w:top w:val="nil" w:sz="6" w:space="0" w:color="auto"/>
              <w:left w:val="single" w:sz="6" w:space="0" w:color="000000"/>
              <w:bottom w:val="nil" w:sz="6" w:space="0" w:color="auto"/>
              <w:right w:val="nil" w:sz="6" w:space="0" w:color="auto"/>
            </w:tcBorders>
          </w:tcPr>
          <w:p>
            <w:pPr/>
          </w:p>
        </w:tc>
        <w:tc>
          <w:tcPr>
            <w:tcW w:w="1803" w:type="dxa"/>
            <w:tcBorders>
              <w:top w:val="nil" w:sz="6" w:space="0" w:color="auto"/>
              <w:left w:val="nil" w:sz="6" w:space="0" w:color="auto"/>
              <w:bottom w:val="nil" w:sz="6" w:space="0" w:color="auto"/>
              <w:right w:val="single" w:sz="6" w:space="0" w:color="000000"/>
            </w:tcBorders>
          </w:tcPr>
          <w:p>
            <w:pPr/>
          </w:p>
        </w:tc>
        <w:tc>
          <w:tcPr>
            <w:tcW w:w="2131"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417,074,051.07</w:t>
            </w:r>
            <w:r>
              <w:rPr>
                <w:rFonts w:ascii="宋体" w:hAnsi="宋体" w:cs="宋体" w:eastAsia="宋体" w:hint="default"/>
                <w:sz w:val="18"/>
                <w:szCs w:val="18"/>
              </w:rPr>
              <w:t>元；</w:t>
            </w:r>
          </w:p>
        </w:tc>
        <w:tc>
          <w:tcPr>
            <w:tcW w:w="2131"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308,435,199.25</w:t>
            </w:r>
            <w:r>
              <w:rPr>
                <w:rFonts w:ascii="宋体" w:hAnsi="宋体" w:cs="宋体" w:eastAsia="宋体" w:hint="default"/>
                <w:sz w:val="18"/>
                <w:szCs w:val="18"/>
              </w:rPr>
              <w:t>元；</w:t>
            </w:r>
          </w:p>
        </w:tc>
      </w:tr>
      <w:tr>
        <w:trPr>
          <w:trHeight w:val="359" w:hRule="exact"/>
        </w:trPr>
        <w:tc>
          <w:tcPr>
            <w:tcW w:w="2130"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宋体" w:hAnsi="宋体" w:cs="宋体" w:eastAsia="宋体" w:hint="default"/>
                <w:sz w:val="18"/>
                <w:szCs w:val="18"/>
              </w:rPr>
              <w:t>列示；比较数据相应调整</w:t>
            </w:r>
          </w:p>
        </w:tc>
        <w:tc>
          <w:tcPr>
            <w:tcW w:w="327" w:type="dxa"/>
            <w:tcBorders>
              <w:top w:val="nil" w:sz="6" w:space="0" w:color="auto"/>
              <w:left w:val="single" w:sz="6" w:space="0" w:color="000000"/>
              <w:bottom w:val="nil" w:sz="6" w:space="0" w:color="auto"/>
              <w:right w:val="nil" w:sz="6" w:space="0" w:color="auto"/>
            </w:tcBorders>
          </w:tcPr>
          <w:p>
            <w:pPr>
              <w:pStyle w:val="TableParagraph"/>
              <w:spacing w:line="240" w:lineRule="auto" w:before="29"/>
              <w:ind w:left="-148" w:right="0"/>
              <w:jc w:val="left"/>
              <w:rPr>
                <w:rFonts w:ascii="宋体" w:hAnsi="宋体" w:cs="宋体" w:eastAsia="宋体" w:hint="default"/>
                <w:sz w:val="18"/>
                <w:szCs w:val="18"/>
              </w:rPr>
            </w:pPr>
            <w:r>
              <w:rPr>
                <w:rFonts w:ascii="宋体" w:hAnsi="宋体" w:cs="宋体" w:eastAsia="宋体" w:hint="default"/>
                <w:sz w:val="18"/>
                <w:szCs w:val="18"/>
              </w:rPr>
              <w:t>。</w:t>
            </w:r>
          </w:p>
        </w:tc>
        <w:tc>
          <w:tcPr>
            <w:tcW w:w="1803" w:type="dxa"/>
            <w:tcBorders>
              <w:top w:val="nil" w:sz="6" w:space="0" w:color="auto"/>
              <w:left w:val="nil" w:sz="6" w:space="0" w:color="auto"/>
              <w:bottom w:val="nil" w:sz="6" w:space="0" w:color="auto"/>
              <w:right w:val="single" w:sz="6" w:space="0" w:color="000000"/>
            </w:tcBorders>
          </w:tcPr>
          <w:p>
            <w:pPr/>
          </w:p>
        </w:tc>
        <w:tc>
          <w:tcPr>
            <w:tcW w:w="2131"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w:t>
            </w:r>
          </w:p>
        </w:tc>
        <w:tc>
          <w:tcPr>
            <w:tcW w:w="2131"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w:t>
            </w:r>
          </w:p>
        </w:tc>
      </w:tr>
      <w:tr>
        <w:trPr>
          <w:trHeight w:val="371" w:hRule="exact"/>
        </w:trPr>
        <w:tc>
          <w:tcPr>
            <w:tcW w:w="2130" w:type="dxa"/>
            <w:tcBorders>
              <w:top w:val="nil" w:sz="6" w:space="0" w:color="auto"/>
              <w:left w:val="single" w:sz="6" w:space="0" w:color="000000"/>
              <w:bottom w:val="single" w:sz="6" w:space="0" w:color="000000"/>
              <w:right w:val="single" w:sz="6" w:space="0" w:color="000000"/>
            </w:tcBorders>
          </w:tcPr>
          <w:p>
            <w:pPr/>
          </w:p>
        </w:tc>
        <w:tc>
          <w:tcPr>
            <w:tcW w:w="327" w:type="dxa"/>
            <w:tcBorders>
              <w:top w:val="nil" w:sz="6" w:space="0" w:color="auto"/>
              <w:left w:val="single" w:sz="6" w:space="0" w:color="000000"/>
              <w:bottom w:val="single" w:sz="6" w:space="0" w:color="000000"/>
              <w:right w:val="nil" w:sz="6" w:space="0" w:color="auto"/>
            </w:tcBorders>
          </w:tcPr>
          <w:p>
            <w:pPr/>
          </w:p>
        </w:tc>
        <w:tc>
          <w:tcPr>
            <w:tcW w:w="1803" w:type="dxa"/>
            <w:tcBorders>
              <w:top w:val="nil" w:sz="6" w:space="0" w:color="auto"/>
              <w:left w:val="nil" w:sz="6" w:space="0" w:color="auto"/>
              <w:bottom w:val="single" w:sz="6" w:space="0" w:color="000000"/>
              <w:right w:val="single" w:sz="6" w:space="0" w:color="000000"/>
            </w:tcBorders>
          </w:tcPr>
          <w:p>
            <w:pPr/>
          </w:p>
        </w:tc>
        <w:tc>
          <w:tcPr>
            <w:tcW w:w="213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宋体" w:hAnsi="宋体" w:cs="宋体" w:eastAsia="宋体" w:hint="default"/>
                <w:sz w:val="18"/>
                <w:szCs w:val="18"/>
              </w:rPr>
              <w:t>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w:t>
            </w:r>
          </w:p>
        </w:tc>
        <w:tc>
          <w:tcPr>
            <w:tcW w:w="213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宋体" w:hAnsi="宋体" w:cs="宋体" w:eastAsia="宋体" w:hint="default"/>
                <w:sz w:val="18"/>
                <w:szCs w:val="18"/>
              </w:rPr>
              <w:t>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w:t>
            </w:r>
          </w:p>
        </w:tc>
      </w:tr>
    </w:tbl>
    <w:p>
      <w:pPr>
        <w:spacing w:after="0" w:line="240" w:lineRule="auto"/>
        <w:jc w:val="left"/>
        <w:rPr>
          <w:rFonts w:ascii="宋体" w:hAnsi="宋体" w:cs="宋体" w:eastAsia="宋体" w:hint="default"/>
          <w:sz w:val="18"/>
          <w:szCs w:val="18"/>
        </w:rPr>
        <w:sectPr>
          <w:headerReference w:type="default" r:id="rId27"/>
          <w:footerReference w:type="default" r:id="rId28"/>
          <w:pgSz w:w="11910" w:h="16840"/>
          <w:pgMar w:header="877" w:footer="982" w:top="1100" w:bottom="1180" w:left="980" w:right="0"/>
          <w:pgNumType w:start="104"/>
        </w:sectPr>
      </w:pPr>
    </w:p>
    <w:p>
      <w:pPr>
        <w:spacing w:line="240" w:lineRule="auto" w:before="6"/>
        <w:rPr>
          <w:rFonts w:ascii="宋体" w:hAnsi="宋体" w:cs="宋体" w:eastAsia="宋体" w:hint="default"/>
          <w:sz w:val="24"/>
          <w:szCs w:val="24"/>
        </w:rPr>
      </w:pPr>
    </w:p>
    <w:tbl>
      <w:tblPr>
        <w:tblW w:w="0" w:type="auto"/>
        <w:jc w:val="left"/>
        <w:tblInd w:w="704" w:type="dxa"/>
        <w:tblLayout w:type="fixed"/>
        <w:tblCellMar>
          <w:top w:w="0" w:type="dxa"/>
          <w:left w:w="0" w:type="dxa"/>
          <w:bottom w:w="0" w:type="dxa"/>
          <w:right w:w="0" w:type="dxa"/>
        </w:tblCellMar>
        <w:tblLook w:val="01E0"/>
      </w:tblPr>
      <w:tblGrid>
        <w:gridCol w:w="2130"/>
        <w:gridCol w:w="2130"/>
        <w:gridCol w:w="2131"/>
        <w:gridCol w:w="2131"/>
      </w:tblGrid>
      <w:tr>
        <w:trPr>
          <w:trHeight w:val="381" w:hRule="exact"/>
        </w:trPr>
        <w:tc>
          <w:tcPr>
            <w:tcW w:w="2130" w:type="dxa"/>
            <w:vMerge w:val="restart"/>
            <w:tcBorders>
              <w:top w:val="single" w:sz="6" w:space="0" w:color="000000"/>
              <w:left w:val="single" w:sz="6" w:space="0" w:color="000000"/>
              <w:right w:val="single" w:sz="6" w:space="0" w:color="000000"/>
            </w:tcBorders>
          </w:tcPr>
          <w:p>
            <w:pPr/>
          </w:p>
        </w:tc>
        <w:tc>
          <w:tcPr>
            <w:tcW w:w="2130" w:type="dxa"/>
            <w:vMerge w:val="restart"/>
            <w:tcBorders>
              <w:top w:val="single" w:sz="6" w:space="0" w:color="000000"/>
              <w:left w:val="single" w:sz="6" w:space="0" w:color="000000"/>
              <w:right w:val="single" w:sz="6" w:space="0" w:color="000000"/>
            </w:tcBorders>
          </w:tcPr>
          <w:p>
            <w:pPr/>
          </w:p>
        </w:tc>
        <w:tc>
          <w:tcPr>
            <w:tcW w:w="213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2" w:right="0"/>
              <w:jc w:val="left"/>
              <w:rPr>
                <w:rFonts w:ascii="宋体" w:hAnsi="宋体" w:cs="宋体" w:eastAsia="宋体" w:hint="default"/>
                <w:sz w:val="18"/>
                <w:szCs w:val="18"/>
              </w:rPr>
            </w:pPr>
            <w:r>
              <w:rPr>
                <w:rFonts w:ascii="宋体" w:hAnsi="宋体" w:cs="宋体" w:eastAsia="宋体" w:hint="default"/>
                <w:sz w:val="18"/>
                <w:szCs w:val="18"/>
              </w:rPr>
              <w:t>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w:t>
            </w:r>
          </w:p>
        </w:tc>
        <w:tc>
          <w:tcPr>
            <w:tcW w:w="213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2" w:right="0"/>
              <w:jc w:val="left"/>
              <w:rPr>
                <w:rFonts w:ascii="宋体" w:hAnsi="宋体" w:cs="宋体" w:eastAsia="宋体" w:hint="default"/>
                <w:sz w:val="18"/>
                <w:szCs w:val="18"/>
              </w:rPr>
            </w:pPr>
            <w:r>
              <w:rPr>
                <w:rFonts w:ascii="宋体" w:hAnsi="宋体" w:cs="宋体" w:eastAsia="宋体" w:hint="default"/>
                <w:sz w:val="18"/>
                <w:szCs w:val="18"/>
              </w:rPr>
              <w:t>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w:t>
            </w:r>
          </w:p>
        </w:tc>
      </w:tr>
      <w:tr>
        <w:trPr>
          <w:trHeight w:val="359" w:hRule="exact"/>
        </w:trPr>
        <w:tc>
          <w:tcPr>
            <w:tcW w:w="2130" w:type="dxa"/>
            <w:vMerge/>
            <w:tcBorders>
              <w:left w:val="single" w:sz="6" w:space="0" w:color="000000"/>
              <w:right w:val="single" w:sz="6" w:space="0" w:color="000000"/>
            </w:tcBorders>
          </w:tcPr>
          <w:p>
            <w:pPr/>
          </w:p>
        </w:tc>
        <w:tc>
          <w:tcPr>
            <w:tcW w:w="2130" w:type="dxa"/>
            <w:vMerge/>
            <w:tcBorders>
              <w:left w:val="single" w:sz="6" w:space="0" w:color="000000"/>
              <w:right w:val="single" w:sz="6" w:space="0" w:color="000000"/>
            </w:tcBorders>
          </w:tcPr>
          <w:p>
            <w:pPr/>
          </w:p>
        </w:tc>
        <w:tc>
          <w:tcPr>
            <w:tcW w:w="2131"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宋体" w:hAnsi="宋体" w:cs="宋体" w:eastAsia="宋体" w:hint="default"/>
                <w:sz w:val="18"/>
                <w:szCs w:val="18"/>
              </w:rPr>
              <w:t>余额</w:t>
            </w:r>
            <w:r>
              <w:rPr>
                <w:rFonts w:ascii="Times New Roman" w:hAnsi="Times New Roman" w:cs="Times New Roman" w:eastAsia="Times New Roman" w:hint="default"/>
                <w:sz w:val="18"/>
                <w:szCs w:val="18"/>
              </w:rPr>
              <w:t>46,928,36</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.15</w:t>
            </w:r>
            <w:r>
              <w:rPr>
                <w:rFonts w:ascii="宋体" w:hAnsi="宋体" w:cs="宋体" w:eastAsia="宋体" w:hint="default"/>
                <w:sz w:val="18"/>
                <w:szCs w:val="18"/>
              </w:rPr>
              <w:t>元</w:t>
            </w:r>
            <w:r>
              <w:rPr>
                <w:rFonts w:ascii="宋体" w:hAnsi="宋体" w:cs="宋体" w:eastAsia="宋体" w:hint="default"/>
                <w:spacing w:val="-84"/>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应付</w:t>
            </w:r>
          </w:p>
        </w:tc>
        <w:tc>
          <w:tcPr>
            <w:tcW w:w="2131"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宋体" w:hAnsi="宋体" w:cs="宋体" w:eastAsia="宋体" w:hint="default"/>
                <w:sz w:val="18"/>
                <w:szCs w:val="18"/>
              </w:rPr>
              <w:t>余额</w:t>
            </w:r>
            <w:r>
              <w:rPr>
                <w:rFonts w:ascii="Times New Roman" w:hAnsi="Times New Roman" w:cs="Times New Roman" w:eastAsia="Times New Roman" w:hint="default"/>
                <w:sz w:val="18"/>
                <w:szCs w:val="18"/>
              </w:rPr>
              <w:t>46,928,36</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.15</w:t>
            </w:r>
            <w:r>
              <w:rPr>
                <w:rFonts w:ascii="宋体" w:hAnsi="宋体" w:cs="宋体" w:eastAsia="宋体" w:hint="default"/>
                <w:sz w:val="18"/>
                <w:szCs w:val="18"/>
              </w:rPr>
              <w:t>元</w:t>
            </w:r>
            <w:r>
              <w:rPr>
                <w:rFonts w:ascii="宋体" w:hAnsi="宋体" w:cs="宋体" w:eastAsia="宋体" w:hint="default"/>
                <w:spacing w:val="-84"/>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应付</w:t>
            </w:r>
          </w:p>
        </w:tc>
      </w:tr>
      <w:tr>
        <w:trPr>
          <w:trHeight w:val="359" w:hRule="exact"/>
        </w:trPr>
        <w:tc>
          <w:tcPr>
            <w:tcW w:w="2130" w:type="dxa"/>
            <w:vMerge/>
            <w:tcBorders>
              <w:left w:val="single" w:sz="6" w:space="0" w:color="000000"/>
              <w:right w:val="single" w:sz="6" w:space="0" w:color="000000"/>
            </w:tcBorders>
          </w:tcPr>
          <w:p>
            <w:pPr/>
          </w:p>
        </w:tc>
        <w:tc>
          <w:tcPr>
            <w:tcW w:w="2130" w:type="dxa"/>
            <w:vMerge/>
            <w:tcBorders>
              <w:left w:val="single" w:sz="6" w:space="0" w:color="000000"/>
              <w:right w:val="single" w:sz="6" w:space="0" w:color="000000"/>
            </w:tcBorders>
          </w:tcPr>
          <w:p>
            <w:pPr/>
          </w:p>
        </w:tc>
        <w:tc>
          <w:tcPr>
            <w:tcW w:w="2131"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宋体" w:hAnsi="宋体" w:cs="宋体" w:eastAsia="宋体" w:hint="default"/>
                <w:sz w:val="18"/>
                <w:szCs w:val="18"/>
              </w:rPr>
              <w:t>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p>
        </w:tc>
        <w:tc>
          <w:tcPr>
            <w:tcW w:w="2131"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宋体" w:hAnsi="宋体" w:cs="宋体" w:eastAsia="宋体" w:hint="default"/>
                <w:sz w:val="18"/>
                <w:szCs w:val="18"/>
              </w:rPr>
              <w:t>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p>
        </w:tc>
      </w:tr>
      <w:tr>
        <w:trPr>
          <w:trHeight w:val="372" w:hRule="exact"/>
        </w:trPr>
        <w:tc>
          <w:tcPr>
            <w:tcW w:w="2130" w:type="dxa"/>
            <w:vMerge/>
            <w:tcBorders>
              <w:left w:val="single" w:sz="6" w:space="0" w:color="000000"/>
              <w:bottom w:val="single" w:sz="6" w:space="0" w:color="000000"/>
              <w:right w:val="single" w:sz="6" w:space="0" w:color="000000"/>
            </w:tcBorders>
          </w:tcPr>
          <w:p>
            <w:pPr/>
          </w:p>
        </w:tc>
        <w:tc>
          <w:tcPr>
            <w:tcW w:w="2130" w:type="dxa"/>
            <w:vMerge/>
            <w:tcBorders>
              <w:left w:val="single" w:sz="6" w:space="0" w:color="000000"/>
              <w:bottom w:val="single" w:sz="6" w:space="0" w:color="000000"/>
              <w:right w:val="single" w:sz="6" w:space="0" w:color="000000"/>
            </w:tcBorders>
          </w:tcPr>
          <w:p>
            <w:pPr/>
          </w:p>
        </w:tc>
        <w:tc>
          <w:tcPr>
            <w:tcW w:w="213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168,650,977.27</w:t>
            </w:r>
            <w:r>
              <w:rPr>
                <w:rFonts w:ascii="宋体" w:hAnsi="宋体" w:cs="宋体" w:eastAsia="宋体" w:hint="default"/>
                <w:sz w:val="18"/>
                <w:szCs w:val="18"/>
              </w:rPr>
              <w:t>元。</w:t>
            </w:r>
          </w:p>
        </w:tc>
        <w:tc>
          <w:tcPr>
            <w:tcW w:w="213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171,119,375.99</w:t>
            </w:r>
            <w:r>
              <w:rPr>
                <w:rFonts w:ascii="宋体" w:hAnsi="宋体" w:cs="宋体" w:eastAsia="宋体" w:hint="default"/>
                <w:sz w:val="18"/>
                <w:szCs w:val="18"/>
              </w:rPr>
              <w:t>元。</w:t>
            </w:r>
          </w:p>
        </w:tc>
      </w:tr>
    </w:tbl>
    <w:p>
      <w:pPr>
        <w:spacing w:line="240" w:lineRule="auto" w:before="1"/>
        <w:rPr>
          <w:rFonts w:ascii="宋体" w:hAnsi="宋体" w:cs="宋体" w:eastAsia="宋体" w:hint="default"/>
          <w:sz w:val="14"/>
          <w:szCs w:val="14"/>
        </w:rPr>
      </w:pPr>
    </w:p>
    <w:p>
      <w:pPr>
        <w:pStyle w:val="BodyText"/>
        <w:spacing w:line="240" w:lineRule="auto" w:before="35"/>
        <w:ind w:left="574" w:right="0"/>
        <w:jc w:val="left"/>
      </w:pPr>
      <w:r>
        <w:rPr>
          <w:rFonts w:ascii="Times New Roman" w:hAnsi="Times New Roman" w:cs="Times New Roman" w:eastAsia="Times New Roman" w:hint="default"/>
        </w:rPr>
        <w:t>2</w:t>
      </w:r>
      <w:r>
        <w:rPr/>
        <w:t>、执行《企业会计准则第</w:t>
      </w:r>
      <w:r>
        <w:rPr>
          <w:rFonts w:ascii="Times New Roman" w:hAnsi="Times New Roman" w:cs="Times New Roman" w:eastAsia="Times New Roman" w:hint="default"/>
        </w:rPr>
        <w:t>22</w:t>
      </w:r>
      <w:r>
        <w:rPr/>
        <w:t>号——金融工具确认和计量》《企业会计准则第</w:t>
      </w:r>
      <w:r>
        <w:rPr>
          <w:rFonts w:ascii="Times New Roman" w:hAnsi="Times New Roman" w:cs="Times New Roman" w:eastAsia="Times New Roman" w:hint="default"/>
        </w:rPr>
        <w:t>23</w:t>
      </w:r>
      <w:r>
        <w:rPr/>
        <w:t>号——金融资产转移》</w:t>
      </w:r>
    </w:p>
    <w:p>
      <w:pPr>
        <w:pStyle w:val="BodyText"/>
        <w:spacing w:line="386" w:lineRule="auto" w:before="177"/>
        <w:ind w:left="573" w:right="1126" w:hanging="420"/>
        <w:jc w:val="left"/>
      </w:pPr>
      <w:r>
        <w:rPr/>
        <w:t>《企业会计准则第</w:t>
      </w:r>
      <w:r>
        <w:rPr>
          <w:rFonts w:ascii="Times New Roman" w:hAnsi="Times New Roman" w:cs="Times New Roman" w:eastAsia="Times New Roman" w:hint="default"/>
        </w:rPr>
        <w:t>24</w:t>
      </w:r>
      <w:r>
        <w:rPr/>
        <w:t>号——套期会计》和《企业会计准则第</w:t>
      </w:r>
      <w:r>
        <w:rPr>
          <w:rFonts w:ascii="Times New Roman" w:hAnsi="Times New Roman" w:cs="Times New Roman" w:eastAsia="Times New Roman" w:hint="default"/>
        </w:rPr>
        <w:t>37</w:t>
      </w:r>
      <w:r>
        <w:rPr/>
        <w:t>号——金融工具列报》（</w:t>
      </w:r>
      <w:r>
        <w:rPr>
          <w:rFonts w:ascii="Times New Roman" w:hAnsi="Times New Roman" w:cs="Times New Roman" w:eastAsia="Times New Roman" w:hint="default"/>
        </w:rPr>
        <w:t>2017</w:t>
      </w:r>
      <w:r>
        <w:rPr/>
        <w:t>年修订） </w:t>
      </w:r>
      <w:r>
        <w:rPr>
          <w:spacing w:val="-5"/>
        </w:rPr>
        <w:t>财政部于</w:t>
      </w:r>
      <w:r>
        <w:rPr>
          <w:rFonts w:ascii="Times New Roman" w:hAnsi="Times New Roman" w:cs="Times New Roman" w:eastAsia="Times New Roman" w:hint="default"/>
          <w:spacing w:val="-5"/>
        </w:rPr>
        <w:t>2017</w:t>
      </w:r>
      <w:r>
        <w:rPr>
          <w:spacing w:val="-5"/>
        </w:rPr>
        <w:t>年度修订了《企业会计准则第</w:t>
      </w:r>
      <w:r>
        <w:rPr>
          <w:rFonts w:ascii="Times New Roman" w:hAnsi="Times New Roman" w:cs="Times New Roman" w:eastAsia="Times New Roman" w:hint="default"/>
          <w:spacing w:val="-5"/>
        </w:rPr>
        <w:t>22</w:t>
      </w:r>
      <w:r>
        <w:rPr>
          <w:spacing w:val="-5"/>
        </w:rPr>
        <w:t>号——金融工具确认和计量》《企业会计准则第</w:t>
      </w:r>
      <w:r>
        <w:rPr>
          <w:rFonts w:ascii="Times New Roman" w:hAnsi="Times New Roman" w:cs="Times New Roman" w:eastAsia="Times New Roman" w:hint="default"/>
          <w:spacing w:val="-5"/>
        </w:rPr>
        <w:t>23</w:t>
      </w:r>
      <w:r>
        <w:rPr>
          <w:spacing w:val="-5"/>
        </w:rPr>
        <w:t>号——</w:t>
      </w:r>
    </w:p>
    <w:p>
      <w:pPr>
        <w:pStyle w:val="BodyText"/>
        <w:spacing w:line="400" w:lineRule="auto" w:before="35"/>
        <w:ind w:left="153" w:right="1131"/>
        <w:jc w:val="both"/>
      </w:pPr>
      <w:r>
        <w:rPr>
          <w:spacing w:val="-1"/>
        </w:rPr>
        <w:t>金融资产转移》《企业会计准则第</w:t>
      </w:r>
      <w:r>
        <w:rPr>
          <w:rFonts w:ascii="Times New Roman" w:hAnsi="Times New Roman" w:cs="Times New Roman" w:eastAsia="Times New Roman" w:hint="default"/>
          <w:spacing w:val="-1"/>
        </w:rPr>
        <w:t>24</w:t>
      </w:r>
      <w:r>
        <w:rPr>
          <w:spacing w:val="-1"/>
        </w:rPr>
        <w:t>号——套期会计》和《企业会计准则第</w:t>
      </w:r>
      <w:r>
        <w:rPr>
          <w:rFonts w:ascii="Times New Roman" w:hAnsi="Times New Roman" w:cs="Times New Roman" w:eastAsia="Times New Roman" w:hint="default"/>
          <w:spacing w:val="-1"/>
        </w:rPr>
        <w:t>37</w:t>
      </w:r>
      <w:r>
        <w:rPr>
          <w:spacing w:val="-1"/>
        </w:rPr>
        <w:t>号——金融工具列报》。修</w:t>
      </w:r>
      <w:r>
        <w:rPr>
          <w:spacing w:val="-87"/>
        </w:rPr>
        <w:t> </w:t>
      </w:r>
      <w:r>
        <w:rPr>
          <w:spacing w:val="-87"/>
        </w:rPr>
      </w:r>
      <w:r>
        <w:rPr>
          <w:spacing w:val="-1"/>
        </w:rPr>
        <w:t>订后的准则规定，对于首次执行日尚未终止确认的金融工具，之前的确认和计量与修订后的准则要求不一</w:t>
      </w:r>
      <w:r>
        <w:rPr>
          <w:spacing w:val="-81"/>
        </w:rPr>
        <w:t> </w:t>
      </w:r>
      <w:r>
        <w:rPr>
          <w:spacing w:val="-81"/>
        </w:rPr>
      </w:r>
      <w:r>
        <w:rPr>
          <w:spacing w:val="-1"/>
        </w:rPr>
        <w:t>致的，应当追溯调整。涉及前期比较财务报表数据与修订后的准则要求不一致的，无需调整。本公司将因</w:t>
      </w:r>
      <w:r>
        <w:rPr>
          <w:spacing w:val="-82"/>
        </w:rPr>
        <w:t> </w:t>
      </w:r>
      <w:r>
        <w:rPr>
          <w:spacing w:val="-82"/>
        </w:rPr>
      </w:r>
      <w:r>
        <w:rPr/>
        <w:t>追溯调整产生的累积影响数调整当年年初留存收益和其他综合收益。</w:t>
      </w:r>
    </w:p>
    <w:p>
      <w:pPr>
        <w:pStyle w:val="BodyText"/>
        <w:spacing w:line="386" w:lineRule="auto" w:before="52"/>
        <w:ind w:left="153" w:right="1113" w:firstLine="420"/>
        <w:jc w:val="left"/>
      </w:pPr>
      <w:r>
        <w:rPr/>
        <w:t>以按照财会〔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号和财会〔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t>号的规定调整后的上年年末余额为基础，执行上述新金融 工具准则的主要影响如下：</w:t>
      </w:r>
    </w:p>
    <w:tbl>
      <w:tblPr>
        <w:tblW w:w="0" w:type="auto"/>
        <w:jc w:val="left"/>
        <w:tblInd w:w="704" w:type="dxa"/>
        <w:tblLayout w:type="fixed"/>
        <w:tblCellMar>
          <w:top w:w="0" w:type="dxa"/>
          <w:left w:w="0" w:type="dxa"/>
          <w:bottom w:w="0" w:type="dxa"/>
          <w:right w:w="0" w:type="dxa"/>
        </w:tblCellMar>
        <w:tblLook w:val="01E0"/>
      </w:tblPr>
      <w:tblGrid>
        <w:gridCol w:w="2130"/>
        <w:gridCol w:w="2130"/>
        <w:gridCol w:w="2131"/>
        <w:gridCol w:w="2131"/>
      </w:tblGrid>
      <w:tr>
        <w:trPr>
          <w:trHeight w:val="394" w:hRule="exact"/>
        </w:trPr>
        <w:tc>
          <w:tcPr>
            <w:tcW w:w="2130" w:type="dxa"/>
            <w:vMerge w:val="restart"/>
            <w:tcBorders>
              <w:top w:val="single" w:sz="6" w:space="0" w:color="000000"/>
              <w:left w:val="single" w:sz="6" w:space="0" w:color="000000"/>
              <w:right w:val="single" w:sz="6" w:space="0" w:color="000000"/>
            </w:tcBorders>
            <w:shd w:val="clear" w:color="auto" w:fill="D9D9D9"/>
          </w:tcPr>
          <w:p>
            <w:pPr>
              <w:pStyle w:val="TableParagraph"/>
              <w:spacing w:line="364" w:lineRule="auto" w:before="61"/>
              <w:ind w:left="966" w:right="61" w:hanging="903"/>
              <w:jc w:val="left"/>
              <w:rPr>
                <w:rFonts w:ascii="宋体" w:hAnsi="宋体" w:cs="宋体" w:eastAsia="宋体" w:hint="default"/>
                <w:sz w:val="18"/>
                <w:szCs w:val="18"/>
              </w:rPr>
            </w:pPr>
            <w:r>
              <w:rPr>
                <w:rFonts w:ascii="宋体" w:hAnsi="宋体" w:cs="宋体" w:eastAsia="宋体" w:hint="default"/>
                <w:b/>
                <w:bCs/>
                <w:sz w:val="18"/>
                <w:szCs w:val="18"/>
              </w:rPr>
              <w:t>会计政策变更的内容和原</w:t>
            </w:r>
            <w:r>
              <w:rPr>
                <w:rFonts w:ascii="宋体" w:hAnsi="宋体" w:cs="宋体" w:eastAsia="宋体" w:hint="default"/>
                <w:b/>
                <w:bCs/>
                <w:spacing w:val="1"/>
                <w:w w:val="99"/>
                <w:sz w:val="18"/>
                <w:szCs w:val="18"/>
              </w:rPr>
              <w:t> </w:t>
            </w:r>
            <w:r>
              <w:rPr>
                <w:rFonts w:ascii="宋体" w:hAnsi="宋体" w:cs="宋体" w:eastAsia="宋体" w:hint="default"/>
                <w:b/>
                <w:bCs/>
                <w:sz w:val="18"/>
                <w:szCs w:val="18"/>
              </w:rPr>
              <w:t>因</w:t>
            </w:r>
            <w:r>
              <w:rPr>
                <w:rFonts w:ascii="宋体" w:hAnsi="宋体" w:cs="宋体" w:eastAsia="宋体" w:hint="default"/>
                <w:sz w:val="18"/>
                <w:szCs w:val="18"/>
              </w:rPr>
            </w:r>
          </w:p>
        </w:tc>
        <w:tc>
          <w:tcPr>
            <w:tcW w:w="213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95" w:right="0"/>
              <w:jc w:val="left"/>
              <w:rPr>
                <w:rFonts w:ascii="宋体" w:hAnsi="宋体" w:cs="宋体" w:eastAsia="宋体" w:hint="default"/>
                <w:sz w:val="18"/>
                <w:szCs w:val="18"/>
              </w:rPr>
            </w:pPr>
            <w:r>
              <w:rPr>
                <w:rFonts w:ascii="宋体" w:hAnsi="宋体" w:cs="宋体" w:eastAsia="宋体" w:hint="default"/>
                <w:b/>
                <w:bCs/>
                <w:sz w:val="18"/>
                <w:szCs w:val="18"/>
              </w:rPr>
              <w:t>审批程序</w:t>
            </w:r>
            <w:r>
              <w:rPr>
                <w:rFonts w:ascii="宋体" w:hAnsi="宋体" w:cs="宋体" w:eastAsia="宋体" w:hint="default"/>
                <w:sz w:val="18"/>
                <w:szCs w:val="18"/>
              </w:rPr>
            </w:r>
          </w:p>
        </w:tc>
        <w:tc>
          <w:tcPr>
            <w:tcW w:w="4262"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949" w:right="0"/>
              <w:jc w:val="left"/>
              <w:rPr>
                <w:rFonts w:ascii="宋体" w:hAnsi="宋体" w:cs="宋体" w:eastAsia="宋体" w:hint="default"/>
                <w:sz w:val="18"/>
                <w:szCs w:val="18"/>
              </w:rPr>
            </w:pPr>
            <w:r>
              <w:rPr>
                <w:rFonts w:ascii="宋体" w:hAnsi="宋体" w:cs="宋体" w:eastAsia="宋体" w:hint="default"/>
                <w:b/>
                <w:bCs/>
                <w:sz w:val="18"/>
                <w:szCs w:val="18"/>
              </w:rPr>
              <w:t>受影响的报表项目名称和金额</w:t>
            </w:r>
            <w:r>
              <w:rPr>
                <w:rFonts w:ascii="宋体" w:hAnsi="宋体" w:cs="宋体" w:eastAsia="宋体" w:hint="default"/>
                <w:sz w:val="18"/>
                <w:szCs w:val="18"/>
              </w:rPr>
            </w:r>
          </w:p>
        </w:tc>
      </w:tr>
      <w:tr>
        <w:trPr>
          <w:trHeight w:val="394" w:hRule="exact"/>
        </w:trPr>
        <w:tc>
          <w:tcPr>
            <w:tcW w:w="2130" w:type="dxa"/>
            <w:vMerge/>
            <w:tcBorders>
              <w:left w:val="single" w:sz="6" w:space="0" w:color="000000"/>
              <w:bottom w:val="single" w:sz="6" w:space="0" w:color="000000"/>
              <w:right w:val="single" w:sz="6" w:space="0" w:color="000000"/>
            </w:tcBorders>
            <w:shd w:val="clear" w:color="auto" w:fill="D9D9D9"/>
          </w:tcPr>
          <w:p>
            <w:pPr/>
          </w:p>
        </w:tc>
        <w:tc>
          <w:tcPr>
            <w:tcW w:w="2130" w:type="dxa"/>
            <w:vMerge/>
            <w:tcBorders>
              <w:left w:val="single" w:sz="6" w:space="0" w:color="000000"/>
              <w:bottom w:val="single" w:sz="6" w:space="0" w:color="000000"/>
              <w:right w:val="single" w:sz="6" w:space="0" w:color="000000"/>
            </w:tcBorders>
            <w:shd w:val="clear" w:color="auto" w:fill="D9D9D9"/>
          </w:tcPr>
          <w:p>
            <w:pPr/>
          </w:p>
        </w:tc>
        <w:tc>
          <w:tcPr>
            <w:tcW w:w="21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21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381" w:hRule="exact"/>
        </w:trPr>
        <w:tc>
          <w:tcPr>
            <w:tcW w:w="213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）非交易性的可供出售</w:t>
            </w:r>
          </w:p>
        </w:tc>
        <w:tc>
          <w:tcPr>
            <w:tcW w:w="2130" w:type="dxa"/>
            <w:tcBorders>
              <w:top w:val="single" w:sz="6" w:space="0" w:color="000000"/>
              <w:left w:val="single" w:sz="6" w:space="0" w:color="000000"/>
              <w:bottom w:val="nil" w:sz="6" w:space="0" w:color="auto"/>
              <w:right w:val="single" w:sz="6" w:space="0" w:color="000000"/>
            </w:tcBorders>
          </w:tcPr>
          <w:p>
            <w:pPr/>
          </w:p>
        </w:tc>
        <w:tc>
          <w:tcPr>
            <w:tcW w:w="213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留存收益增加</w:t>
            </w:r>
            <w:r>
              <w:rPr>
                <w:rFonts w:ascii="Times New Roman" w:hAnsi="Times New Roman" w:cs="Times New Roman" w:eastAsia="Times New Roman" w:hint="default"/>
                <w:sz w:val="18"/>
                <w:szCs w:val="18"/>
              </w:rPr>
              <w:t>2,136,862.60</w:t>
            </w:r>
          </w:p>
        </w:tc>
        <w:tc>
          <w:tcPr>
            <w:tcW w:w="213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留存收益增加</w:t>
            </w:r>
            <w:r>
              <w:rPr>
                <w:rFonts w:ascii="Times New Roman" w:hAnsi="Times New Roman" w:cs="Times New Roman" w:eastAsia="Times New Roman" w:hint="default"/>
                <w:sz w:val="18"/>
                <w:szCs w:val="18"/>
              </w:rPr>
              <w:t>2,136,862.60</w:t>
            </w:r>
          </w:p>
        </w:tc>
      </w:tr>
      <w:tr>
        <w:trPr>
          <w:trHeight w:val="359" w:hRule="exact"/>
        </w:trPr>
        <w:tc>
          <w:tcPr>
            <w:tcW w:w="2130"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宋体" w:hAnsi="宋体" w:cs="宋体" w:eastAsia="宋体" w:hint="default"/>
                <w:sz w:val="18"/>
                <w:szCs w:val="18"/>
              </w:rPr>
              <w:t>权益工具投资指定为</w:t>
            </w:r>
            <w:r>
              <w:rPr>
                <w:rFonts w:ascii="Times New Roman" w:hAnsi="Times New Roman" w:cs="Times New Roman" w:eastAsia="Times New Roman" w:hint="default"/>
                <w:sz w:val="18"/>
                <w:szCs w:val="18"/>
              </w:rPr>
              <w:t>“</w:t>
            </w:r>
            <w:r>
              <w:rPr>
                <w:rFonts w:ascii="宋体" w:hAnsi="宋体" w:cs="宋体" w:eastAsia="宋体" w:hint="default"/>
                <w:sz w:val="18"/>
                <w:szCs w:val="18"/>
              </w:rPr>
              <w:t>以公</w:t>
            </w:r>
          </w:p>
        </w:tc>
        <w:tc>
          <w:tcPr>
            <w:tcW w:w="2130" w:type="dxa"/>
            <w:tcBorders>
              <w:top w:val="nil" w:sz="6" w:space="0" w:color="auto"/>
              <w:left w:val="single" w:sz="6" w:space="0" w:color="000000"/>
              <w:bottom w:val="nil" w:sz="6" w:space="0" w:color="auto"/>
              <w:right w:val="single" w:sz="6" w:space="0" w:color="000000"/>
            </w:tcBorders>
          </w:tcPr>
          <w:p>
            <w:pPr/>
          </w:p>
        </w:tc>
        <w:tc>
          <w:tcPr>
            <w:tcW w:w="2131"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2131"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354" w:hRule="exact"/>
        </w:trPr>
        <w:tc>
          <w:tcPr>
            <w:tcW w:w="2130"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宋体" w:hAnsi="宋体" w:cs="宋体" w:eastAsia="宋体" w:hint="default"/>
                <w:sz w:val="18"/>
                <w:szCs w:val="18"/>
              </w:rPr>
              <w:t>允价值计量且其变动计入</w:t>
            </w:r>
          </w:p>
        </w:tc>
        <w:tc>
          <w:tcPr>
            <w:tcW w:w="2130" w:type="dxa"/>
            <w:tcBorders>
              <w:top w:val="nil" w:sz="6" w:space="0" w:color="auto"/>
              <w:left w:val="single" w:sz="6" w:space="0" w:color="000000"/>
              <w:bottom w:val="nil" w:sz="6" w:space="0" w:color="auto"/>
              <w:right w:val="single" w:sz="6" w:space="0" w:color="000000"/>
            </w:tcBorders>
          </w:tcPr>
          <w:p>
            <w:pPr/>
          </w:p>
        </w:tc>
        <w:tc>
          <w:tcPr>
            <w:tcW w:w="2131"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宋体" w:hAnsi="宋体" w:cs="宋体" w:eastAsia="宋体" w:hint="default"/>
                <w:sz w:val="18"/>
                <w:szCs w:val="18"/>
              </w:rPr>
              <w:t>其他综合收益减少</w:t>
            </w:r>
          </w:p>
        </w:tc>
        <w:tc>
          <w:tcPr>
            <w:tcW w:w="2131"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宋体" w:hAnsi="宋体" w:cs="宋体" w:eastAsia="宋体" w:hint="default"/>
                <w:sz w:val="18"/>
                <w:szCs w:val="18"/>
              </w:rPr>
              <w:t>其他综合收益减少</w:t>
            </w:r>
          </w:p>
        </w:tc>
      </w:tr>
      <w:tr>
        <w:trPr>
          <w:trHeight w:val="364" w:hRule="exact"/>
        </w:trPr>
        <w:tc>
          <w:tcPr>
            <w:tcW w:w="213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8"/>
                <w:szCs w:val="18"/>
              </w:rPr>
            </w:pPr>
            <w:r>
              <w:rPr>
                <w:rFonts w:ascii="宋体" w:hAnsi="宋体" w:cs="宋体" w:eastAsia="宋体" w:hint="default"/>
                <w:sz w:val="18"/>
                <w:szCs w:val="18"/>
              </w:rPr>
              <w:t>其他综合收益的金融资</w:t>
            </w:r>
          </w:p>
        </w:tc>
        <w:tc>
          <w:tcPr>
            <w:tcW w:w="2130" w:type="dxa"/>
            <w:tcBorders>
              <w:top w:val="nil" w:sz="6" w:space="0" w:color="auto"/>
              <w:left w:val="single" w:sz="6" w:space="0" w:color="000000"/>
              <w:bottom w:val="nil" w:sz="6" w:space="0" w:color="auto"/>
              <w:right w:val="single" w:sz="6" w:space="0" w:color="000000"/>
            </w:tcBorders>
          </w:tcPr>
          <w:p>
            <w:pPr/>
          </w:p>
        </w:tc>
        <w:tc>
          <w:tcPr>
            <w:tcW w:w="2131"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2,353,610.11</w:t>
            </w:r>
            <w:r>
              <w:rPr>
                <w:rFonts w:ascii="宋体" w:hAnsi="宋体" w:cs="宋体" w:eastAsia="宋体" w:hint="default"/>
                <w:sz w:val="18"/>
                <w:szCs w:val="18"/>
              </w:rPr>
              <w:t>元；</w:t>
            </w:r>
          </w:p>
        </w:tc>
        <w:tc>
          <w:tcPr>
            <w:tcW w:w="2131"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2,353,610.11</w:t>
            </w:r>
            <w:r>
              <w:rPr>
                <w:rFonts w:ascii="宋体" w:hAnsi="宋体" w:cs="宋体" w:eastAsia="宋体" w:hint="default"/>
                <w:sz w:val="18"/>
                <w:szCs w:val="18"/>
              </w:rPr>
              <w:t>元；</w:t>
            </w:r>
          </w:p>
        </w:tc>
      </w:tr>
      <w:tr>
        <w:trPr>
          <w:trHeight w:val="444" w:hRule="exact"/>
        </w:trPr>
        <w:tc>
          <w:tcPr>
            <w:tcW w:w="2130"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宋体" w:hAnsi="宋体" w:cs="宋体" w:eastAsia="宋体" w:hint="default"/>
                <w:sz w:val="18"/>
                <w:szCs w:val="18"/>
              </w:rPr>
              <w:t>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30" w:type="dxa"/>
            <w:tcBorders>
              <w:top w:val="nil" w:sz="6" w:space="0" w:color="auto"/>
              <w:left w:val="single" w:sz="6" w:space="0" w:color="000000"/>
              <w:bottom w:val="nil" w:sz="6" w:space="0" w:color="auto"/>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2131"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p>
        </w:tc>
        <w:tc>
          <w:tcPr>
            <w:tcW w:w="2131"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p>
        </w:tc>
      </w:tr>
      <w:tr>
        <w:trPr>
          <w:trHeight w:val="274" w:hRule="exact"/>
        </w:trPr>
        <w:tc>
          <w:tcPr>
            <w:tcW w:w="2130" w:type="dxa"/>
            <w:tcBorders>
              <w:top w:val="nil" w:sz="6" w:space="0" w:color="auto"/>
              <w:left w:val="single" w:sz="6" w:space="0" w:color="000000"/>
              <w:bottom w:val="nil" w:sz="6" w:space="0" w:color="auto"/>
              <w:right w:val="single" w:sz="6" w:space="0" w:color="000000"/>
            </w:tcBorders>
          </w:tcPr>
          <w:p>
            <w:pPr/>
          </w:p>
        </w:tc>
        <w:tc>
          <w:tcPr>
            <w:tcW w:w="2130" w:type="dxa"/>
            <w:tcBorders>
              <w:top w:val="nil" w:sz="6" w:space="0" w:color="auto"/>
              <w:left w:val="single" w:sz="6" w:space="0" w:color="000000"/>
              <w:bottom w:val="nil" w:sz="6" w:space="0" w:color="auto"/>
              <w:right w:val="single" w:sz="6" w:space="0" w:color="000000"/>
            </w:tcBorders>
          </w:tcPr>
          <w:p>
            <w:pPr/>
          </w:p>
        </w:tc>
        <w:tc>
          <w:tcPr>
            <w:tcW w:w="2131" w:type="dxa"/>
            <w:tcBorders>
              <w:top w:val="nil" w:sz="6" w:space="0" w:color="auto"/>
              <w:left w:val="single" w:sz="6" w:space="0" w:color="000000"/>
              <w:bottom w:val="nil" w:sz="6" w:space="0" w:color="auto"/>
              <w:right w:val="single" w:sz="6" w:space="0" w:color="000000"/>
            </w:tcBorders>
          </w:tcPr>
          <w:p>
            <w:pPr>
              <w:pStyle w:val="TableParagraph"/>
              <w:spacing w:line="193"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216,747.51</w:t>
            </w:r>
            <w:r>
              <w:rPr>
                <w:rFonts w:ascii="宋体" w:hAnsi="宋体" w:cs="宋体" w:eastAsia="宋体" w:hint="default"/>
                <w:sz w:val="18"/>
                <w:szCs w:val="18"/>
              </w:rPr>
              <w:t>元；</w:t>
            </w:r>
          </w:p>
        </w:tc>
        <w:tc>
          <w:tcPr>
            <w:tcW w:w="2131" w:type="dxa"/>
            <w:tcBorders>
              <w:top w:val="nil" w:sz="6" w:space="0" w:color="auto"/>
              <w:left w:val="single" w:sz="6" w:space="0" w:color="000000"/>
              <w:bottom w:val="nil" w:sz="6" w:space="0" w:color="auto"/>
              <w:right w:val="single" w:sz="6" w:space="0" w:color="000000"/>
            </w:tcBorders>
          </w:tcPr>
          <w:p>
            <w:pPr>
              <w:pStyle w:val="TableParagraph"/>
              <w:spacing w:line="193"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216,747.51</w:t>
            </w:r>
            <w:r>
              <w:rPr>
                <w:rFonts w:ascii="宋体" w:hAnsi="宋体" w:cs="宋体" w:eastAsia="宋体" w:hint="default"/>
                <w:sz w:val="18"/>
                <w:szCs w:val="18"/>
              </w:rPr>
              <w:t>元；</w:t>
            </w:r>
          </w:p>
        </w:tc>
      </w:tr>
      <w:tr>
        <w:trPr>
          <w:trHeight w:val="354" w:hRule="exact"/>
        </w:trPr>
        <w:tc>
          <w:tcPr>
            <w:tcW w:w="2130" w:type="dxa"/>
            <w:tcBorders>
              <w:top w:val="nil" w:sz="6" w:space="0" w:color="auto"/>
              <w:left w:val="single" w:sz="6" w:space="0" w:color="000000"/>
              <w:bottom w:val="nil" w:sz="6" w:space="0" w:color="auto"/>
              <w:right w:val="single" w:sz="6" w:space="0" w:color="000000"/>
            </w:tcBorders>
          </w:tcPr>
          <w:p>
            <w:pPr/>
          </w:p>
        </w:tc>
        <w:tc>
          <w:tcPr>
            <w:tcW w:w="2130" w:type="dxa"/>
            <w:tcBorders>
              <w:top w:val="nil" w:sz="6" w:space="0" w:color="auto"/>
              <w:left w:val="single" w:sz="6" w:space="0" w:color="000000"/>
              <w:bottom w:val="nil" w:sz="6" w:space="0" w:color="auto"/>
              <w:right w:val="single" w:sz="6" w:space="0" w:color="000000"/>
            </w:tcBorders>
          </w:tcPr>
          <w:p>
            <w:pPr/>
          </w:p>
        </w:tc>
        <w:tc>
          <w:tcPr>
            <w:tcW w:w="2131"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可供出售金融资产减少</w:t>
            </w:r>
          </w:p>
        </w:tc>
        <w:tc>
          <w:tcPr>
            <w:tcW w:w="2131"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可供出售金融资产减少</w:t>
            </w:r>
          </w:p>
        </w:tc>
      </w:tr>
      <w:tr>
        <w:trPr>
          <w:trHeight w:val="364" w:hRule="exact"/>
        </w:trPr>
        <w:tc>
          <w:tcPr>
            <w:tcW w:w="2130" w:type="dxa"/>
            <w:tcBorders>
              <w:top w:val="nil" w:sz="6" w:space="0" w:color="auto"/>
              <w:left w:val="single" w:sz="6" w:space="0" w:color="000000"/>
              <w:bottom w:val="nil" w:sz="6" w:space="0" w:color="auto"/>
              <w:right w:val="single" w:sz="6" w:space="0" w:color="000000"/>
            </w:tcBorders>
          </w:tcPr>
          <w:p>
            <w:pPr/>
          </w:p>
        </w:tc>
        <w:tc>
          <w:tcPr>
            <w:tcW w:w="2130" w:type="dxa"/>
            <w:tcBorders>
              <w:top w:val="nil" w:sz="6" w:space="0" w:color="auto"/>
              <w:left w:val="single" w:sz="6" w:space="0" w:color="000000"/>
              <w:bottom w:val="nil" w:sz="6" w:space="0" w:color="auto"/>
              <w:right w:val="single" w:sz="6" w:space="0" w:color="000000"/>
            </w:tcBorders>
          </w:tcPr>
          <w:p>
            <w:pPr/>
          </w:p>
        </w:tc>
        <w:tc>
          <w:tcPr>
            <w:tcW w:w="2131"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18,060,000.00</w:t>
            </w:r>
            <w:r>
              <w:rPr>
                <w:rFonts w:ascii="宋体" w:hAnsi="宋体" w:cs="宋体" w:eastAsia="宋体" w:hint="default"/>
                <w:sz w:val="18"/>
                <w:szCs w:val="18"/>
              </w:rPr>
              <w:t>元；其他权益</w:t>
            </w:r>
          </w:p>
        </w:tc>
        <w:tc>
          <w:tcPr>
            <w:tcW w:w="2131"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18,060,000.00</w:t>
            </w:r>
            <w:r>
              <w:rPr>
                <w:rFonts w:ascii="宋体" w:hAnsi="宋体" w:cs="宋体" w:eastAsia="宋体" w:hint="default"/>
                <w:sz w:val="18"/>
                <w:szCs w:val="18"/>
              </w:rPr>
              <w:t>元；其他权益</w:t>
            </w:r>
          </w:p>
        </w:tc>
      </w:tr>
      <w:tr>
        <w:trPr>
          <w:trHeight w:val="354" w:hRule="exact"/>
        </w:trPr>
        <w:tc>
          <w:tcPr>
            <w:tcW w:w="2130" w:type="dxa"/>
            <w:tcBorders>
              <w:top w:val="nil" w:sz="6" w:space="0" w:color="auto"/>
              <w:left w:val="single" w:sz="6" w:space="0" w:color="000000"/>
              <w:bottom w:val="nil" w:sz="6" w:space="0" w:color="auto"/>
              <w:right w:val="single" w:sz="6" w:space="0" w:color="000000"/>
            </w:tcBorders>
          </w:tcPr>
          <w:p>
            <w:pPr/>
          </w:p>
        </w:tc>
        <w:tc>
          <w:tcPr>
            <w:tcW w:w="2130" w:type="dxa"/>
            <w:tcBorders>
              <w:top w:val="nil" w:sz="6" w:space="0" w:color="auto"/>
              <w:left w:val="single" w:sz="6" w:space="0" w:color="000000"/>
              <w:bottom w:val="nil" w:sz="6" w:space="0" w:color="auto"/>
              <w:right w:val="single" w:sz="6" w:space="0" w:color="000000"/>
            </w:tcBorders>
          </w:tcPr>
          <w:p>
            <w:pPr/>
          </w:p>
        </w:tc>
        <w:tc>
          <w:tcPr>
            <w:tcW w:w="2131"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宋体" w:hAnsi="宋体" w:cs="宋体" w:eastAsia="宋体" w:hint="default"/>
                <w:sz w:val="18"/>
                <w:szCs w:val="18"/>
              </w:rPr>
              <w:t>工具投资增加</w:t>
            </w:r>
          </w:p>
        </w:tc>
        <w:tc>
          <w:tcPr>
            <w:tcW w:w="2131"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宋体" w:hAnsi="宋体" w:cs="宋体" w:eastAsia="宋体" w:hint="default"/>
                <w:sz w:val="18"/>
                <w:szCs w:val="18"/>
              </w:rPr>
              <w:t>工具投资增加</w:t>
            </w:r>
          </w:p>
        </w:tc>
      </w:tr>
      <w:tr>
        <w:trPr>
          <w:trHeight w:val="376" w:hRule="exact"/>
        </w:trPr>
        <w:tc>
          <w:tcPr>
            <w:tcW w:w="2130" w:type="dxa"/>
            <w:tcBorders>
              <w:top w:val="nil" w:sz="6" w:space="0" w:color="auto"/>
              <w:left w:val="single" w:sz="6" w:space="0" w:color="000000"/>
              <w:bottom w:val="single" w:sz="6" w:space="0" w:color="000000"/>
              <w:right w:val="single" w:sz="6" w:space="0" w:color="000000"/>
            </w:tcBorders>
          </w:tcPr>
          <w:p>
            <w:pPr/>
          </w:p>
        </w:tc>
        <w:tc>
          <w:tcPr>
            <w:tcW w:w="2130" w:type="dxa"/>
            <w:tcBorders>
              <w:top w:val="nil" w:sz="6" w:space="0" w:color="auto"/>
              <w:left w:val="single" w:sz="6" w:space="0" w:color="000000"/>
              <w:bottom w:val="single" w:sz="6" w:space="0" w:color="000000"/>
              <w:right w:val="single" w:sz="6" w:space="0" w:color="000000"/>
            </w:tcBorders>
          </w:tcPr>
          <w:p>
            <w:pPr/>
          </w:p>
        </w:tc>
        <w:tc>
          <w:tcPr>
            <w:tcW w:w="213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4"/>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18,060,000.00</w:t>
            </w:r>
            <w:r>
              <w:rPr>
                <w:rFonts w:ascii="宋体" w:hAnsi="宋体" w:cs="宋体" w:eastAsia="宋体" w:hint="default"/>
                <w:sz w:val="18"/>
                <w:szCs w:val="18"/>
              </w:rPr>
              <w:t>元。</w:t>
            </w:r>
          </w:p>
        </w:tc>
        <w:tc>
          <w:tcPr>
            <w:tcW w:w="213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4"/>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18,060,000.00</w:t>
            </w:r>
            <w:r>
              <w:rPr>
                <w:rFonts w:ascii="宋体" w:hAnsi="宋体" w:cs="宋体" w:eastAsia="宋体" w:hint="default"/>
                <w:sz w:val="18"/>
                <w:szCs w:val="18"/>
              </w:rPr>
              <w:t>元。</w:t>
            </w:r>
          </w:p>
        </w:tc>
      </w:tr>
      <w:tr>
        <w:trPr>
          <w:trHeight w:val="825" w:hRule="exact"/>
        </w:trPr>
        <w:tc>
          <w:tcPr>
            <w:tcW w:w="2130" w:type="dxa"/>
            <w:tcBorders>
              <w:top w:val="single" w:sz="6" w:space="0" w:color="000000"/>
              <w:left w:val="single" w:sz="6" w:space="0" w:color="000000"/>
              <w:bottom w:val="nil" w:sz="6" w:space="0" w:color="auto"/>
              <w:right w:val="single" w:sz="6" w:space="0" w:color="000000"/>
            </w:tcBorders>
          </w:tcPr>
          <w:p>
            <w:pPr>
              <w:pStyle w:val="TableParagraph"/>
              <w:spacing w:line="345" w:lineRule="auto" w:before="44"/>
              <w:ind w:left="2" w:right="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）原归类为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以摊余成本</w:t>
            </w:r>
            <w:r>
              <w:rPr>
                <w:rFonts w:ascii="宋体" w:hAnsi="宋体" w:cs="宋体" w:eastAsia="宋体" w:hint="default"/>
                <w:spacing w:val="-79"/>
                <w:sz w:val="18"/>
                <w:szCs w:val="18"/>
              </w:rPr>
              <w:t> </w:t>
            </w:r>
            <w:r>
              <w:rPr>
                <w:rFonts w:ascii="宋体" w:hAnsi="宋体" w:cs="宋体" w:eastAsia="宋体" w:hint="default"/>
                <w:sz w:val="18"/>
                <w:szCs w:val="18"/>
              </w:rPr>
              <w:t>计量的金融资产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的部分应</w:t>
            </w:r>
          </w:p>
        </w:tc>
        <w:tc>
          <w:tcPr>
            <w:tcW w:w="2130" w:type="dxa"/>
            <w:tcBorders>
              <w:top w:val="single" w:sz="6" w:space="0" w:color="000000"/>
              <w:left w:val="single" w:sz="6" w:space="0" w:color="000000"/>
              <w:bottom w:val="nil" w:sz="6" w:space="0" w:color="auto"/>
              <w:right w:val="single" w:sz="6" w:space="0" w:color="000000"/>
            </w:tcBorders>
          </w:tcPr>
          <w:p>
            <w:pPr/>
          </w:p>
        </w:tc>
        <w:tc>
          <w:tcPr>
            <w:tcW w:w="2131" w:type="dxa"/>
            <w:tcBorders>
              <w:top w:val="single" w:sz="6" w:space="0" w:color="000000"/>
              <w:left w:val="single" w:sz="6" w:space="0" w:color="000000"/>
              <w:bottom w:val="nil" w:sz="6" w:space="0" w:color="auto"/>
              <w:right w:val="single" w:sz="6" w:space="0" w:color="000000"/>
            </w:tcBorders>
          </w:tcPr>
          <w:p>
            <w:pPr>
              <w:pStyle w:val="TableParagraph"/>
              <w:spacing w:line="340" w:lineRule="atLeast" w:before="133"/>
              <w:ind w:left="2" w:right="221"/>
              <w:jc w:val="left"/>
              <w:rPr>
                <w:rFonts w:ascii="宋体" w:hAnsi="宋体" w:cs="宋体" w:eastAsia="宋体" w:hint="default"/>
                <w:sz w:val="18"/>
                <w:szCs w:val="18"/>
              </w:rPr>
            </w:pPr>
            <w:r>
              <w:rPr>
                <w:rFonts w:ascii="宋体" w:hAnsi="宋体" w:cs="宋体" w:eastAsia="宋体" w:hint="default"/>
                <w:sz w:val="18"/>
                <w:szCs w:val="18"/>
              </w:rPr>
              <w:t>应收票据减少</w:t>
            </w:r>
            <w:r>
              <w:rPr>
                <w:rFonts w:ascii="Times New Roman" w:hAnsi="Times New Roman" w:cs="Times New Roman" w:eastAsia="Times New Roman" w:hint="default"/>
                <w:sz w:val="18"/>
                <w:szCs w:val="18"/>
              </w:rPr>
              <w:t>900,000.00 </w:t>
            </w:r>
            <w:r>
              <w:rPr>
                <w:rFonts w:ascii="宋体" w:hAnsi="宋体" w:cs="宋体" w:eastAsia="宋体" w:hint="default"/>
                <w:sz w:val="18"/>
                <w:szCs w:val="18"/>
              </w:rPr>
              <w:t>元；</w:t>
            </w:r>
          </w:p>
        </w:tc>
        <w:tc>
          <w:tcPr>
            <w:tcW w:w="2131" w:type="dxa"/>
            <w:vMerge w:val="restart"/>
            <w:tcBorders>
              <w:top w:val="single" w:sz="6" w:space="0" w:color="000000"/>
              <w:left w:val="single" w:sz="6" w:space="0" w:color="000000"/>
              <w:right w:val="single" w:sz="6" w:space="0" w:color="000000"/>
            </w:tcBorders>
          </w:tcPr>
          <w:p>
            <w:pPr/>
          </w:p>
        </w:tc>
      </w:tr>
      <w:tr>
        <w:trPr>
          <w:trHeight w:val="359" w:hRule="exact"/>
        </w:trPr>
        <w:tc>
          <w:tcPr>
            <w:tcW w:w="2130" w:type="dxa"/>
            <w:tcBorders>
              <w:top w:val="nil" w:sz="6" w:space="0" w:color="auto"/>
              <w:left w:val="single" w:sz="6" w:space="0" w:color="000000"/>
              <w:bottom w:val="nil" w:sz="6" w:space="0" w:color="auto"/>
              <w:right w:val="single" w:sz="6" w:space="0" w:color="000000"/>
            </w:tcBorders>
          </w:tcPr>
          <w:p>
            <w:pPr>
              <w:pStyle w:val="TableParagraph"/>
              <w:spacing w:line="193" w:lineRule="exact"/>
              <w:ind w:left="2" w:right="0"/>
              <w:jc w:val="left"/>
              <w:rPr>
                <w:rFonts w:ascii="宋体" w:hAnsi="宋体" w:cs="宋体" w:eastAsia="宋体" w:hint="default"/>
                <w:sz w:val="18"/>
                <w:szCs w:val="18"/>
              </w:rPr>
            </w:pPr>
            <w:r>
              <w:rPr>
                <w:rFonts w:ascii="宋体" w:hAnsi="宋体" w:cs="宋体" w:eastAsia="宋体" w:hint="default"/>
                <w:sz w:val="18"/>
                <w:szCs w:val="18"/>
              </w:rPr>
              <w:t>收款项，调整为</w:t>
            </w:r>
            <w:r>
              <w:rPr>
                <w:rFonts w:ascii="Times New Roman" w:hAnsi="Times New Roman" w:cs="Times New Roman" w:eastAsia="Times New Roman" w:hint="default"/>
                <w:sz w:val="18"/>
                <w:szCs w:val="18"/>
              </w:rPr>
              <w:t>“</w:t>
            </w:r>
            <w:r>
              <w:rPr>
                <w:rFonts w:ascii="宋体" w:hAnsi="宋体" w:cs="宋体" w:eastAsia="宋体" w:hint="default"/>
                <w:sz w:val="18"/>
                <w:szCs w:val="18"/>
              </w:rPr>
              <w:t>以公允价</w:t>
            </w:r>
          </w:p>
        </w:tc>
        <w:tc>
          <w:tcPr>
            <w:tcW w:w="2130" w:type="dxa"/>
            <w:tcBorders>
              <w:top w:val="nil" w:sz="6" w:space="0" w:color="auto"/>
              <w:left w:val="single" w:sz="6" w:space="0" w:color="000000"/>
              <w:bottom w:val="nil" w:sz="6" w:space="0" w:color="auto"/>
              <w:right w:val="single" w:sz="6" w:space="0" w:color="000000"/>
            </w:tcBorders>
          </w:tcPr>
          <w:p>
            <w:pPr>
              <w:pStyle w:val="TableParagraph"/>
              <w:spacing w:line="179" w:lineRule="exact"/>
              <w:ind w:right="1"/>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2131" w:type="dxa"/>
            <w:tcBorders>
              <w:top w:val="nil" w:sz="6" w:space="0" w:color="auto"/>
              <w:left w:val="single" w:sz="6" w:space="0" w:color="000000"/>
              <w:bottom w:val="nil" w:sz="6" w:space="0" w:color="auto"/>
              <w:right w:val="single" w:sz="6" w:space="0" w:color="000000"/>
            </w:tcBorders>
          </w:tcPr>
          <w:p>
            <w:pPr>
              <w:pStyle w:val="TableParagraph"/>
              <w:spacing w:line="240" w:lineRule="auto" w:before="124"/>
              <w:ind w:left="2" w:right="0"/>
              <w:jc w:val="left"/>
              <w:rPr>
                <w:rFonts w:ascii="宋体" w:hAnsi="宋体" w:cs="宋体" w:eastAsia="宋体" w:hint="default"/>
                <w:sz w:val="18"/>
                <w:szCs w:val="18"/>
              </w:rPr>
            </w:pPr>
            <w:r>
              <w:rPr>
                <w:rFonts w:ascii="宋体" w:hAnsi="宋体" w:cs="宋体" w:eastAsia="宋体" w:hint="default"/>
                <w:sz w:val="18"/>
                <w:szCs w:val="18"/>
              </w:rPr>
              <w:t>应收款项融资增加</w:t>
            </w:r>
          </w:p>
        </w:tc>
        <w:tc>
          <w:tcPr>
            <w:tcW w:w="2131" w:type="dxa"/>
            <w:vMerge/>
            <w:tcBorders>
              <w:left w:val="single" w:sz="6" w:space="0" w:color="000000"/>
              <w:right w:val="single" w:sz="6" w:space="0" w:color="000000"/>
            </w:tcBorders>
          </w:tcPr>
          <w:p>
            <w:pPr/>
          </w:p>
        </w:tc>
      </w:tr>
      <w:tr>
        <w:trPr>
          <w:trHeight w:val="179" w:hRule="exact"/>
        </w:trPr>
        <w:tc>
          <w:tcPr>
            <w:tcW w:w="2130" w:type="dxa"/>
            <w:tcBorders>
              <w:top w:val="nil" w:sz="6" w:space="0" w:color="auto"/>
              <w:left w:val="single" w:sz="6" w:space="0" w:color="000000"/>
              <w:bottom w:val="nil" w:sz="6" w:space="0" w:color="auto"/>
              <w:right w:val="single" w:sz="6" w:space="0" w:color="000000"/>
            </w:tcBorders>
          </w:tcPr>
          <w:p>
            <w:pPr>
              <w:pStyle w:val="TableParagraph"/>
              <w:spacing w:line="179" w:lineRule="exact"/>
              <w:ind w:left="2" w:right="0"/>
              <w:jc w:val="left"/>
              <w:rPr>
                <w:rFonts w:ascii="宋体" w:hAnsi="宋体" w:cs="宋体" w:eastAsia="宋体" w:hint="default"/>
                <w:sz w:val="18"/>
                <w:szCs w:val="18"/>
              </w:rPr>
            </w:pPr>
            <w:r>
              <w:rPr>
                <w:rFonts w:ascii="宋体" w:hAnsi="宋体" w:cs="宋体" w:eastAsia="宋体" w:hint="default"/>
                <w:sz w:val="18"/>
                <w:szCs w:val="18"/>
              </w:rPr>
              <w:t>值计量且其变动计入其他</w:t>
            </w:r>
          </w:p>
        </w:tc>
        <w:tc>
          <w:tcPr>
            <w:tcW w:w="2130" w:type="dxa"/>
            <w:tcBorders>
              <w:top w:val="nil" w:sz="6" w:space="0" w:color="auto"/>
              <w:left w:val="single" w:sz="6" w:space="0" w:color="000000"/>
              <w:bottom w:val="nil" w:sz="6" w:space="0" w:color="auto"/>
              <w:right w:val="single" w:sz="6" w:space="0" w:color="000000"/>
            </w:tcBorders>
          </w:tcPr>
          <w:p>
            <w:pPr/>
          </w:p>
        </w:tc>
        <w:tc>
          <w:tcPr>
            <w:tcW w:w="2131" w:type="dxa"/>
            <w:tcBorders>
              <w:top w:val="nil" w:sz="6" w:space="0" w:color="auto"/>
              <w:left w:val="single" w:sz="6" w:space="0" w:color="000000"/>
              <w:bottom w:val="nil" w:sz="6" w:space="0" w:color="auto"/>
              <w:right w:val="single" w:sz="6" w:space="0" w:color="000000"/>
            </w:tcBorders>
          </w:tcPr>
          <w:p>
            <w:pPr/>
          </w:p>
        </w:tc>
        <w:tc>
          <w:tcPr>
            <w:tcW w:w="2131" w:type="dxa"/>
            <w:vMerge/>
            <w:tcBorders>
              <w:left w:val="single" w:sz="6" w:space="0" w:color="000000"/>
              <w:right w:val="single" w:sz="6" w:space="0" w:color="000000"/>
            </w:tcBorders>
          </w:tcPr>
          <w:p>
            <w:pPr/>
          </w:p>
        </w:tc>
      </w:tr>
      <w:tr>
        <w:trPr>
          <w:trHeight w:val="467" w:hRule="exact"/>
        </w:trPr>
        <w:tc>
          <w:tcPr>
            <w:tcW w:w="213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3"/>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综合收益的金融资产</w:t>
            </w:r>
            <w:r>
              <w:rPr>
                <w:rFonts w:ascii="Times New Roman" w:hAnsi="Times New Roman" w:cs="Times New Roman" w:eastAsia="Times New Roman" w:hint="default"/>
                <w:sz w:val="18"/>
                <w:szCs w:val="18"/>
              </w:rPr>
              <w:t>”</w:t>
            </w:r>
          </w:p>
        </w:tc>
        <w:tc>
          <w:tcPr>
            <w:tcW w:w="2130" w:type="dxa"/>
            <w:tcBorders>
              <w:top w:val="nil" w:sz="6" w:space="0" w:color="auto"/>
              <w:left w:val="single" w:sz="6" w:space="0" w:color="000000"/>
              <w:bottom w:val="single" w:sz="6" w:space="0" w:color="000000"/>
              <w:right w:val="single" w:sz="6" w:space="0" w:color="000000"/>
            </w:tcBorders>
          </w:tcPr>
          <w:p>
            <w:pPr/>
          </w:p>
        </w:tc>
        <w:tc>
          <w:tcPr>
            <w:tcW w:w="2131" w:type="dxa"/>
            <w:tcBorders>
              <w:top w:val="nil" w:sz="6" w:space="0" w:color="auto"/>
              <w:left w:val="single" w:sz="6" w:space="0" w:color="000000"/>
              <w:bottom w:val="single" w:sz="6" w:space="0" w:color="000000"/>
              <w:right w:val="single" w:sz="6" w:space="0" w:color="000000"/>
            </w:tcBorders>
          </w:tcPr>
          <w:p>
            <w:pPr>
              <w:pStyle w:val="TableParagraph"/>
              <w:spacing w:line="194"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900,000.00</w:t>
            </w:r>
            <w:r>
              <w:rPr>
                <w:rFonts w:ascii="宋体" w:hAnsi="宋体" w:cs="宋体" w:eastAsia="宋体" w:hint="default"/>
                <w:sz w:val="18"/>
                <w:szCs w:val="18"/>
              </w:rPr>
              <w:t>元。</w:t>
            </w:r>
          </w:p>
        </w:tc>
        <w:tc>
          <w:tcPr>
            <w:tcW w:w="2131" w:type="dxa"/>
            <w:vMerge/>
            <w:tcBorders>
              <w:left w:val="single" w:sz="6" w:space="0" w:color="000000"/>
              <w:bottom w:val="single" w:sz="6" w:space="0" w:color="000000"/>
              <w:right w:val="single" w:sz="6" w:space="0" w:color="000000"/>
            </w:tcBorders>
          </w:tcPr>
          <w:p>
            <w:pPr/>
          </w:p>
        </w:tc>
      </w:tr>
      <w:tr>
        <w:trPr>
          <w:trHeight w:val="465" w:hRule="exact"/>
        </w:trPr>
        <w:tc>
          <w:tcPr>
            <w:tcW w:w="213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3"/>
              <w:ind w:left="2"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）原归类为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以摊余成本</w:t>
            </w:r>
          </w:p>
        </w:tc>
        <w:tc>
          <w:tcPr>
            <w:tcW w:w="2130" w:type="dxa"/>
            <w:tcBorders>
              <w:top w:val="single" w:sz="6" w:space="0" w:color="000000"/>
              <w:left w:val="single" w:sz="6" w:space="0" w:color="000000"/>
              <w:bottom w:val="nil" w:sz="6" w:space="0" w:color="auto"/>
              <w:right w:val="single" w:sz="6" w:space="0" w:color="000000"/>
            </w:tcBorders>
          </w:tcPr>
          <w:p>
            <w:pPr/>
          </w:p>
        </w:tc>
        <w:tc>
          <w:tcPr>
            <w:tcW w:w="213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其他流动资产减少</w:t>
            </w:r>
          </w:p>
        </w:tc>
        <w:tc>
          <w:tcPr>
            <w:tcW w:w="213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其他流动资产减少</w:t>
            </w:r>
          </w:p>
        </w:tc>
      </w:tr>
      <w:tr>
        <w:trPr>
          <w:trHeight w:val="718" w:hRule="exact"/>
        </w:trPr>
        <w:tc>
          <w:tcPr>
            <w:tcW w:w="2130" w:type="dxa"/>
            <w:tcBorders>
              <w:top w:val="nil" w:sz="6" w:space="0" w:color="auto"/>
              <w:left w:val="single" w:sz="6" w:space="0" w:color="000000"/>
              <w:bottom w:val="nil" w:sz="6" w:space="0" w:color="auto"/>
              <w:right w:val="single" w:sz="6" w:space="0" w:color="000000"/>
            </w:tcBorders>
          </w:tcPr>
          <w:p>
            <w:pPr>
              <w:pStyle w:val="TableParagraph"/>
              <w:spacing w:line="193" w:lineRule="exact"/>
              <w:ind w:left="2" w:right="0"/>
              <w:jc w:val="left"/>
              <w:rPr>
                <w:rFonts w:ascii="宋体" w:hAnsi="宋体" w:cs="宋体" w:eastAsia="宋体" w:hint="default"/>
                <w:sz w:val="18"/>
                <w:szCs w:val="18"/>
              </w:rPr>
            </w:pPr>
            <w:r>
              <w:rPr>
                <w:rFonts w:ascii="宋体" w:hAnsi="宋体" w:cs="宋体" w:eastAsia="宋体" w:hint="default"/>
                <w:sz w:val="18"/>
                <w:szCs w:val="18"/>
              </w:rPr>
              <w:t>计量的金融资产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的部分其</w:t>
            </w:r>
          </w:p>
          <w:p>
            <w:pPr>
              <w:pStyle w:val="TableParagraph"/>
              <w:spacing w:line="240" w:lineRule="auto" w:before="109"/>
              <w:ind w:left="2" w:right="0"/>
              <w:jc w:val="left"/>
              <w:rPr>
                <w:rFonts w:ascii="宋体" w:hAnsi="宋体" w:cs="宋体" w:eastAsia="宋体" w:hint="default"/>
                <w:sz w:val="18"/>
                <w:szCs w:val="18"/>
              </w:rPr>
            </w:pPr>
            <w:r>
              <w:rPr>
                <w:rFonts w:ascii="宋体" w:hAnsi="宋体" w:cs="宋体" w:eastAsia="宋体" w:hint="default"/>
                <w:sz w:val="18"/>
                <w:szCs w:val="18"/>
              </w:rPr>
              <w:t>他流动资产，调整为</w:t>
            </w:r>
            <w:r>
              <w:rPr>
                <w:rFonts w:ascii="Times New Roman" w:hAnsi="Times New Roman" w:cs="Times New Roman" w:eastAsia="Times New Roman" w:hint="default"/>
                <w:sz w:val="18"/>
                <w:szCs w:val="18"/>
              </w:rPr>
              <w:t>“</w:t>
            </w:r>
            <w:r>
              <w:rPr>
                <w:rFonts w:ascii="宋体" w:hAnsi="宋体" w:cs="宋体" w:eastAsia="宋体" w:hint="default"/>
                <w:sz w:val="18"/>
                <w:szCs w:val="18"/>
              </w:rPr>
              <w:t>以公</w:t>
            </w:r>
          </w:p>
        </w:tc>
        <w:tc>
          <w:tcPr>
            <w:tcW w:w="213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2131" w:type="dxa"/>
            <w:tcBorders>
              <w:top w:val="nil" w:sz="6" w:space="0" w:color="auto"/>
              <w:left w:val="single" w:sz="6" w:space="0" w:color="000000"/>
              <w:bottom w:val="nil" w:sz="6" w:space="0" w:color="auto"/>
              <w:right w:val="single" w:sz="6" w:space="0" w:color="000000"/>
            </w:tcBorders>
          </w:tcPr>
          <w:p>
            <w:pPr>
              <w:pStyle w:val="TableParagraph"/>
              <w:spacing w:line="240" w:lineRule="auto" w:before="124"/>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166,000,000.00</w:t>
            </w:r>
            <w:r>
              <w:rPr>
                <w:rFonts w:ascii="宋体" w:hAnsi="宋体" w:cs="宋体" w:eastAsia="宋体" w:hint="default"/>
                <w:sz w:val="18"/>
                <w:szCs w:val="18"/>
              </w:rPr>
              <w:t>元；</w:t>
            </w:r>
          </w:p>
          <w:p>
            <w:pPr>
              <w:pStyle w:val="TableParagraph"/>
              <w:spacing w:line="240" w:lineRule="auto" w:before="109"/>
              <w:ind w:left="2" w:right="0"/>
              <w:jc w:val="left"/>
              <w:rPr>
                <w:rFonts w:ascii="宋体" w:hAnsi="宋体" w:cs="宋体" w:eastAsia="宋体" w:hint="default"/>
                <w:sz w:val="18"/>
                <w:szCs w:val="18"/>
              </w:rPr>
            </w:pPr>
            <w:r>
              <w:rPr>
                <w:rFonts w:ascii="宋体" w:hAnsi="宋体" w:cs="宋体" w:eastAsia="宋体" w:hint="default"/>
                <w:sz w:val="18"/>
                <w:szCs w:val="18"/>
              </w:rPr>
              <w:t>交易性金融资产增加</w:t>
            </w:r>
          </w:p>
        </w:tc>
        <w:tc>
          <w:tcPr>
            <w:tcW w:w="2131" w:type="dxa"/>
            <w:tcBorders>
              <w:top w:val="nil" w:sz="6" w:space="0" w:color="auto"/>
              <w:left w:val="single" w:sz="6" w:space="0" w:color="000000"/>
              <w:bottom w:val="nil" w:sz="6" w:space="0" w:color="auto"/>
              <w:right w:val="single" w:sz="6" w:space="0" w:color="000000"/>
            </w:tcBorders>
          </w:tcPr>
          <w:p>
            <w:pPr>
              <w:pStyle w:val="TableParagraph"/>
              <w:spacing w:line="240" w:lineRule="auto" w:before="124"/>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146,000,000.00</w:t>
            </w:r>
            <w:r>
              <w:rPr>
                <w:rFonts w:ascii="宋体" w:hAnsi="宋体" w:cs="宋体" w:eastAsia="宋体" w:hint="default"/>
                <w:sz w:val="18"/>
                <w:szCs w:val="18"/>
              </w:rPr>
              <w:t>；</w:t>
            </w:r>
          </w:p>
          <w:p>
            <w:pPr>
              <w:pStyle w:val="TableParagraph"/>
              <w:spacing w:line="240" w:lineRule="auto" w:before="109"/>
              <w:ind w:left="2" w:right="0"/>
              <w:jc w:val="left"/>
              <w:rPr>
                <w:rFonts w:ascii="宋体" w:hAnsi="宋体" w:cs="宋体" w:eastAsia="宋体" w:hint="default"/>
                <w:sz w:val="18"/>
                <w:szCs w:val="18"/>
              </w:rPr>
            </w:pPr>
            <w:r>
              <w:rPr>
                <w:rFonts w:ascii="宋体" w:hAnsi="宋体" w:cs="宋体" w:eastAsia="宋体" w:hint="default"/>
                <w:sz w:val="18"/>
                <w:szCs w:val="18"/>
              </w:rPr>
              <w:t>交易性金融资产增加</w:t>
            </w:r>
          </w:p>
        </w:tc>
      </w:tr>
      <w:tr>
        <w:trPr>
          <w:trHeight w:val="179" w:hRule="exact"/>
        </w:trPr>
        <w:tc>
          <w:tcPr>
            <w:tcW w:w="2130" w:type="dxa"/>
            <w:tcBorders>
              <w:top w:val="nil" w:sz="6" w:space="0" w:color="auto"/>
              <w:left w:val="single" w:sz="6" w:space="0" w:color="000000"/>
              <w:bottom w:val="nil" w:sz="6" w:space="0" w:color="auto"/>
              <w:right w:val="single" w:sz="6" w:space="0" w:color="000000"/>
            </w:tcBorders>
          </w:tcPr>
          <w:p>
            <w:pPr>
              <w:pStyle w:val="TableParagraph"/>
              <w:spacing w:line="179" w:lineRule="exact"/>
              <w:ind w:left="2" w:right="0"/>
              <w:jc w:val="left"/>
              <w:rPr>
                <w:rFonts w:ascii="宋体" w:hAnsi="宋体" w:cs="宋体" w:eastAsia="宋体" w:hint="default"/>
                <w:sz w:val="18"/>
                <w:szCs w:val="18"/>
              </w:rPr>
            </w:pPr>
            <w:r>
              <w:rPr>
                <w:rFonts w:ascii="宋体" w:hAnsi="宋体" w:cs="宋体" w:eastAsia="宋体" w:hint="default"/>
                <w:sz w:val="18"/>
                <w:szCs w:val="18"/>
              </w:rPr>
              <w:t>允价值计量且其变动计入</w:t>
            </w:r>
          </w:p>
        </w:tc>
        <w:tc>
          <w:tcPr>
            <w:tcW w:w="2130" w:type="dxa"/>
            <w:tcBorders>
              <w:top w:val="nil" w:sz="6" w:space="0" w:color="auto"/>
              <w:left w:val="single" w:sz="6" w:space="0" w:color="000000"/>
              <w:bottom w:val="nil" w:sz="6" w:space="0" w:color="auto"/>
              <w:right w:val="single" w:sz="6" w:space="0" w:color="000000"/>
            </w:tcBorders>
          </w:tcPr>
          <w:p>
            <w:pPr/>
          </w:p>
        </w:tc>
        <w:tc>
          <w:tcPr>
            <w:tcW w:w="2131" w:type="dxa"/>
            <w:tcBorders>
              <w:top w:val="nil" w:sz="6" w:space="0" w:color="auto"/>
              <w:left w:val="single" w:sz="6" w:space="0" w:color="000000"/>
              <w:bottom w:val="nil" w:sz="6" w:space="0" w:color="auto"/>
              <w:right w:val="single" w:sz="6" w:space="0" w:color="000000"/>
            </w:tcBorders>
          </w:tcPr>
          <w:p>
            <w:pPr/>
          </w:p>
        </w:tc>
        <w:tc>
          <w:tcPr>
            <w:tcW w:w="2131" w:type="dxa"/>
            <w:tcBorders>
              <w:top w:val="nil" w:sz="6" w:space="0" w:color="auto"/>
              <w:left w:val="single" w:sz="6" w:space="0" w:color="000000"/>
              <w:bottom w:val="nil" w:sz="6" w:space="0" w:color="auto"/>
              <w:right w:val="single" w:sz="6" w:space="0" w:color="000000"/>
            </w:tcBorders>
          </w:tcPr>
          <w:p>
            <w:pPr/>
          </w:p>
        </w:tc>
      </w:tr>
      <w:tr>
        <w:trPr>
          <w:trHeight w:val="467" w:hRule="exact"/>
        </w:trPr>
        <w:tc>
          <w:tcPr>
            <w:tcW w:w="213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3"/>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当期损益的金融资产</w:t>
            </w:r>
            <w:r>
              <w:rPr>
                <w:rFonts w:ascii="Times New Roman" w:hAnsi="Times New Roman" w:cs="Times New Roman" w:eastAsia="Times New Roman" w:hint="default"/>
                <w:sz w:val="18"/>
                <w:szCs w:val="18"/>
              </w:rPr>
              <w:t>”</w:t>
            </w:r>
          </w:p>
        </w:tc>
        <w:tc>
          <w:tcPr>
            <w:tcW w:w="2130" w:type="dxa"/>
            <w:tcBorders>
              <w:top w:val="nil" w:sz="6" w:space="0" w:color="auto"/>
              <w:left w:val="single" w:sz="6" w:space="0" w:color="000000"/>
              <w:bottom w:val="single" w:sz="6" w:space="0" w:color="000000"/>
              <w:right w:val="single" w:sz="6" w:space="0" w:color="000000"/>
            </w:tcBorders>
          </w:tcPr>
          <w:p>
            <w:pPr/>
          </w:p>
        </w:tc>
        <w:tc>
          <w:tcPr>
            <w:tcW w:w="2131" w:type="dxa"/>
            <w:tcBorders>
              <w:top w:val="nil" w:sz="6" w:space="0" w:color="auto"/>
              <w:left w:val="single" w:sz="6" w:space="0" w:color="000000"/>
              <w:bottom w:val="single" w:sz="6" w:space="0" w:color="000000"/>
              <w:right w:val="single" w:sz="6" w:space="0" w:color="000000"/>
            </w:tcBorders>
          </w:tcPr>
          <w:p>
            <w:pPr>
              <w:pStyle w:val="TableParagraph"/>
              <w:spacing w:line="194"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166,000,000.00</w:t>
            </w:r>
            <w:r>
              <w:rPr>
                <w:rFonts w:ascii="宋体" w:hAnsi="宋体" w:cs="宋体" w:eastAsia="宋体" w:hint="default"/>
                <w:sz w:val="18"/>
                <w:szCs w:val="18"/>
              </w:rPr>
              <w:t>元。</w:t>
            </w:r>
          </w:p>
        </w:tc>
        <w:tc>
          <w:tcPr>
            <w:tcW w:w="2131" w:type="dxa"/>
            <w:tcBorders>
              <w:top w:val="nil" w:sz="6" w:space="0" w:color="auto"/>
              <w:left w:val="single" w:sz="6" w:space="0" w:color="000000"/>
              <w:bottom w:val="single" w:sz="6" w:space="0" w:color="000000"/>
              <w:right w:val="single" w:sz="6" w:space="0" w:color="000000"/>
            </w:tcBorders>
          </w:tcPr>
          <w:p>
            <w:pPr>
              <w:pStyle w:val="TableParagraph"/>
              <w:spacing w:line="194"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146,000,000.00</w:t>
            </w:r>
            <w:r>
              <w:rPr>
                <w:rFonts w:ascii="宋体" w:hAnsi="宋体" w:cs="宋体" w:eastAsia="宋体" w:hint="default"/>
                <w:sz w:val="18"/>
                <w:szCs w:val="18"/>
              </w:rPr>
              <w:t>。</w:t>
            </w:r>
          </w:p>
        </w:tc>
      </w:tr>
    </w:tbl>
    <w:p>
      <w:pPr>
        <w:spacing w:after="0" w:line="194" w:lineRule="exact"/>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386" w:lineRule="auto" w:before="35"/>
        <w:ind w:left="574" w:right="993" w:hanging="1"/>
        <w:jc w:val="left"/>
      </w:pPr>
      <w:r>
        <w:rPr>
          <w:rFonts w:ascii="Times New Roman" w:hAnsi="Times New Roman" w:cs="Times New Roman" w:eastAsia="Times New Roman" w:hint="default"/>
        </w:rPr>
        <w:t>3</w:t>
      </w:r>
      <w:r>
        <w:rPr/>
        <w:t>、执行《企业会计准则第</w:t>
      </w:r>
      <w:r>
        <w:rPr>
          <w:rFonts w:ascii="Times New Roman" w:hAnsi="Times New Roman" w:cs="Times New Roman" w:eastAsia="Times New Roman" w:hint="default"/>
        </w:rPr>
        <w:t>7</w:t>
      </w:r>
      <w:r>
        <w:rPr/>
        <w:t>号——非货币性资产交换》（</w:t>
      </w:r>
      <w:r>
        <w:rPr>
          <w:rFonts w:ascii="Times New Roman" w:hAnsi="Times New Roman" w:cs="Times New Roman" w:eastAsia="Times New Roman" w:hint="default"/>
        </w:rPr>
        <w:t>2019</w:t>
      </w:r>
      <w:r>
        <w:rPr/>
        <w:t>修订） </w:t>
      </w:r>
      <w:r>
        <w:rPr>
          <w:spacing w:val="-9"/>
        </w:rPr>
        <w:t>财政部于</w:t>
      </w:r>
      <w:r>
        <w:rPr>
          <w:rFonts w:ascii="Times New Roman" w:hAnsi="Times New Roman" w:cs="Times New Roman" w:eastAsia="Times New Roman" w:hint="default"/>
          <w:spacing w:val="-9"/>
        </w:rPr>
        <w:t>2019</w:t>
      </w:r>
      <w:r>
        <w:rPr>
          <w:spacing w:val="-9"/>
        </w:rPr>
        <w:t>年</w:t>
      </w:r>
      <w:r>
        <w:rPr>
          <w:rFonts w:ascii="Times New Roman" w:hAnsi="Times New Roman" w:cs="Times New Roman" w:eastAsia="Times New Roman" w:hint="default"/>
          <w:spacing w:val="-9"/>
        </w:rPr>
        <w:t>5</w:t>
      </w:r>
      <w:r>
        <w:rPr>
          <w:spacing w:val="-9"/>
        </w:rPr>
        <w:t>月</w:t>
      </w:r>
      <w:r>
        <w:rPr>
          <w:rFonts w:ascii="Times New Roman" w:hAnsi="Times New Roman" w:cs="Times New Roman" w:eastAsia="Times New Roman" w:hint="default"/>
          <w:spacing w:val="-9"/>
        </w:rPr>
        <w:t>9</w:t>
      </w:r>
      <w:r>
        <w:rPr>
          <w:spacing w:val="-9"/>
        </w:rPr>
        <w:t>日发布了《企业会计准则第</w:t>
      </w:r>
      <w:r>
        <w:rPr>
          <w:rFonts w:ascii="Times New Roman" w:hAnsi="Times New Roman" w:cs="Times New Roman" w:eastAsia="Times New Roman" w:hint="default"/>
          <w:spacing w:val="-9"/>
        </w:rPr>
        <w:t>7</w:t>
      </w:r>
      <w:r>
        <w:rPr>
          <w:spacing w:val="-9"/>
        </w:rPr>
        <w:t>号——非货币性资产交换》（</w:t>
      </w:r>
      <w:r>
        <w:rPr>
          <w:rFonts w:ascii="Times New Roman" w:hAnsi="Times New Roman" w:cs="Times New Roman" w:eastAsia="Times New Roman" w:hint="default"/>
          <w:spacing w:val="-9"/>
        </w:rPr>
        <w:t>2019</w:t>
      </w:r>
      <w:r>
        <w:rPr>
          <w:spacing w:val="-9"/>
        </w:rPr>
        <w:t>修订）（财会〔</w:t>
      </w:r>
      <w:r>
        <w:rPr>
          <w:rFonts w:ascii="Times New Roman" w:hAnsi="Times New Roman" w:cs="Times New Roman" w:eastAsia="Times New Roman" w:hint="default"/>
          <w:spacing w:val="-9"/>
        </w:rPr>
        <w:t>2019</w:t>
      </w:r>
      <w:r>
        <w:rPr>
          <w:spacing w:val="-9"/>
        </w:rPr>
        <w:t>〕</w:t>
      </w:r>
    </w:p>
    <w:p>
      <w:pPr>
        <w:pStyle w:val="BodyText"/>
        <w:spacing w:line="386" w:lineRule="auto" w:before="35"/>
        <w:ind w:right="1131" w:hanging="1"/>
        <w:jc w:val="both"/>
      </w:pPr>
      <w:r>
        <w:rPr>
          <w:rFonts w:ascii="Times New Roman" w:hAnsi="Times New Roman" w:cs="Times New Roman" w:eastAsia="Times New Roman" w:hint="default"/>
          <w:spacing w:val="-1"/>
        </w:rPr>
        <w:t>8</w:t>
      </w:r>
      <w:r>
        <w:rPr>
          <w:spacing w:val="-1"/>
        </w:rPr>
        <w:t>号），修订后的准则自</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10</w:t>
      </w:r>
      <w:r>
        <w:rPr>
          <w:spacing w:val="-1"/>
        </w:rPr>
        <w:t>日起施行，对</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日至本准则施行日之间发生的非货币性资产</w:t>
      </w:r>
      <w:r>
        <w:rPr>
          <w:spacing w:val="-89"/>
        </w:rPr>
        <w:t> </w:t>
      </w:r>
      <w:r>
        <w:rPr>
          <w:spacing w:val="-89"/>
        </w:rPr>
      </w:r>
      <w:r>
        <w:rPr>
          <w:spacing w:val="-1"/>
        </w:rPr>
        <w:t>交换，应根据本准则进行调整。对</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日之前发生的非货币性资产交换，不需要按照本准则的规定</w:t>
      </w:r>
      <w:r>
        <w:rPr>
          <w:spacing w:val="-87"/>
        </w:rPr>
        <w:t> </w:t>
      </w:r>
      <w:r>
        <w:rPr>
          <w:spacing w:val="-87"/>
        </w:rPr>
      </w:r>
      <w:r>
        <w:rPr/>
        <w:t>进行追溯调整。本公司执行上述准则在本报告期内无重大影响。</w:t>
      </w:r>
    </w:p>
    <w:p>
      <w:pPr>
        <w:pStyle w:val="BodyText"/>
        <w:spacing w:line="386" w:lineRule="auto" w:before="65"/>
        <w:ind w:left="574" w:right="1113"/>
        <w:jc w:val="left"/>
        <w:rPr>
          <w:rFonts w:ascii="Times New Roman" w:hAnsi="Times New Roman" w:cs="Times New Roman" w:eastAsia="Times New Roman" w:hint="default"/>
        </w:rPr>
      </w:pPr>
      <w:r>
        <w:rPr>
          <w:rFonts w:ascii="Times New Roman" w:hAnsi="Times New Roman" w:cs="Times New Roman" w:eastAsia="Times New Roman" w:hint="default"/>
        </w:rPr>
        <w:t>4</w:t>
      </w:r>
      <w:r>
        <w:rPr/>
        <w:t>、执行《企业会计准则第</w:t>
      </w:r>
      <w:r>
        <w:rPr>
          <w:rFonts w:ascii="Times New Roman" w:hAnsi="Times New Roman" w:cs="Times New Roman" w:eastAsia="Times New Roman" w:hint="default"/>
        </w:rPr>
        <w:t>12</w:t>
      </w:r>
      <w:r>
        <w:rPr/>
        <w:t>号——债务重组》（</w:t>
      </w:r>
      <w:r>
        <w:rPr>
          <w:rFonts w:ascii="Times New Roman" w:hAnsi="Times New Roman" w:cs="Times New Roman" w:eastAsia="Times New Roman" w:hint="default"/>
        </w:rPr>
        <w:t>2019</w:t>
      </w:r>
      <w:r>
        <w:rPr/>
        <w:t>修订） </w:t>
      </w:r>
      <w:r>
        <w:rPr>
          <w:spacing w:val="-1"/>
        </w:rPr>
        <w:t>财政部于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16</w:t>
      </w:r>
      <w:r>
        <w:rPr>
          <w:spacing w:val="-1"/>
        </w:rPr>
        <w:t>日发布了《企业会计准则第</w:t>
      </w:r>
      <w:r>
        <w:rPr>
          <w:rFonts w:ascii="Times New Roman" w:hAnsi="Times New Roman" w:cs="Times New Roman" w:eastAsia="Times New Roman" w:hint="default"/>
          <w:spacing w:val="-1"/>
        </w:rPr>
        <w:t>12</w:t>
      </w:r>
      <w:r>
        <w:rPr>
          <w:spacing w:val="-1"/>
        </w:rPr>
        <w:t>号——债务重组》（</w:t>
      </w:r>
      <w:r>
        <w:rPr>
          <w:rFonts w:ascii="Times New Roman" w:hAnsi="Times New Roman" w:cs="Times New Roman" w:eastAsia="Times New Roman" w:hint="default"/>
          <w:spacing w:val="-1"/>
        </w:rPr>
        <w:t>2019</w:t>
      </w:r>
      <w:r>
        <w:rPr>
          <w:spacing w:val="-1"/>
        </w:rPr>
        <w:t>修订）（财会〔</w:t>
      </w:r>
      <w:r>
        <w:rPr>
          <w:rFonts w:ascii="Times New Roman" w:hAnsi="Times New Roman" w:cs="Times New Roman" w:eastAsia="Times New Roman" w:hint="default"/>
          <w:spacing w:val="-1"/>
        </w:rPr>
        <w:t>2019</w:t>
      </w:r>
      <w:r>
        <w:rPr>
          <w:spacing w:val="-1"/>
        </w:rPr>
        <w:t>〕</w:t>
      </w:r>
      <w:r>
        <w:rPr>
          <w:rFonts w:ascii="Times New Roman" w:hAnsi="Times New Roman" w:cs="Times New Roman" w:eastAsia="Times New Roman" w:hint="default"/>
          <w:spacing w:val="-1"/>
        </w:rPr>
        <w:t>9</w:t>
      </w:r>
    </w:p>
    <w:p>
      <w:pPr>
        <w:pStyle w:val="BodyText"/>
        <w:spacing w:line="386" w:lineRule="auto" w:before="35"/>
        <w:ind w:right="1126"/>
        <w:jc w:val="both"/>
      </w:pPr>
      <w:r>
        <w:rPr/>
        <w:t>号），修订后的准则自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日起施行，对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日至本准则施行日之间发生的债务重组，应</w:t>
      </w:r>
      <w:r>
        <w:rPr>
          <w:spacing w:val="-37"/>
        </w:rPr>
        <w:t> </w:t>
      </w:r>
      <w:r>
        <w:rPr>
          <w:spacing w:val="-37"/>
        </w:rPr>
      </w:r>
      <w:r>
        <w:rPr>
          <w:spacing w:val="-1"/>
        </w:rPr>
        <w:t>根据本准则进行调整。对</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日之前发生的债务重组，不需要按照本准则的规定进行追溯调整。本</w:t>
      </w:r>
      <w:r>
        <w:rPr>
          <w:spacing w:val="-87"/>
        </w:rPr>
        <w:t> </w:t>
      </w:r>
      <w:r>
        <w:rPr>
          <w:spacing w:val="-87"/>
        </w:rPr>
      </w:r>
      <w:r>
        <w:rPr/>
        <w:t>公司执行上述准则在本报告期内无重大影响。</w:t>
      </w:r>
    </w:p>
    <w:p>
      <w:pPr>
        <w:pStyle w:val="BodyText"/>
        <w:spacing w:line="386" w:lineRule="auto" w:before="65"/>
        <w:ind w:left="574" w:right="1113" w:hanging="1"/>
        <w:jc w:val="left"/>
      </w:pPr>
      <w:r>
        <w:rPr>
          <w:rFonts w:ascii="Times New Roman" w:hAnsi="Times New Roman" w:cs="Times New Roman" w:eastAsia="Times New Roman" w:hint="default"/>
        </w:rPr>
        <w:t>5</w:t>
      </w:r>
      <w:r>
        <w:rPr/>
        <w:t>、执行《企业会计准则第</w:t>
      </w:r>
      <w:r>
        <w:rPr>
          <w:rFonts w:ascii="Times New Roman" w:hAnsi="Times New Roman" w:cs="Times New Roman" w:eastAsia="Times New Roman" w:hint="default"/>
        </w:rPr>
        <w:t>14</w:t>
      </w:r>
      <w:r>
        <w:rPr/>
        <w:t>号——收入》（</w:t>
      </w:r>
      <w:r>
        <w:rPr>
          <w:rFonts w:ascii="Times New Roman" w:hAnsi="Times New Roman" w:cs="Times New Roman" w:eastAsia="Times New Roman" w:hint="default"/>
        </w:rPr>
        <w:t>2017</w:t>
      </w:r>
      <w:r>
        <w:rPr/>
        <w:t>修订）（财会〔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22</w:t>
      </w:r>
      <w:r>
        <w:rPr/>
        <w:t>号） </w:t>
      </w:r>
      <w:r>
        <w:rPr>
          <w:spacing w:val="-1"/>
        </w:rPr>
        <w:t>新收入准则将现行收入和建造合同两项准则纳入统一的收入确认模型；以控制权转移替代风险报酬转</w:t>
      </w:r>
    </w:p>
    <w:p>
      <w:pPr>
        <w:pStyle w:val="BodyText"/>
        <w:spacing w:line="408" w:lineRule="auto" w:before="65"/>
        <w:ind w:right="1129"/>
        <w:jc w:val="both"/>
      </w:pPr>
      <w:r>
        <w:rPr>
          <w:spacing w:val="-1"/>
        </w:rPr>
        <w:t>移作为收入确认时点的判断标准；对于包含多重交易安排的合同的会计处理提供了更明确的指引；对于某</w:t>
      </w:r>
      <w:r>
        <w:rPr>
          <w:spacing w:val="-81"/>
        </w:rPr>
        <w:t> </w:t>
      </w:r>
      <w:r>
        <w:rPr>
          <w:spacing w:val="-81"/>
        </w:rPr>
      </w:r>
      <w:r>
        <w:rPr/>
        <w:t>些特定交易（或事项）的收入确认和计量给出了明确规定。</w:t>
      </w:r>
    </w:p>
    <w:p>
      <w:pPr>
        <w:pStyle w:val="BodyText"/>
        <w:spacing w:line="398" w:lineRule="auto"/>
        <w:ind w:right="1131" w:firstLine="420"/>
        <w:jc w:val="both"/>
      </w:pPr>
      <w:r>
        <w:rPr>
          <w:spacing w:val="-1"/>
        </w:rPr>
        <w:t>新收入准则自</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日起执行，公司将根据首次执行新收入准则的累积影响数调整期初留存收益</w:t>
      </w:r>
      <w:r>
        <w:rPr/>
        <w:t> </w:t>
      </w:r>
      <w:r>
        <w:rPr>
          <w:spacing w:val="-1"/>
        </w:rPr>
        <w:t>及财务报表其他相关项目金额，不调整可比期间信息。本次会计政策变更预计不会对公司总资产、负债总</w:t>
      </w:r>
      <w:r>
        <w:rPr>
          <w:spacing w:val="-83"/>
        </w:rPr>
        <w:t> </w:t>
      </w:r>
      <w:r>
        <w:rPr>
          <w:spacing w:val="-83"/>
        </w:rPr>
      </w:r>
      <w:r>
        <w:rPr/>
        <w:t>额、净资产及净利润产生重大影响。</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r>
        <w:rPr/>
        <w:t>七、与上年度财务报告相比，合并报表范围发生变化的情况说明</w:t>
      </w:r>
      <w:r>
        <w:rPr>
          <w:b w:val="0"/>
          <w:bCs w:val="0"/>
        </w:rPr>
      </w:r>
    </w:p>
    <w:p>
      <w:pPr>
        <w:spacing w:line="240" w:lineRule="auto" w:before="7"/>
        <w:rPr>
          <w:rFonts w:ascii="宋体" w:hAnsi="宋体" w:cs="宋体" w:eastAsia="宋体" w:hint="default"/>
          <w:b/>
          <w:bCs/>
          <w:sz w:val="32"/>
          <w:szCs w:val="32"/>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7"/>
          <w:szCs w:val="17"/>
        </w:rPr>
      </w:pPr>
    </w:p>
    <w:p>
      <w:pPr>
        <w:pStyle w:val="BodyText"/>
        <w:spacing w:line="240" w:lineRule="auto" w:before="0"/>
        <w:ind w:left="574" w:right="993"/>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日，公司新设上海新开普志成信息科技有限公司，将其纳入报表合并范围内；</w:t>
      </w:r>
      <w:r>
        <w:rPr>
          <w:rFonts w:ascii="Times New Roman" w:hAnsi="Times New Roman" w:cs="Times New Roman" w:eastAsia="Times New Roman" w:hint="default"/>
        </w:rPr>
        <w:t>2019</w:t>
      </w:r>
      <w:r>
        <w:rPr/>
        <w:t>年</w:t>
      </w:r>
    </w:p>
    <w:p>
      <w:pPr>
        <w:pStyle w:val="BodyText"/>
        <w:spacing w:line="386" w:lineRule="auto" w:before="177"/>
        <w:ind w:left="153" w:right="1122"/>
        <w:jc w:val="both"/>
      </w:pP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31</w:t>
      </w:r>
      <w:r>
        <w:rPr>
          <w:spacing w:val="3"/>
        </w:rPr>
        <w:t>日公司收购北京希嘉创智教育科技有限公司部分股权后持有其</w:t>
      </w:r>
      <w:r>
        <w:rPr>
          <w:rFonts w:ascii="Times New Roman" w:hAnsi="Times New Roman" w:cs="Times New Roman" w:eastAsia="Times New Roman" w:hint="default"/>
          <w:spacing w:val="3"/>
        </w:rPr>
        <w:t>51</w:t>
      </w:r>
      <w:r>
        <w:rPr>
          <w:spacing w:val="3"/>
        </w:rPr>
        <w:t>%的股权，将其纳入报表合并范围</w:t>
      </w:r>
      <w:r>
        <w:rPr>
          <w:spacing w:val="-87"/>
        </w:rPr>
        <w:t> </w:t>
      </w:r>
      <w:r>
        <w:rPr>
          <w:spacing w:val="-87"/>
        </w:rPr>
      </w:r>
      <w:r>
        <w:rPr>
          <w:spacing w:val="-1"/>
        </w:rPr>
        <w:t>内；</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30</w:t>
      </w:r>
      <w:r>
        <w:rPr>
          <w:spacing w:val="-1"/>
        </w:rPr>
        <w:t>日，控股子公司完美数联（杭州）科技有限公司收购北京华驰联创科技有限公司</w:t>
      </w:r>
      <w:r>
        <w:rPr>
          <w:rFonts w:ascii="Times New Roman" w:hAnsi="Times New Roman" w:cs="Times New Roman" w:eastAsia="Times New Roman" w:hint="default"/>
          <w:spacing w:val="-1"/>
        </w:rPr>
        <w:t>67</w:t>
      </w:r>
      <w:r>
        <w:rPr>
          <w:spacing w:val="-1"/>
        </w:rPr>
        <w:t>%的股</w:t>
      </w:r>
      <w:r>
        <w:rPr>
          <w:spacing w:val="-83"/>
        </w:rPr>
        <w:t> </w:t>
      </w:r>
      <w:r>
        <w:rPr/>
        <w:t>权，将其纳入报表合并范围内。</w:t>
      </w:r>
    </w:p>
    <w:p>
      <w:pPr>
        <w:pStyle w:val="BodyText"/>
        <w:spacing w:line="240" w:lineRule="auto" w:before="65"/>
        <w:ind w:left="573" w:right="1113"/>
        <w:jc w:val="left"/>
      </w:pPr>
      <w:r>
        <w:rPr>
          <w:rFonts w:ascii="Times New Roman" w:hAnsi="Times New Roman" w:cs="Times New Roman" w:eastAsia="Times New Roman" w:hint="default"/>
        </w:rPr>
        <w:t>2</w:t>
      </w:r>
      <w:r>
        <w:rPr/>
        <w:t>、本年度注销子公司北京开普力维科技有限公司，注销后不再纳入合并范围。</w:t>
      </w:r>
    </w:p>
    <w:p>
      <w:pPr>
        <w:spacing w:line="240" w:lineRule="auto" w:before="11"/>
        <w:rPr>
          <w:rFonts w:ascii="宋体" w:hAnsi="宋体" w:cs="宋体" w:eastAsia="宋体" w:hint="default"/>
          <w:sz w:val="28"/>
          <w:szCs w:val="28"/>
        </w:rPr>
      </w:pPr>
    </w:p>
    <w:p>
      <w:pPr>
        <w:pStyle w:val="Heading2"/>
        <w:spacing w:line="240" w:lineRule="auto"/>
        <w:ind w:right="0"/>
        <w:jc w:val="both"/>
        <w:rPr>
          <w:b w:val="0"/>
          <w:bCs w:val="0"/>
        </w:rPr>
      </w:pPr>
      <w:r>
        <w:rPr/>
        <w:t>八、聘任、解聘会计师事务所情况</w:t>
      </w:r>
      <w:r>
        <w:rPr>
          <w:b w:val="0"/>
          <w:bCs w:val="0"/>
        </w:rPr>
      </w:r>
    </w:p>
    <w:p>
      <w:pPr>
        <w:spacing w:line="240" w:lineRule="auto" w:before="7"/>
        <w:rPr>
          <w:rFonts w:ascii="宋体" w:hAnsi="宋体" w:cs="宋体" w:eastAsia="宋体" w:hint="default"/>
          <w:b/>
          <w:bCs/>
          <w:sz w:val="32"/>
          <w:szCs w:val="32"/>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791"/>
        <w:gridCol w:w="4777"/>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91"/>
        <w:gridCol w:w="4777"/>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王娜、王幈</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240" w:lineRule="auto" w:before="12"/>
        <w:rPr>
          <w:rFonts w:ascii="宋体" w:hAnsi="宋体" w:cs="宋体" w:eastAsia="宋体" w:hint="default"/>
          <w:sz w:val="20"/>
          <w:szCs w:val="20"/>
        </w:rPr>
      </w:pPr>
    </w:p>
    <w:p>
      <w:pPr>
        <w:spacing w:line="489" w:lineRule="auto" w:before="0"/>
        <w:ind w:left="154" w:right="62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86"/>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2"/>
        <w:spacing w:line="240" w:lineRule="auto" w:before="155"/>
        <w:ind w:right="1113"/>
        <w:jc w:val="left"/>
        <w:rPr>
          <w:b w:val="0"/>
          <w:bCs w:val="0"/>
        </w:rPr>
      </w:pPr>
      <w:r>
        <w:rPr/>
        <w:t>九、年度报告披露后面临暂停上市和终止上市情况</w:t>
      </w:r>
      <w:r>
        <w:rPr>
          <w:b w:val="0"/>
          <w:bCs w:val="0"/>
        </w:rPr>
      </w:r>
    </w:p>
    <w:p>
      <w:pPr>
        <w:spacing w:line="240" w:lineRule="auto" w:before="8"/>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2"/>
        <w:spacing w:line="240" w:lineRule="auto" w:before="155"/>
        <w:ind w:right="1113"/>
        <w:jc w:val="left"/>
        <w:rPr>
          <w:b w:val="0"/>
          <w:bCs w:val="0"/>
        </w:rPr>
      </w:pPr>
      <w:r>
        <w:rPr/>
        <w:t>十、破产重整相关事项</w:t>
      </w:r>
      <w:r>
        <w:rPr>
          <w:b w:val="0"/>
          <w:bCs w:val="0"/>
        </w:rPr>
      </w:r>
    </w:p>
    <w:p>
      <w:pPr>
        <w:spacing w:line="240" w:lineRule="auto" w:before="8"/>
        <w:rPr>
          <w:rFonts w:ascii="宋体" w:hAnsi="宋体" w:cs="宋体" w:eastAsia="宋体" w:hint="default"/>
          <w:b/>
          <w:bCs/>
          <w:sz w:val="32"/>
          <w:szCs w:val="32"/>
        </w:rPr>
      </w:pPr>
    </w:p>
    <w:p>
      <w:pPr>
        <w:spacing w:line="489" w:lineRule="auto" w:before="0"/>
        <w:ind w:left="154" w:right="76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8"/>
        <w:rPr>
          <w:rFonts w:ascii="宋体" w:hAnsi="宋体" w:cs="宋体" w:eastAsia="宋体" w:hint="default"/>
          <w:sz w:val="16"/>
          <w:szCs w:val="16"/>
        </w:rPr>
      </w:pPr>
    </w:p>
    <w:p>
      <w:pPr>
        <w:pStyle w:val="Heading2"/>
        <w:spacing w:line="240" w:lineRule="auto"/>
        <w:ind w:right="1113"/>
        <w:jc w:val="left"/>
        <w:rPr>
          <w:b w:val="0"/>
          <w:bCs w:val="0"/>
        </w:rPr>
      </w:pPr>
      <w:r>
        <w:rPr/>
        <w:t>十一、重大诉讼、仲裁事项</w:t>
      </w:r>
      <w:r>
        <w:rPr>
          <w:b w:val="0"/>
          <w:bCs w:val="0"/>
        </w:rPr>
      </w:r>
    </w:p>
    <w:p>
      <w:pPr>
        <w:spacing w:line="240" w:lineRule="auto" w:before="8"/>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tbl>
      <w:tblPr>
        <w:tblW w:w="0" w:type="auto"/>
        <w:jc w:val="left"/>
        <w:tblInd w:w="149" w:type="dxa"/>
        <w:tblLayout w:type="fixed"/>
        <w:tblCellMar>
          <w:top w:w="0" w:type="dxa"/>
          <w:left w:w="0" w:type="dxa"/>
          <w:bottom w:w="0" w:type="dxa"/>
          <w:right w:w="0" w:type="dxa"/>
        </w:tblCellMar>
        <w:tblLook w:val="01E0"/>
      </w:tblPr>
      <w:tblGrid>
        <w:gridCol w:w="1451"/>
        <w:gridCol w:w="817"/>
        <w:gridCol w:w="994"/>
        <w:gridCol w:w="850"/>
        <w:gridCol w:w="2410"/>
        <w:gridCol w:w="893"/>
        <w:gridCol w:w="1080"/>
        <w:gridCol w:w="1076"/>
      </w:tblGrid>
      <w:tr>
        <w:trPr>
          <w:trHeight w:val="1025" w:hRule="exact"/>
        </w:trPr>
        <w:tc>
          <w:tcPr>
            <w:tcW w:w="14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39" w:right="22" w:hanging="518"/>
              <w:jc w:val="left"/>
              <w:rPr>
                <w:rFonts w:ascii="宋体" w:hAnsi="宋体" w:cs="宋体" w:eastAsia="宋体" w:hint="default"/>
                <w:sz w:val="18"/>
                <w:szCs w:val="18"/>
              </w:rPr>
            </w:pPr>
            <w:r>
              <w:rPr>
                <w:rFonts w:ascii="宋体" w:hAnsi="宋体" w:cs="宋体" w:eastAsia="宋体" w:hint="default"/>
                <w:spacing w:val="-6"/>
                <w:sz w:val="18"/>
                <w:szCs w:val="18"/>
              </w:rPr>
              <w:t>诉讼（仲裁）基本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情况</w:t>
            </w:r>
          </w:p>
        </w:tc>
        <w:tc>
          <w:tcPr>
            <w:tcW w:w="8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6"/>
              <w:ind w:left="4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0" w:right="41" w:hanging="180"/>
              <w:jc w:val="left"/>
              <w:rPr>
                <w:rFonts w:ascii="宋体" w:hAnsi="宋体" w:cs="宋体" w:eastAsia="宋体" w:hint="default"/>
                <w:sz w:val="18"/>
                <w:szCs w:val="18"/>
              </w:rPr>
            </w:pPr>
            <w:r>
              <w:rPr>
                <w:rFonts w:ascii="宋体" w:hAnsi="宋体" w:cs="宋体" w:eastAsia="宋体" w:hint="default"/>
                <w:sz w:val="18"/>
                <w:szCs w:val="18"/>
              </w:rPr>
              <w:t>是否形成预 计负债</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9" w:right="59"/>
              <w:jc w:val="left"/>
              <w:rPr>
                <w:rFonts w:ascii="宋体" w:hAnsi="宋体" w:cs="宋体" w:eastAsia="宋体" w:hint="default"/>
                <w:sz w:val="18"/>
                <w:szCs w:val="18"/>
              </w:rPr>
            </w:pPr>
            <w:r>
              <w:rPr>
                <w:rFonts w:ascii="宋体" w:hAnsi="宋体" w:cs="宋体" w:eastAsia="宋体" w:hint="default"/>
                <w:sz w:val="18"/>
                <w:szCs w:val="18"/>
              </w:rPr>
              <w:t>诉讼（仲 裁）进展</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 w:right="0"/>
              <w:jc w:val="left"/>
              <w:rPr>
                <w:rFonts w:ascii="宋体" w:hAnsi="宋体" w:cs="宋体" w:eastAsia="宋体" w:hint="default"/>
                <w:sz w:val="18"/>
                <w:szCs w:val="18"/>
              </w:rPr>
            </w:pPr>
            <w:r>
              <w:rPr>
                <w:rFonts w:ascii="宋体" w:hAnsi="宋体" w:cs="宋体" w:eastAsia="宋体" w:hint="default"/>
                <w:sz w:val="18"/>
                <w:szCs w:val="18"/>
              </w:rPr>
              <w:t>诉讼（仲裁）审理结果及影响</w:t>
            </w:r>
          </w:p>
        </w:tc>
        <w:tc>
          <w:tcPr>
            <w:tcW w:w="8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hanging="2"/>
              <w:jc w:val="center"/>
              <w:rPr>
                <w:rFonts w:ascii="宋体" w:hAnsi="宋体" w:cs="宋体" w:eastAsia="宋体" w:hint="default"/>
                <w:sz w:val="18"/>
                <w:szCs w:val="18"/>
              </w:rPr>
            </w:pPr>
            <w:r>
              <w:rPr>
                <w:rFonts w:ascii="宋体" w:hAnsi="宋体" w:cs="宋体" w:eastAsia="宋体" w:hint="default"/>
                <w:sz w:val="18"/>
                <w:szCs w:val="18"/>
              </w:rPr>
              <w:t>诉讼（仲 </w:t>
            </w:r>
            <w:r>
              <w:rPr>
                <w:rFonts w:ascii="宋体" w:hAnsi="宋体" w:cs="宋体" w:eastAsia="宋体" w:hint="default"/>
                <w:spacing w:val="-13"/>
                <w:sz w:val="18"/>
                <w:szCs w:val="18"/>
              </w:rPr>
              <w:t>裁）判决执</w:t>
            </w:r>
            <w:r>
              <w:rPr>
                <w:rFonts w:ascii="宋体" w:hAnsi="宋体" w:cs="宋体" w:eastAsia="宋体" w:hint="default"/>
                <w:sz w:val="18"/>
                <w:szCs w:val="18"/>
              </w:rPr>
              <w:t> 行情况</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8" w:hRule="exact"/>
        </w:trPr>
        <w:tc>
          <w:tcPr>
            <w:tcW w:w="14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由新开普参股</w:t>
            </w:r>
          </w:p>
        </w:tc>
        <w:tc>
          <w:tcPr>
            <w:tcW w:w="817"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2410" w:type="dxa"/>
            <w:tcBorders>
              <w:top w:val="single" w:sz="4" w:space="0" w:color="000000"/>
              <w:left w:val="single" w:sz="4" w:space="0" w:color="000000"/>
              <w:bottom w:val="nil" w:sz="6" w:space="0" w:color="auto"/>
              <w:right w:val="single" w:sz="4" w:space="0" w:color="000000"/>
            </w:tcBorders>
          </w:tcPr>
          <w:p>
            <w:pPr/>
          </w:p>
        </w:tc>
        <w:tc>
          <w:tcPr>
            <w:tcW w:w="893"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7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的凯里通卡</w:t>
            </w:r>
          </w:p>
        </w:tc>
        <w:tc>
          <w:tcPr>
            <w:tcW w:w="817"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893"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公司已持续两年</w:t>
            </w:r>
          </w:p>
        </w:tc>
        <w:tc>
          <w:tcPr>
            <w:tcW w:w="817"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893"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以上无法召开股</w:t>
            </w:r>
          </w:p>
        </w:tc>
        <w:tc>
          <w:tcPr>
            <w:tcW w:w="817"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893"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东会，更未形成有</w:t>
            </w:r>
          </w:p>
        </w:tc>
        <w:tc>
          <w:tcPr>
            <w:tcW w:w="817"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76"/>
                <w:sz w:val="18"/>
                <w:szCs w:val="18"/>
              </w:rPr>
              <w:t>、</w:t>
            </w:r>
            <w:r>
              <w:rPr>
                <w:rFonts w:ascii="宋体" w:hAnsi="宋体" w:cs="宋体" w:eastAsia="宋体" w:hint="default"/>
                <w:sz w:val="18"/>
                <w:szCs w:val="18"/>
              </w:rPr>
              <w:t>解散凯里智慧城市通卡管理</w:t>
            </w:r>
          </w:p>
        </w:tc>
        <w:tc>
          <w:tcPr>
            <w:tcW w:w="893"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效决议，凯里通卡</w:t>
            </w:r>
          </w:p>
        </w:tc>
        <w:tc>
          <w:tcPr>
            <w:tcW w:w="817"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2</w:t>
            </w:r>
            <w:r>
              <w:rPr>
                <w:rFonts w:ascii="宋体" w:hAnsi="宋体" w:cs="宋体" w:eastAsia="宋体" w:hint="default"/>
                <w:sz w:val="18"/>
                <w:szCs w:val="18"/>
              </w:rPr>
              <w:t>、案件受理费</w:t>
            </w:r>
          </w:p>
        </w:tc>
        <w:tc>
          <w:tcPr>
            <w:tcW w:w="893"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公司也已无力持</w:t>
            </w:r>
          </w:p>
        </w:tc>
        <w:tc>
          <w:tcPr>
            <w:tcW w:w="817"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81,800.00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元，由被告凯里智慧</w:t>
            </w:r>
          </w:p>
        </w:tc>
        <w:tc>
          <w:tcPr>
            <w:tcW w:w="893"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续经营，经营管理</w:t>
            </w:r>
          </w:p>
        </w:tc>
        <w:tc>
          <w:tcPr>
            <w:tcW w:w="817"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城市通卡管理有限公司承担。</w:t>
            </w:r>
          </w:p>
        </w:tc>
        <w:tc>
          <w:tcPr>
            <w:tcW w:w="893"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630"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6"/>
                <w:sz w:val="18"/>
                <w:szCs w:val="18"/>
              </w:rPr>
              <w:t>陷入僵局，继续存</w:t>
            </w:r>
            <w:r>
              <w:rPr>
                <w:rFonts w:ascii="宋体" w:hAnsi="宋体" w:cs="宋体" w:eastAsia="宋体" w:hint="default"/>
                <w:sz w:val="18"/>
                <w:szCs w:val="18"/>
              </w:rPr>
              <w:t> 续将会给股东利</w:t>
            </w:r>
          </w:p>
        </w:tc>
        <w:tc>
          <w:tcPr>
            <w:tcW w:w="81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已判决</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35"/>
              <w:jc w:val="left"/>
              <w:rPr>
                <w:rFonts w:ascii="宋体" w:hAnsi="宋体" w:cs="宋体" w:eastAsia="宋体" w:hint="default"/>
                <w:sz w:val="18"/>
                <w:szCs w:val="18"/>
              </w:rPr>
            </w:pPr>
            <w:r>
              <w:rPr>
                <w:rFonts w:ascii="宋体" w:hAnsi="宋体" w:cs="宋体" w:eastAsia="宋体" w:hint="default"/>
                <w:sz w:val="18"/>
                <w:szCs w:val="18"/>
              </w:rPr>
              <w:t>如不服该判决，可在判决书送 达之日起十五日内，向贵州省</w:t>
            </w:r>
          </w:p>
        </w:tc>
        <w:tc>
          <w:tcPr>
            <w:tcW w:w="89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4"/>
              <w:jc w:val="left"/>
              <w:rPr>
                <w:rFonts w:ascii="宋体" w:hAnsi="宋体" w:cs="宋体" w:eastAsia="宋体" w:hint="default"/>
                <w:sz w:val="18"/>
                <w:szCs w:val="18"/>
              </w:rPr>
            </w:pPr>
            <w:r>
              <w:rPr>
                <w:rFonts w:ascii="宋体" w:hAnsi="宋体" w:cs="宋体" w:eastAsia="宋体" w:hint="default"/>
                <w:spacing w:val="28"/>
                <w:sz w:val="18"/>
                <w:szCs w:val="18"/>
              </w:rPr>
              <w:t>报告期末</w:t>
            </w:r>
            <w:r>
              <w:rPr>
                <w:rFonts w:ascii="宋体" w:hAnsi="宋体" w:cs="宋体" w:eastAsia="宋体" w:hint="default"/>
                <w:spacing w:val="-52"/>
                <w:sz w:val="18"/>
                <w:szCs w:val="18"/>
              </w:rPr>
              <w:t> </w:t>
            </w:r>
            <w:r>
              <w:rPr>
                <w:rFonts w:ascii="宋体" w:hAnsi="宋体" w:cs="宋体" w:eastAsia="宋体" w:hint="default"/>
                <w:sz w:val="18"/>
                <w:szCs w:val="18"/>
              </w:rPr>
              <w:t>未执行</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06"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益造成损失。为维</w:t>
            </w:r>
          </w:p>
        </w:tc>
        <w:tc>
          <w:tcPr>
            <w:tcW w:w="817"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黔东南苗族侗族自治州中级人</w:t>
            </w:r>
          </w:p>
        </w:tc>
        <w:tc>
          <w:tcPr>
            <w:tcW w:w="893"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护公司的合法权</w:t>
            </w:r>
          </w:p>
        </w:tc>
        <w:tc>
          <w:tcPr>
            <w:tcW w:w="817"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民法院递交上诉状，并按对方</w:t>
            </w:r>
          </w:p>
        </w:tc>
        <w:tc>
          <w:tcPr>
            <w:tcW w:w="893"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益，公司向贵州省</w:t>
            </w:r>
          </w:p>
        </w:tc>
        <w:tc>
          <w:tcPr>
            <w:tcW w:w="817"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当事人的人数提交副本，上诉</w:t>
            </w:r>
          </w:p>
        </w:tc>
        <w:tc>
          <w:tcPr>
            <w:tcW w:w="893"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黔东南苗族侗族</w:t>
            </w:r>
          </w:p>
        </w:tc>
        <w:tc>
          <w:tcPr>
            <w:tcW w:w="817"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于贵州省高级人民法院。</w:t>
            </w:r>
          </w:p>
        </w:tc>
        <w:tc>
          <w:tcPr>
            <w:tcW w:w="893"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自治州中级人民</w:t>
            </w:r>
          </w:p>
        </w:tc>
        <w:tc>
          <w:tcPr>
            <w:tcW w:w="817"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893"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法院依法提起诉</w:t>
            </w:r>
          </w:p>
        </w:tc>
        <w:tc>
          <w:tcPr>
            <w:tcW w:w="817"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893"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讼，目前本案已由</w:t>
            </w:r>
          </w:p>
        </w:tc>
        <w:tc>
          <w:tcPr>
            <w:tcW w:w="817"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893"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4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法院依法受理。</w:t>
            </w:r>
          </w:p>
        </w:tc>
        <w:tc>
          <w:tcPr>
            <w:tcW w:w="817"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2410" w:type="dxa"/>
            <w:tcBorders>
              <w:top w:val="nil" w:sz="6" w:space="0" w:color="auto"/>
              <w:left w:val="single" w:sz="4" w:space="0" w:color="000000"/>
              <w:bottom w:val="single" w:sz="4" w:space="0" w:color="000000"/>
              <w:right w:val="single" w:sz="4" w:space="0" w:color="000000"/>
            </w:tcBorders>
          </w:tcPr>
          <w:p>
            <w:pPr/>
          </w:p>
        </w:tc>
        <w:tc>
          <w:tcPr>
            <w:tcW w:w="893"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76"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1113"/>
        <w:jc w:val="left"/>
        <w:rPr>
          <w:b w:val="0"/>
          <w:bCs w:val="0"/>
        </w:rPr>
      </w:pPr>
      <w:r>
        <w:rPr/>
        <w:t>十二、处罚及整改情况</w:t>
      </w:r>
      <w:r>
        <w:rPr>
          <w:b w:val="0"/>
          <w:bCs w:val="0"/>
        </w:rPr>
      </w:r>
    </w:p>
    <w:p>
      <w:pPr>
        <w:spacing w:line="240" w:lineRule="auto" w:before="7"/>
        <w:rPr>
          <w:rFonts w:ascii="宋体" w:hAnsi="宋体" w:cs="宋体" w:eastAsia="宋体" w:hint="default"/>
          <w:b/>
          <w:bCs/>
          <w:sz w:val="32"/>
          <w:szCs w:val="32"/>
        </w:rPr>
      </w:pPr>
    </w:p>
    <w:p>
      <w:pPr>
        <w:spacing w:line="489" w:lineRule="auto" w:before="0"/>
        <w:ind w:left="154" w:right="78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8"/>
        <w:rPr>
          <w:rFonts w:ascii="宋体" w:hAnsi="宋体" w:cs="宋体" w:eastAsia="宋体" w:hint="default"/>
          <w:sz w:val="16"/>
          <w:szCs w:val="16"/>
        </w:rPr>
      </w:pPr>
    </w:p>
    <w:p>
      <w:pPr>
        <w:pStyle w:val="Heading2"/>
        <w:spacing w:line="240" w:lineRule="auto"/>
        <w:ind w:right="1113"/>
        <w:jc w:val="left"/>
        <w:rPr>
          <w:b w:val="0"/>
          <w:bCs w:val="0"/>
        </w:rPr>
      </w:pPr>
      <w:r>
        <w:rPr/>
        <w:t>十三、公司及其控股股东、实际控制人的诚信状况</w:t>
      </w:r>
      <w:r>
        <w:rPr>
          <w:b w:val="0"/>
          <w:bCs w:val="0"/>
        </w:rPr>
      </w:r>
    </w:p>
    <w:p>
      <w:pPr>
        <w:spacing w:line="240" w:lineRule="auto" w:before="8"/>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7"/>
          <w:szCs w:val="17"/>
        </w:rPr>
      </w:pPr>
    </w:p>
    <w:p>
      <w:pPr>
        <w:pStyle w:val="BodyText"/>
        <w:spacing w:line="408" w:lineRule="auto" w:before="0"/>
        <w:ind w:right="1113" w:firstLine="420"/>
        <w:jc w:val="left"/>
      </w:pPr>
      <w:r>
        <w:rPr>
          <w:spacing w:val="-1"/>
        </w:rPr>
        <w:t>报告期内公司及其控股股东、实际控制人不存在未履行法院生效判决、所负数额较大的债务到期未清</w:t>
      </w:r>
      <w:r>
        <w:rPr/>
        <w:t> 偿等情况。</w:t>
      </w:r>
    </w:p>
    <w:p>
      <w:pPr>
        <w:spacing w:line="240" w:lineRule="auto" w:before="11"/>
        <w:rPr>
          <w:rFonts w:ascii="宋体" w:hAnsi="宋体" w:cs="宋体" w:eastAsia="宋体" w:hint="default"/>
          <w:sz w:val="18"/>
          <w:szCs w:val="18"/>
        </w:rPr>
      </w:pPr>
    </w:p>
    <w:p>
      <w:pPr>
        <w:pStyle w:val="Heading2"/>
        <w:spacing w:line="240" w:lineRule="auto"/>
        <w:ind w:right="1113"/>
        <w:jc w:val="left"/>
        <w:rPr>
          <w:b w:val="0"/>
          <w:bCs w:val="0"/>
        </w:rPr>
      </w:pP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pStyle w:val="BodyText"/>
        <w:spacing w:line="240" w:lineRule="auto" w:before="0"/>
        <w:ind w:left="574" w:right="1113"/>
        <w:jc w:val="left"/>
      </w:pPr>
      <w:r>
        <w:rPr/>
        <w:t>公司报告期无股权激励计划、员工持股计划或其他员工激励措施及其实施情况。</w:t>
      </w:r>
    </w:p>
    <w:p>
      <w:pPr>
        <w:spacing w:after="0" w:line="240" w:lineRule="auto"/>
        <w:jc w:val="left"/>
        <w:sectPr>
          <w:pgSz w:w="11910" w:h="16840"/>
          <w:pgMar w:header="877" w:footer="982" w:top="1100" w:bottom="118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113"/>
        <w:jc w:val="left"/>
        <w:rPr>
          <w:b w:val="0"/>
          <w:bCs w:val="0"/>
        </w:rPr>
      </w:pP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9"/>
        <w:gridCol w:w="677"/>
        <w:gridCol w:w="677"/>
        <w:gridCol w:w="703"/>
        <w:gridCol w:w="680"/>
        <w:gridCol w:w="673"/>
        <w:gridCol w:w="674"/>
        <w:gridCol w:w="674"/>
        <w:gridCol w:w="673"/>
        <w:gridCol w:w="674"/>
        <w:gridCol w:w="674"/>
        <w:gridCol w:w="673"/>
        <w:gridCol w:w="671"/>
        <w:gridCol w:w="644"/>
      </w:tblGrid>
      <w:tr>
        <w:trPr>
          <w:trHeight w:val="1337"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3" w:right="35"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5"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2" w:right="150"/>
              <w:jc w:val="left"/>
              <w:rPr>
                <w:rFonts w:ascii="宋体" w:hAnsi="宋体" w:cs="宋体" w:eastAsia="宋体" w:hint="default"/>
                <w:sz w:val="18"/>
                <w:szCs w:val="18"/>
              </w:rPr>
            </w:pPr>
            <w:r>
              <w:rPr>
                <w:rFonts w:ascii="宋体" w:hAnsi="宋体" w:cs="宋体" w:eastAsia="宋体" w:hint="default"/>
                <w:sz w:val="18"/>
                <w:szCs w:val="18"/>
              </w:rPr>
              <w:t>（万 元）</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1" w:right="61"/>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1"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1"/>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1" w:right="60"/>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1"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6" w:right="46"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2274"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5"/>
              <w:jc w:val="both"/>
              <w:rPr>
                <w:rFonts w:ascii="宋体" w:hAnsi="宋体" w:cs="宋体" w:eastAsia="宋体" w:hint="default"/>
                <w:sz w:val="18"/>
                <w:szCs w:val="18"/>
              </w:rPr>
            </w:pPr>
            <w:r>
              <w:rPr>
                <w:rFonts w:ascii="宋体" w:hAnsi="宋体" w:cs="宋体" w:eastAsia="宋体" w:hint="default"/>
                <w:sz w:val="18"/>
                <w:szCs w:val="18"/>
              </w:rPr>
              <w:t>湖南科瑞 特科技有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3" w:right="61"/>
              <w:jc w:val="both"/>
              <w:rPr>
                <w:rFonts w:ascii="宋体" w:hAnsi="宋体" w:cs="宋体" w:eastAsia="宋体" w:hint="default"/>
                <w:sz w:val="18"/>
                <w:szCs w:val="18"/>
              </w:rPr>
            </w:pPr>
            <w:r>
              <w:rPr>
                <w:rFonts w:ascii="宋体" w:hAnsi="宋体" w:cs="宋体" w:eastAsia="宋体" w:hint="default"/>
                <w:sz w:val="18"/>
                <w:szCs w:val="18"/>
              </w:rPr>
              <w:t>公司副 总经理 担任其 董事</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3" w:right="61" w:hanging="180"/>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75" w:right="77"/>
              <w:jc w:val="both"/>
              <w:rPr>
                <w:rFonts w:ascii="宋体" w:hAnsi="宋体" w:cs="宋体" w:eastAsia="宋体" w:hint="default"/>
                <w:sz w:val="18"/>
                <w:szCs w:val="18"/>
              </w:rPr>
            </w:pPr>
            <w:r>
              <w:rPr>
                <w:rFonts w:ascii="宋体" w:hAnsi="宋体" w:cs="宋体" w:eastAsia="宋体" w:hint="default"/>
                <w:sz w:val="18"/>
                <w:szCs w:val="18"/>
              </w:rPr>
              <w:t>与日常 经营相 关的关 联交易</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64" w:right="65"/>
              <w:jc w:val="both"/>
              <w:rPr>
                <w:rFonts w:ascii="宋体" w:hAnsi="宋体" w:cs="宋体" w:eastAsia="宋体" w:hint="default"/>
                <w:sz w:val="18"/>
                <w:szCs w:val="18"/>
              </w:rPr>
            </w:pPr>
            <w:r>
              <w:rPr>
                <w:rFonts w:ascii="宋体" w:hAnsi="宋体" w:cs="宋体" w:eastAsia="宋体" w:hint="default"/>
                <w:sz w:val="18"/>
                <w:szCs w:val="18"/>
              </w:rPr>
              <w:t>遵循公 平、公 正、合 理的市 场价格 和条件 进行</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318.10</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721.29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318.10</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6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318.10</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721.29</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72" w:right="0"/>
              <w:jc w:val="lef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6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6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6"/>
                <w:sz w:val="18"/>
                <w:szCs w:val="18"/>
              </w:rPr>
              <w:t>易进行总金额预计的，在报告期内的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实际履行情况（如有）</w:t>
            </w:r>
          </w:p>
        </w:tc>
        <w:tc>
          <w:tcPr>
            <w:tcW w:w="6713" w:type="dxa"/>
            <w:gridSpan w:val="10"/>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21"/>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3" w:type="dxa"/>
            <w:gridSpan w:val="10"/>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pict>
          <v:shape style="position:absolute;margin-left:286.079712pt;margin-top:21.432135pt;width:75.2pt;height:66.4pt;mso-position-horizontal-relative:page;mso-position-vertical-relative:paragraph;z-index:-159776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0" w:right="0" w:firstLine="0"/>
                    <w:jc w:val="left"/>
                    <w:rPr>
                      <w:rFonts w:ascii="宋体" w:hAnsi="宋体" w:cs="宋体" w:eastAsia="宋体" w:hint="default"/>
                      <w:sz w:val="18"/>
                      <w:szCs w:val="18"/>
                    </w:rPr>
                  </w:pPr>
                  <w:r>
                    <w:rPr>
                      <w:rFonts w:ascii="宋体" w:hAnsi="宋体" w:cs="宋体" w:eastAsia="宋体" w:hint="default"/>
                      <w:sz w:val="18"/>
                      <w:szCs w:val="18"/>
                    </w:rPr>
                    <w:t>（万元）</w:t>
                  </w:r>
                </w:p>
              </w:txbxContent>
            </v:textbox>
            <w10:wrap type="none"/>
          </v:shape>
        </w:pict>
      </w:r>
      <w:r>
        <w:rPr/>
        <w:pict>
          <v:shape style="position:absolute;margin-left:328.619995pt;margin-top:21.432135pt;width:68.05pt;height:66.4pt;mso-position-horizontal-relative:page;mso-position-vertical-relative:paragraph;z-index:-159774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0" w:right="0" w:firstLine="0"/>
                    <w:jc w:val="left"/>
                    <w:rPr>
                      <w:rFonts w:ascii="宋体" w:hAnsi="宋体" w:cs="宋体" w:eastAsia="宋体" w:hint="default"/>
                      <w:sz w:val="18"/>
                      <w:szCs w:val="18"/>
                    </w:rPr>
                  </w:pPr>
                  <w:r>
                    <w:rPr>
                      <w:rFonts w:ascii="宋体" w:hAnsi="宋体" w:cs="宋体" w:eastAsia="宋体" w:hint="default"/>
                      <w:sz w:val="18"/>
                      <w:szCs w:val="18"/>
                    </w:rPr>
                    <w:t>（万元）</w:t>
                  </w:r>
                </w:p>
              </w:txbxContent>
            </v:textbox>
            <w10:wrap type="none"/>
          </v:shape>
        </w:pict>
      </w:r>
      <w:r>
        <w:rPr/>
        <w:pict>
          <v:shape style="position:absolute;margin-left:193.860001pt;margin-top:88.33213pt;width:82.35pt;height:160pt;mso-position-horizontal-relative:page;mso-position-vertical-relative:paragraph;z-index:-159772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0"/>
                    <w:ind w:left="0" w:right="0" w:firstLine="0"/>
                    <w:jc w:val="left"/>
                    <w:rPr>
                      <w:rFonts w:ascii="宋体" w:hAnsi="宋体" w:cs="宋体" w:eastAsia="宋体" w:hint="default"/>
                      <w:sz w:val="18"/>
                      <w:szCs w:val="18"/>
                    </w:rPr>
                  </w:pPr>
                  <w:r>
                    <w:rPr>
                      <w:rFonts w:ascii="宋体" w:hAnsi="宋体" w:cs="宋体" w:eastAsia="宋体" w:hint="default"/>
                      <w:sz w:val="18"/>
                      <w:szCs w:val="18"/>
                    </w:rPr>
                    <w:t>王爱娟、</w:t>
                  </w:r>
                </w:p>
              </w:txbxContent>
            </v:textbox>
            <w10:wrap type="none"/>
          </v:shape>
        </w:pict>
      </w:r>
      <w:r>
        <w:rPr/>
        <w:pict>
          <v:group style="position:absolute;margin-left:227.039993pt;margin-top:88.33213pt;width:49.15pt;height:160pt;mso-position-horizontal-relative:page;mso-position-vertical-relative:paragraph;z-index:-1597696" coordorigin="4541,1767" coordsize="983,3200">
            <v:group style="position:absolute;left:4541;top:1767;width:983;height:3200" coordorigin="4541,1767" coordsize="983,3200">
              <v:shape style="position:absolute;left:4541;top:1767;width:983;height:3200" coordorigin="4541,1767" coordsize="983,3200" path="m4541,4966l5524,4966,5524,1767,4541,1767,4541,4966xe" filled="true" fillcolor="#ffffff" stroked="false">
                <v:path arrowok="t"/>
                <v:fill type="solid"/>
              </v:shape>
            </v:group>
            <v:group style="position:absolute;left:4564;top:1923;width:938;height:352" coordorigin="4564,1923" coordsize="938,352">
              <v:shape style="position:absolute;left:4564;top:1923;width:938;height:352" coordorigin="4564,1923" coordsize="938,352" path="m4564,2274l5501,2274,5501,1923,4564,1923,4564,2274xe" filled="true" fillcolor="#ffffff" stroked="false">
                <v:path arrowok="t"/>
                <v:fill type="solid"/>
              </v:shape>
            </v:group>
            <v:group style="position:absolute;left:4564;top:2274;width:938;height:312" coordorigin="4564,2274" coordsize="938,312">
              <v:shape style="position:absolute;left:4564;top:2274;width:938;height:312" coordorigin="4564,2274" coordsize="938,312" path="m4564,2586l5501,2586,5501,2274,4564,2274,4564,2586xe" filled="true" fillcolor="#ffffff" stroked="false">
                <v:path arrowok="t"/>
                <v:fill type="solid"/>
              </v:shape>
            </v:group>
            <v:group style="position:absolute;left:4564;top:2586;width:938;height:312" coordorigin="4564,2586" coordsize="938,312">
              <v:shape style="position:absolute;left:4564;top:2586;width:938;height:312" coordorigin="4564,2586" coordsize="938,312" path="m4564,2898l5501,2898,5501,2586,4564,2586,4564,2898xe" filled="true" fillcolor="#ffffff" stroked="false">
                <v:path arrowok="t"/>
                <v:fill type="solid"/>
              </v:shape>
            </v:group>
            <v:group style="position:absolute;left:4564;top:2898;width:938;height:312" coordorigin="4564,2898" coordsize="938,312">
              <v:shape style="position:absolute;left:4564;top:2898;width:938;height:312" coordorigin="4564,2898" coordsize="938,312" path="m4564,3210l5501,3210,5501,2898,4564,2898,4564,3210xe" filled="true" fillcolor="#ffffff" stroked="false">
                <v:path arrowok="t"/>
                <v:fill type="solid"/>
              </v:shape>
            </v:group>
            <v:group style="position:absolute;left:4564;top:3210;width:938;height:312" coordorigin="4564,3210" coordsize="938,312">
              <v:shape style="position:absolute;left:4564;top:3210;width:938;height:312" coordorigin="4564,3210" coordsize="938,312" path="m4564,3522l5501,3522,5501,3210,4564,3210,4564,3522xe" filled="true" fillcolor="#ffffff" stroked="false">
                <v:path arrowok="t"/>
                <v:fill type="solid"/>
              </v:shape>
            </v:group>
            <v:group style="position:absolute;left:4564;top:3522;width:938;height:312" coordorigin="4564,3522" coordsize="938,312">
              <v:shape style="position:absolute;left:4564;top:3522;width:938;height:312" coordorigin="4564,3522" coordsize="938,312" path="m4564,3834l5501,3834,5501,3522,4564,3522,4564,3834xe" filled="true" fillcolor="#ffffff" stroked="false">
                <v:path arrowok="t"/>
                <v:fill type="solid"/>
              </v:shape>
            </v:group>
            <v:group style="position:absolute;left:4564;top:3834;width:938;height:312" coordorigin="4564,3834" coordsize="938,312">
              <v:shape style="position:absolute;left:4564;top:3834;width:938;height:312" coordorigin="4564,3834" coordsize="938,312" path="m4564,4146l5501,4146,5501,3834,4564,3834,4564,4146xe" filled="true" fillcolor="#ffffff" stroked="false">
                <v:path arrowok="t"/>
                <v:fill type="solid"/>
              </v:shape>
            </v:group>
            <v:group style="position:absolute;left:4564;top:4146;width:938;height:312" coordorigin="4564,4146" coordsize="938,312">
              <v:shape style="position:absolute;left:4564;top:4146;width:938;height:312" coordorigin="4564,4146" coordsize="938,312" path="m4564,4458l5501,4458,5501,4146,4564,4146,4564,4458xe" filled="true" fillcolor="#ffffff" stroked="false">
                <v:path arrowok="t"/>
                <v:fill type="solid"/>
              </v:shape>
            </v:group>
            <v:group style="position:absolute;left:4564;top:4458;width:938;height:352" coordorigin="4564,4458" coordsize="938,352">
              <v:shape style="position:absolute;left:4564;top:4458;width:938;height:352" coordorigin="4564,4458" coordsize="938,352" path="m4564,4810l5501,4810,5501,4458,4564,4458,4564,4810xe" filled="true" fillcolor="#ffffff" stroked="false">
                <v:path arrowok="t"/>
                <v:fill type="solid"/>
              </v:shape>
            </v:group>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50"/>
        <w:gridCol w:w="751"/>
        <w:gridCol w:w="798"/>
        <w:gridCol w:w="1003"/>
        <w:gridCol w:w="994"/>
        <w:gridCol w:w="850"/>
        <w:gridCol w:w="851"/>
        <w:gridCol w:w="708"/>
        <w:gridCol w:w="709"/>
        <w:gridCol w:w="566"/>
        <w:gridCol w:w="700"/>
        <w:gridCol w:w="792"/>
      </w:tblGrid>
      <w:tr>
        <w:trPr>
          <w:trHeight w:val="1337" w:hRule="exact"/>
        </w:trPr>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80"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3" w:right="32"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0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05" w:right="47" w:hanging="360"/>
              <w:jc w:val="left"/>
              <w:rPr>
                <w:rFonts w:ascii="宋体" w:hAnsi="宋体" w:cs="宋体" w:eastAsia="宋体" w:hint="default"/>
                <w:sz w:val="18"/>
                <w:szCs w:val="18"/>
              </w:rPr>
            </w:pPr>
            <w:r>
              <w:rPr>
                <w:rFonts w:ascii="宋体" w:hAnsi="宋体" w:cs="宋体" w:eastAsia="宋体" w:hint="default"/>
                <w:sz w:val="18"/>
                <w:szCs w:val="18"/>
              </w:rPr>
              <w:t>关联交易内 容</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0" w:right="41" w:hanging="180"/>
              <w:jc w:val="left"/>
              <w:rPr>
                <w:rFonts w:ascii="宋体" w:hAnsi="宋体" w:cs="宋体" w:eastAsia="宋体" w:hint="default"/>
                <w:sz w:val="18"/>
                <w:szCs w:val="18"/>
              </w:rPr>
            </w:pPr>
            <w:r>
              <w:rPr>
                <w:rFonts w:ascii="宋体" w:hAnsi="宋体" w:cs="宋体" w:eastAsia="宋体" w:hint="default"/>
                <w:sz w:val="18"/>
                <w:szCs w:val="18"/>
              </w:rPr>
              <w:t>关联交易定 价原则</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9" w:firstLine="37"/>
              <w:jc w:val="both"/>
              <w:rPr>
                <w:rFonts w:ascii="宋体" w:hAnsi="宋体" w:cs="宋体" w:eastAsia="宋体" w:hint="default"/>
                <w:sz w:val="18"/>
                <w:szCs w:val="18"/>
              </w:rPr>
            </w:pPr>
            <w:r>
              <w:rPr>
                <w:rFonts w:ascii="宋体" w:hAnsi="宋体" w:cs="宋体" w:eastAsia="宋体" w:hint="default"/>
                <w:sz w:val="18"/>
                <w:szCs w:val="18"/>
              </w:rPr>
              <w:t>转让资产 的账面价 值</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9" w:firstLine="37"/>
              <w:jc w:val="both"/>
              <w:rPr>
                <w:rFonts w:ascii="宋体" w:hAnsi="宋体" w:cs="宋体" w:eastAsia="宋体" w:hint="default"/>
                <w:sz w:val="18"/>
                <w:szCs w:val="18"/>
              </w:rPr>
            </w:pPr>
            <w:r>
              <w:rPr>
                <w:rFonts w:ascii="宋体" w:hAnsi="宋体" w:cs="宋体" w:eastAsia="宋体" w:hint="default"/>
                <w:sz w:val="18"/>
                <w:szCs w:val="18"/>
              </w:rPr>
              <w:t>转让资产 的评估价 值</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7" w:right="78"/>
              <w:jc w:val="both"/>
              <w:rPr>
                <w:rFonts w:ascii="宋体" w:hAnsi="宋体" w:cs="宋体" w:eastAsia="宋体" w:hint="default"/>
                <w:sz w:val="18"/>
                <w:szCs w:val="18"/>
              </w:rPr>
            </w:pPr>
            <w:r>
              <w:rPr>
                <w:rFonts w:ascii="宋体" w:hAnsi="宋体" w:cs="宋体" w:eastAsia="宋体" w:hint="default"/>
                <w:sz w:val="18"/>
                <w:szCs w:val="18"/>
              </w:rPr>
              <w:t>转让价 格（万 元）</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9" w:right="78"/>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8" w:right="96"/>
              <w:jc w:val="left"/>
              <w:rPr>
                <w:rFonts w:ascii="宋体" w:hAnsi="宋体" w:cs="宋体" w:eastAsia="宋体" w:hint="default"/>
                <w:sz w:val="18"/>
                <w:szCs w:val="18"/>
              </w:rPr>
            </w:pPr>
            <w:r>
              <w:rPr>
                <w:rFonts w:ascii="宋体" w:hAnsi="宋体" w:cs="宋体" w:eastAsia="宋体" w:hint="default"/>
                <w:sz w:val="18"/>
                <w:szCs w:val="18"/>
              </w:rPr>
              <w:t>交易 损益</w:t>
            </w:r>
          </w:p>
          <w:p>
            <w:pPr>
              <w:pStyle w:val="TableParagraph"/>
              <w:spacing w:line="319" w:lineRule="auto" w:before="19"/>
              <w:ind w:left="98" w:right="96"/>
              <w:jc w:val="left"/>
              <w:rPr>
                <w:rFonts w:ascii="宋体" w:hAnsi="宋体" w:cs="宋体" w:eastAsia="宋体" w:hint="default"/>
                <w:sz w:val="18"/>
                <w:szCs w:val="18"/>
              </w:rPr>
            </w:pPr>
            <w:r>
              <w:rPr>
                <w:rFonts w:ascii="宋体" w:hAnsi="宋体" w:cs="宋体" w:eastAsia="宋体" w:hint="default"/>
                <w:sz w:val="18"/>
                <w:szCs w:val="18"/>
              </w:rPr>
              <w:t>（万 元）</w:t>
            </w:r>
          </w:p>
        </w:tc>
        <w:tc>
          <w:tcPr>
            <w:tcW w:w="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5" w:right="72"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21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22" w:right="95"/>
              <w:jc w:val="left"/>
              <w:rPr>
                <w:rFonts w:ascii="宋体" w:hAnsi="宋体" w:cs="宋体" w:eastAsia="宋体" w:hint="default"/>
                <w:sz w:val="18"/>
                <w:szCs w:val="18"/>
              </w:rPr>
            </w:pPr>
            <w:r>
              <w:rPr>
                <w:rFonts w:ascii="宋体" w:hAnsi="宋体" w:cs="宋体" w:eastAsia="宋体" w:hint="default"/>
                <w:sz w:val="18"/>
                <w:szCs w:val="18"/>
              </w:rPr>
              <w:t>吴凤辉、 王爱娟</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3" w:right="175"/>
              <w:jc w:val="both"/>
              <w:rPr>
                <w:rFonts w:ascii="宋体" w:hAnsi="宋体" w:cs="宋体" w:eastAsia="宋体" w:hint="default"/>
                <w:sz w:val="18"/>
                <w:szCs w:val="18"/>
              </w:rPr>
            </w:pPr>
            <w:r>
              <w:rPr>
                <w:rFonts w:ascii="宋体" w:hAnsi="宋体" w:cs="宋体" w:eastAsia="宋体" w:hint="default"/>
                <w:sz w:val="18"/>
                <w:szCs w:val="18"/>
              </w:rPr>
              <w:t>利益倾 斜的自 然人</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8"/>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公司以自有 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3,432</w:t>
            </w:r>
          </w:p>
          <w:p>
            <w:pPr>
              <w:pStyle w:val="TableParagraph"/>
              <w:spacing w:line="314" w:lineRule="auto"/>
              <w:ind w:left="22" w:right="54"/>
              <w:jc w:val="left"/>
              <w:rPr>
                <w:rFonts w:ascii="宋体" w:hAnsi="宋体" w:cs="宋体" w:eastAsia="宋体" w:hint="default"/>
                <w:sz w:val="18"/>
                <w:szCs w:val="18"/>
              </w:rPr>
            </w:pPr>
            <w:r>
              <w:rPr>
                <w:rFonts w:ascii="宋体" w:hAnsi="宋体" w:cs="宋体" w:eastAsia="宋体" w:hint="default"/>
                <w:sz w:val="18"/>
                <w:szCs w:val="18"/>
              </w:rPr>
              <w:t>万元收购吴 凤辉、王权 汉、 陈军方、叶 泽泉持有的 福建新开普 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宋体" w:hAnsi="宋体" w:cs="宋体" w:eastAsia="宋体" w:hint="default"/>
                <w:sz w:val="18"/>
                <w:szCs w:val="18"/>
              </w:rPr>
              <w:t>的 股权。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9"/>
              <w:jc w:val="both"/>
              <w:rPr>
                <w:rFonts w:ascii="宋体" w:hAnsi="宋体" w:cs="宋体" w:eastAsia="宋体" w:hint="default"/>
                <w:sz w:val="18"/>
                <w:szCs w:val="18"/>
              </w:rPr>
            </w:pPr>
            <w:r>
              <w:rPr>
                <w:rFonts w:ascii="宋体" w:hAnsi="宋体" w:cs="宋体" w:eastAsia="宋体" w:hint="default"/>
                <w:sz w:val="18"/>
                <w:szCs w:val="18"/>
              </w:rPr>
              <w:t>根据北京卓 信大华资产 评估有限公 司出具的</w:t>
            </w:r>
          </w:p>
          <w:p>
            <w:pPr>
              <w:pStyle w:val="TableParagraph"/>
              <w:spacing w:line="316" w:lineRule="auto" w:before="19"/>
              <w:ind w:left="22" w:right="23"/>
              <w:jc w:val="both"/>
              <w:rPr>
                <w:rFonts w:ascii="宋体" w:hAnsi="宋体" w:cs="宋体" w:eastAsia="宋体" w:hint="default"/>
                <w:sz w:val="18"/>
                <w:szCs w:val="18"/>
              </w:rPr>
            </w:pPr>
            <w:r>
              <w:rPr>
                <w:rFonts w:ascii="宋体" w:hAnsi="宋体" w:cs="宋体" w:eastAsia="宋体" w:hint="default"/>
                <w:sz w:val="18"/>
                <w:szCs w:val="18"/>
              </w:rPr>
              <w:t>《资产评估 </w:t>
            </w:r>
            <w:r>
              <w:rPr>
                <w:rFonts w:ascii="宋体" w:hAnsi="宋体" w:cs="宋体" w:eastAsia="宋体" w:hint="default"/>
                <w:spacing w:val="-24"/>
                <w:sz w:val="18"/>
                <w:szCs w:val="18"/>
              </w:rPr>
              <w:t>报告》（卓信</w:t>
            </w:r>
            <w:r>
              <w:rPr>
                <w:rFonts w:ascii="宋体" w:hAnsi="宋体" w:cs="宋体" w:eastAsia="宋体" w:hint="default"/>
                <w:sz w:val="18"/>
                <w:szCs w:val="18"/>
              </w:rPr>
              <w:t> 大华评报字</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1,310.71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3,443.70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3,432.00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22" w:right="134"/>
              <w:jc w:val="left"/>
              <w:rPr>
                <w:rFonts w:ascii="宋体" w:hAnsi="宋体" w:cs="宋体" w:eastAsia="宋体" w:hint="default"/>
                <w:sz w:val="18"/>
                <w:szCs w:val="18"/>
              </w:rPr>
            </w:pPr>
            <w:r>
              <w:rPr>
                <w:rFonts w:ascii="宋体" w:hAnsi="宋体" w:cs="宋体" w:eastAsia="宋体" w:hint="default"/>
                <w:sz w:val="18"/>
                <w:szCs w:val="18"/>
              </w:rPr>
              <w:t>现金支 付</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4"/>
              <w:ind w:left="22" w:right="37"/>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 </w:t>
            </w:r>
            <w:hyperlink r:id="rId29">
              <w:r>
                <w:rPr>
                  <w:rFonts w:ascii="Times New Roman" w:hAnsi="Times New Roman" w:cs="Times New Roman" w:eastAsia="Times New Roman" w:hint="default"/>
                  <w:sz w:val="18"/>
                  <w:szCs w:val="18"/>
                </w:rPr>
                <w:t>http://ww</w:t>
              </w:r>
            </w:hyperlink>
          </w:p>
          <w:p>
            <w:pPr>
              <w:pStyle w:val="TableParagraph"/>
              <w:spacing w:line="362" w:lineRule="auto" w:before="23"/>
              <w:ind w:left="22" w:right="88"/>
              <w:jc w:val="left"/>
              <w:rPr>
                <w:rFonts w:ascii="Times New Roman" w:hAnsi="Times New Roman" w:cs="Times New Roman" w:eastAsia="Times New Roman" w:hint="default"/>
                <w:sz w:val="18"/>
                <w:szCs w:val="18"/>
              </w:rPr>
            </w:pPr>
            <w:r>
              <w:rPr>
                <w:rFonts w:ascii="Times New Roman"/>
                <w:spacing w:val="-2"/>
                <w:sz w:val="18"/>
              </w:rPr>
              <w:t>w.cninfo.</w:t>
            </w:r>
            <w:r>
              <w:rPr>
                <w:rFonts w:ascii="Times New Roman"/>
                <w:spacing w:val="-40"/>
                <w:sz w:val="18"/>
              </w:rPr>
              <w:t> </w:t>
            </w:r>
            <w:r>
              <w:rPr>
                <w:rFonts w:ascii="Times New Roman"/>
                <w:spacing w:val="-40"/>
                <w:sz w:val="18"/>
              </w:rPr>
            </w:r>
            <w:r>
              <w:rPr>
                <w:rFonts w:ascii="Times New Roman"/>
                <w:sz w:val="18"/>
              </w:rPr>
              <w:t>com.cn</w:t>
            </w:r>
          </w:p>
        </w:tc>
      </w:tr>
    </w:tbl>
    <w:p>
      <w:pPr>
        <w:spacing w:after="0" w:line="362" w:lineRule="auto"/>
        <w:jc w:val="lef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402"/>
        <w:gridCol w:w="6169"/>
      </w:tblGrid>
      <w:tr>
        <w:trPr>
          <w:trHeight w:val="714"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转让价格与账面价值或评估价值差异较大 的原因（如有）</w:t>
            </w:r>
          </w:p>
        </w:tc>
        <w:tc>
          <w:tcPr>
            <w:tcW w:w="6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6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如相关交易涉及业绩约定的，报告期内的业</w:t>
            </w:r>
            <w:r>
              <w:rPr>
                <w:rFonts w:ascii="宋体" w:hAnsi="宋体" w:cs="宋体" w:eastAsia="宋体" w:hint="default"/>
                <w:sz w:val="18"/>
                <w:szCs w:val="18"/>
              </w:rPr>
              <w:t> 绩实现情况</w:t>
            </w:r>
          </w:p>
        </w:tc>
        <w:tc>
          <w:tcPr>
            <w:tcW w:w="6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年度福建新开普完成业绩承诺，报告期内，福建新开普实现净利润</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649.42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万元，影响公司利润金额为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835.63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76"/>
        <w:gridCol w:w="1073"/>
        <w:gridCol w:w="1076"/>
        <w:gridCol w:w="1224"/>
        <w:gridCol w:w="1080"/>
        <w:gridCol w:w="1350"/>
        <w:gridCol w:w="1346"/>
        <w:gridCol w:w="1342"/>
      </w:tblGrid>
      <w:tr>
        <w:trPr>
          <w:trHeight w:val="714" w:hRule="exact"/>
        </w:trPr>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2" w:right="83"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5" w:right="83"/>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29" w:right="38" w:hanging="90"/>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28" w:right="36" w:hanging="90"/>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25" w:right="35" w:hanging="90"/>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r>
        <w:trPr>
          <w:trHeight w:val="1338"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上海序新企 业管理合伙 </w:t>
            </w:r>
            <w:r>
              <w:rPr>
                <w:rFonts w:ascii="宋体" w:hAnsi="宋体" w:cs="宋体" w:eastAsia="宋体" w:hint="default"/>
                <w:spacing w:val="-10"/>
                <w:sz w:val="18"/>
                <w:szCs w:val="18"/>
              </w:rPr>
              <w:t>企业（有限合</w:t>
            </w:r>
            <w:r>
              <w:rPr>
                <w:rFonts w:ascii="宋体" w:hAnsi="宋体" w:cs="宋体" w:eastAsia="宋体" w:hint="default"/>
                <w:sz w:val="18"/>
                <w:szCs w:val="18"/>
              </w:rPr>
              <w:t> 伙）</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关联法人</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2" w:right="83"/>
              <w:jc w:val="both"/>
              <w:rPr>
                <w:rFonts w:ascii="宋体" w:hAnsi="宋体" w:cs="宋体" w:eastAsia="宋体" w:hint="default"/>
                <w:sz w:val="18"/>
                <w:szCs w:val="18"/>
              </w:rPr>
            </w:pPr>
            <w:r>
              <w:rPr>
                <w:rFonts w:ascii="宋体" w:hAnsi="宋体" w:cs="宋体" w:eastAsia="宋体" w:hint="default"/>
                <w:sz w:val="18"/>
                <w:szCs w:val="18"/>
              </w:rPr>
              <w:t>上海新开普 志成信息科 技有限公司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7" w:right="65" w:hanging="270"/>
              <w:jc w:val="left"/>
              <w:rPr>
                <w:rFonts w:ascii="宋体" w:hAnsi="宋体" w:cs="宋体" w:eastAsia="宋体" w:hint="default"/>
                <w:sz w:val="18"/>
                <w:szCs w:val="18"/>
              </w:rPr>
            </w:pPr>
            <w:r>
              <w:rPr>
                <w:rFonts w:ascii="宋体" w:hAnsi="宋体" w:cs="宋体" w:eastAsia="宋体" w:hint="default"/>
                <w:sz w:val="18"/>
                <w:szCs w:val="18"/>
              </w:rPr>
              <w:t>智慧校园平台 的研发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21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18" w:type="dxa"/>
            <w:gridSpan w:val="6"/>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上海新开普志成已于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日完成工商设立登记手续，并取得了上海市杨浦区市场监 </w:t>
            </w:r>
            <w:r>
              <w:rPr>
                <w:rFonts w:ascii="宋体" w:hAnsi="宋体" w:cs="宋体" w:eastAsia="宋体" w:hint="default"/>
                <w:spacing w:val="-3"/>
                <w:sz w:val="18"/>
                <w:szCs w:val="18"/>
              </w:rPr>
              <w:t>督管理局核发的《营业执照》，具体内容详见公司刊登在中国证监会指定创业板信息披露网站</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上的相关公告。</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7"/>
        <w:rPr>
          <w:rFonts w:ascii="宋体" w:hAnsi="宋体" w:cs="宋体" w:eastAsia="宋体" w:hint="default"/>
          <w:b/>
          <w:bCs/>
          <w:sz w:val="32"/>
          <w:szCs w:val="32"/>
        </w:rPr>
      </w:pPr>
    </w:p>
    <w:p>
      <w:pPr>
        <w:spacing w:line="489" w:lineRule="auto" w:before="0"/>
        <w:ind w:left="154" w:right="76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6"/>
        <w:rPr>
          <w:rFonts w:ascii="宋体" w:hAnsi="宋体" w:cs="宋体" w:eastAsia="宋体" w:hint="default"/>
          <w:sz w:val="18"/>
          <w:szCs w:val="18"/>
        </w:rPr>
      </w:pPr>
    </w:p>
    <w:p>
      <w:pPr>
        <w:pStyle w:val="Heading3"/>
        <w:spacing w:line="240" w:lineRule="auto"/>
        <w:ind w:right="111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7"/>
          <w:szCs w:val="17"/>
        </w:rPr>
      </w:pPr>
    </w:p>
    <w:p>
      <w:pPr>
        <w:pStyle w:val="BodyText"/>
        <w:spacing w:line="396" w:lineRule="auto" w:before="0"/>
        <w:ind w:left="153" w:right="1108" w:firstLine="42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日，公司召开第四届董事会第十八次会议及监事会第十七次会议审议通过《关于上海</w:t>
      </w:r>
      <w:r>
        <w:rPr>
          <w:spacing w:val="2"/>
        </w:rPr>
        <w:t> </w:t>
      </w:r>
      <w:r>
        <w:rPr>
          <w:spacing w:val="-1"/>
        </w:rPr>
        <w:t>云鑫创业投资有限公司增资完美数联（北京）科技有限公司暨关联交易的议案》，公司股东杨维国、付秋</w:t>
      </w:r>
      <w:r>
        <w:rPr>
          <w:spacing w:val="-83"/>
        </w:rPr>
        <w:t> </w:t>
      </w:r>
      <w:r>
        <w:rPr>
          <w:spacing w:val="-83"/>
        </w:rPr>
      </w:r>
      <w:r>
        <w:rPr/>
        <w:t>生、尚卫国、赵利宾、华梦阳、傅常顺、杜建平、刘恩臣、葛晓阁与上海云鑫签署了《股份转让协议》， </w:t>
      </w:r>
      <w:r>
        <w:rPr>
          <w:spacing w:val="-2"/>
        </w:rPr>
        <w:t>上海云鑫合计受让公司无限售条件流通股</w:t>
      </w:r>
      <w:r>
        <w:rPr>
          <w:rFonts w:ascii="Times New Roman" w:hAnsi="Times New Roman" w:cs="Times New Roman" w:eastAsia="Times New Roman" w:hint="default"/>
          <w:spacing w:val="-2"/>
        </w:rPr>
        <w:t>30</w:t>
      </w:r>
      <w:r>
        <w:rPr>
          <w:spacing w:val="-2"/>
        </w:rPr>
        <w:t>,</w:t>
      </w:r>
      <w:r>
        <w:rPr>
          <w:rFonts w:ascii="Times New Roman" w:hAnsi="Times New Roman" w:cs="Times New Roman" w:eastAsia="Times New Roman" w:hint="default"/>
          <w:spacing w:val="-2"/>
        </w:rPr>
        <w:t>210</w:t>
      </w:r>
      <w:r>
        <w:rPr>
          <w:spacing w:val="-2"/>
        </w:rPr>
        <w:t>,</w:t>
      </w:r>
      <w:r>
        <w:rPr>
          <w:rFonts w:ascii="Times New Roman" w:hAnsi="Times New Roman" w:cs="Times New Roman" w:eastAsia="Times New Roman" w:hint="default"/>
          <w:spacing w:val="-2"/>
        </w:rPr>
        <w:t>000</w:t>
      </w:r>
      <w:r>
        <w:rPr>
          <w:spacing w:val="-2"/>
        </w:rPr>
        <w:t>股，约占公司目前总股本的</w:t>
      </w:r>
      <w:r>
        <w:rPr>
          <w:rFonts w:ascii="Times New Roman" w:hAnsi="Times New Roman" w:cs="Times New Roman" w:eastAsia="Times New Roman" w:hint="default"/>
          <w:spacing w:val="-2"/>
        </w:rPr>
        <w:t>6.28</w:t>
      </w:r>
      <w:r>
        <w:rPr>
          <w:spacing w:val="-2"/>
        </w:rPr>
        <w:t>%，转让完成后上海云</w:t>
      </w:r>
      <w:r>
        <w:rPr>
          <w:spacing w:val="-84"/>
        </w:rPr>
        <w:t> </w:t>
      </w:r>
      <w:r>
        <w:rPr>
          <w:spacing w:val="-84"/>
        </w:rPr>
      </w:r>
      <w:r>
        <w:rPr>
          <w:spacing w:val="-1"/>
        </w:rPr>
        <w:t>鑫成为公司第二大股东。同时，公司、完美数联、天维恒瑞、上海云鑫签署了相关交易协议，上海云鑫以</w:t>
      </w:r>
      <w:r>
        <w:rPr>
          <w:spacing w:val="-83"/>
        </w:rPr>
        <w:t> </w:t>
      </w:r>
      <w:r>
        <w:rPr>
          <w:spacing w:val="-83"/>
        </w:rPr>
      </w:r>
      <w:r>
        <w:rPr>
          <w:spacing w:val="-1"/>
        </w:rPr>
        <w:t>人民币</w:t>
      </w:r>
      <w:r>
        <w:rPr>
          <w:rFonts w:ascii="Times New Roman" w:hAnsi="Times New Roman" w:cs="Times New Roman" w:eastAsia="Times New Roman" w:hint="default"/>
          <w:spacing w:val="-1"/>
        </w:rPr>
        <w:t>25</w:t>
      </w:r>
      <w:r>
        <w:rPr>
          <w:spacing w:val="-1"/>
        </w:rPr>
        <w:t>,</w:t>
      </w:r>
      <w:r>
        <w:rPr>
          <w:rFonts w:ascii="Times New Roman" w:hAnsi="Times New Roman" w:cs="Times New Roman" w:eastAsia="Times New Roman" w:hint="default"/>
          <w:spacing w:val="-1"/>
        </w:rPr>
        <w:t>000.00</w:t>
      </w:r>
      <w:r>
        <w:rPr>
          <w:spacing w:val="-1"/>
        </w:rPr>
        <w:t>万元对完美数联进行增资。本次交易前，完美数联注册资本为</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000.00</w:t>
      </w:r>
      <w:r>
        <w:rPr>
          <w:spacing w:val="-1"/>
        </w:rPr>
        <w:t>万元，新开普持有</w:t>
      </w:r>
      <w:r>
        <w:rPr>
          <w:spacing w:val="-86"/>
        </w:rPr>
        <w:t> </w:t>
      </w:r>
      <w:r>
        <w:rPr>
          <w:spacing w:val="-86"/>
        </w:rPr>
      </w:r>
      <w:r>
        <w:rPr>
          <w:rFonts w:ascii="Times New Roman" w:hAnsi="Times New Roman" w:cs="Times New Roman" w:eastAsia="Times New Roman" w:hint="default"/>
        </w:rPr>
        <w:t>85.71</w:t>
      </w:r>
      <w:r>
        <w:rPr/>
        <w:t>%股权，天维恒瑞持有</w:t>
      </w:r>
      <w:r>
        <w:rPr>
          <w:rFonts w:ascii="Times New Roman" w:hAnsi="Times New Roman" w:cs="Times New Roman" w:eastAsia="Times New Roman" w:hint="default"/>
        </w:rPr>
        <w:t>14.29</w:t>
      </w:r>
      <w:r>
        <w:rPr/>
        <w:t>%股权。本次交易交割全部完成后，完美数联注册资本将增加至</w:t>
      </w:r>
      <w:r>
        <w:rPr>
          <w:rFonts w:ascii="Times New Roman" w:hAnsi="Times New Roman" w:cs="Times New Roman" w:eastAsia="Times New Roman" w:hint="default"/>
        </w:rPr>
        <w:t>2</w:t>
      </w:r>
      <w:r>
        <w:rPr/>
        <w:t>,</w:t>
      </w:r>
      <w:r>
        <w:rPr>
          <w:rFonts w:ascii="Times New Roman" w:hAnsi="Times New Roman" w:cs="Times New Roman" w:eastAsia="Times New Roman" w:hint="default"/>
        </w:rPr>
        <w:t>857.00</w:t>
      </w:r>
      <w:r>
        <w:rPr>
          <w:rFonts w:ascii="Times New Roman" w:hAnsi="Times New Roman" w:cs="Times New Roman" w:eastAsia="Times New Roman" w:hint="default"/>
          <w:spacing w:val="52"/>
        </w:rPr>
        <w:t> </w:t>
      </w:r>
      <w:r>
        <w:rPr>
          <w:rFonts w:ascii="Times New Roman" w:hAnsi="Times New Roman" w:cs="Times New Roman" w:eastAsia="Times New Roman" w:hint="default"/>
          <w:spacing w:val="52"/>
        </w:rPr>
      </w:r>
      <w:r>
        <w:rPr/>
        <w:t>万元，新开普持有</w:t>
      </w:r>
      <w:r>
        <w:rPr>
          <w:rFonts w:ascii="Times New Roman" w:hAnsi="Times New Roman" w:cs="Times New Roman" w:eastAsia="Times New Roman" w:hint="default"/>
        </w:rPr>
        <w:t>60.00</w:t>
      </w:r>
      <w:r>
        <w:rPr/>
        <w:t>%股权，天维恒瑞持有</w:t>
      </w:r>
      <w:r>
        <w:rPr>
          <w:rFonts w:ascii="Times New Roman" w:hAnsi="Times New Roman" w:cs="Times New Roman" w:eastAsia="Times New Roman" w:hint="default"/>
        </w:rPr>
        <w:t>10.00</w:t>
      </w:r>
      <w:r>
        <w:rPr/>
        <w:t>%股权，上海云鑫持有</w:t>
      </w:r>
      <w:r>
        <w:rPr>
          <w:rFonts w:ascii="Times New Roman" w:hAnsi="Times New Roman" w:cs="Times New Roman" w:eastAsia="Times New Roman" w:hint="default"/>
        </w:rPr>
        <w:t>30.00</w:t>
      </w:r>
      <w:r>
        <w:rPr/>
        <w:t>%股权。</w:t>
      </w:r>
    </w:p>
    <w:p>
      <w:pPr>
        <w:pStyle w:val="BodyText"/>
        <w:spacing w:line="240" w:lineRule="auto" w:before="26"/>
        <w:ind w:left="573" w:right="99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日，新开普电子股份有限公司与北京希嘉创智教育科技有限公司、北京希嘉创智科技</w:t>
      </w:r>
    </w:p>
    <w:p>
      <w:pPr>
        <w:spacing w:after="0" w:line="240"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393" w:lineRule="auto" w:before="35"/>
        <w:ind w:left="153" w:right="1108"/>
        <w:jc w:val="both"/>
      </w:pPr>
      <w:r>
        <w:rPr>
          <w:spacing w:val="-1"/>
        </w:rPr>
        <w:t>有限公司、北京希嘉科技发展中心（有限合伙）汪浩及希嘉科技股东等</w:t>
      </w:r>
      <w:r>
        <w:rPr>
          <w:rFonts w:ascii="Times New Roman" w:hAnsi="Times New Roman" w:cs="Times New Roman" w:eastAsia="Times New Roman" w:hint="default"/>
          <w:spacing w:val="-1"/>
        </w:rPr>
        <w:t>10</w:t>
      </w:r>
      <w:r>
        <w:rPr>
          <w:spacing w:val="-1"/>
        </w:rPr>
        <w:t>方签署《关于北京希嘉创智教育</w:t>
      </w:r>
      <w:r>
        <w:rPr>
          <w:spacing w:val="-83"/>
        </w:rPr>
        <w:t> </w:t>
      </w:r>
      <w:r>
        <w:rPr>
          <w:spacing w:val="-83"/>
        </w:rPr>
      </w:r>
      <w:r>
        <w:rPr/>
        <w:t>科技有限公司之增资协议》。根据上述协议及相关补充协议约定，由于希嘉教育原股东未完成业绩承诺，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月，希嘉教育原股东将其持有的希嘉教育合计</w:t>
      </w:r>
      <w:r>
        <w:rPr>
          <w:rFonts w:ascii="Times New Roman" w:hAnsi="Times New Roman" w:cs="Times New Roman" w:eastAsia="Times New Roman" w:hint="default"/>
        </w:rPr>
        <w:t>20.00</w:t>
      </w:r>
      <w:r>
        <w:rPr/>
        <w:t>%的股权以</w:t>
      </w:r>
      <w:r>
        <w:rPr>
          <w:rFonts w:ascii="Times New Roman" w:hAnsi="Times New Roman" w:cs="Times New Roman" w:eastAsia="Times New Roman" w:hint="default"/>
        </w:rPr>
        <w:t>0</w:t>
      </w:r>
      <w:r>
        <w:rPr/>
        <w:t>元价格转让给公司，转让完成后公</w:t>
      </w:r>
      <w:r>
        <w:rPr>
          <w:spacing w:val="-84"/>
        </w:rPr>
        <w:t> </w:t>
      </w:r>
      <w:r>
        <w:rPr>
          <w:spacing w:val="-84"/>
        </w:rPr>
      </w:r>
      <w:r>
        <w:rPr/>
        <w:t>司持有希嘉教育</w:t>
      </w:r>
      <w:r>
        <w:rPr>
          <w:rFonts w:ascii="Times New Roman" w:hAnsi="Times New Roman" w:cs="Times New Roman" w:eastAsia="Times New Roman" w:hint="default"/>
        </w:rPr>
        <w:t>44</w:t>
      </w:r>
      <w:r>
        <w:rPr/>
        <w:t>%的股权。</w:t>
      </w:r>
    </w:p>
    <w:p>
      <w:pPr>
        <w:pStyle w:val="BodyText"/>
        <w:spacing w:line="240" w:lineRule="auto" w:before="28"/>
        <w:ind w:left="574" w:right="1113"/>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日，公司第四届董事会第二十四次会议和第四届监事会第二十二次会议分别审议通过了</w:t>
      </w:r>
    </w:p>
    <w:p>
      <w:pPr>
        <w:pStyle w:val="BodyText"/>
        <w:spacing w:line="386" w:lineRule="auto" w:before="177"/>
        <w:ind w:left="153" w:right="1128"/>
        <w:jc w:val="both"/>
      </w:pPr>
      <w:r>
        <w:rPr/>
        <w:t>《关于对参股子公司增资暨关联交易的议案》，公司以自有资金人民币</w:t>
      </w:r>
      <w:r>
        <w:rPr>
          <w:rFonts w:ascii="Times New Roman" w:hAnsi="Times New Roman" w:cs="Times New Roman" w:eastAsia="Times New Roman" w:hint="default"/>
        </w:rPr>
        <w:t>874.9997</w:t>
      </w:r>
      <w:r>
        <w:rPr/>
        <w:t>万元通过增资扩股的方式</w:t>
      </w:r>
      <w:r>
        <w:rPr>
          <w:spacing w:val="-83"/>
        </w:rPr>
        <w:t> </w:t>
      </w:r>
      <w:r>
        <w:rPr>
          <w:spacing w:val="-83"/>
        </w:rPr>
      </w:r>
      <w:r>
        <w:rPr>
          <w:spacing w:val="-2"/>
        </w:rPr>
        <w:t>投资希嘉教育，认购希嘉教育基于完全摊薄基础上共计</w:t>
      </w:r>
      <w:r>
        <w:rPr>
          <w:rFonts w:ascii="Times New Roman" w:hAnsi="Times New Roman" w:cs="Times New Roman" w:eastAsia="Times New Roman" w:hint="default"/>
          <w:spacing w:val="-2"/>
        </w:rPr>
        <w:t>12.5</w:t>
      </w:r>
      <w:r>
        <w:rPr>
          <w:spacing w:val="-2"/>
        </w:rPr>
        <w:t>%的股权，增资完成后公司持股占希嘉教育增资</w:t>
      </w:r>
      <w:r>
        <w:rPr>
          <w:spacing w:val="-1"/>
        </w:rPr>
        <w:t> </w:t>
      </w:r>
      <w:r>
        <w:rPr/>
        <w:t>后注册资本的</w:t>
      </w:r>
      <w:r>
        <w:rPr>
          <w:rFonts w:ascii="Times New Roman" w:hAnsi="Times New Roman" w:cs="Times New Roman" w:eastAsia="Times New Roman" w:hint="default"/>
        </w:rPr>
        <w:t>51</w:t>
      </w:r>
      <w:r>
        <w:rPr/>
        <w:t>%。</w:t>
      </w:r>
    </w:p>
    <w:p>
      <w:pPr>
        <w:pStyle w:val="BodyText"/>
        <w:spacing w:line="240" w:lineRule="auto" w:before="35"/>
        <w:ind w:left="574" w:right="1113"/>
        <w:jc w:val="left"/>
      </w:pPr>
      <w:r>
        <w:rPr/>
        <w:t>以上具体内容详见公司刊登在中国证监会指定创业板信息披露网站上的相关公告。</w:t>
      </w:r>
    </w:p>
    <w:p>
      <w:pPr>
        <w:spacing w:line="240" w:lineRule="auto" w:before="11"/>
        <w:rPr>
          <w:rFonts w:ascii="宋体" w:hAnsi="宋体" w:cs="宋体" w:eastAsia="宋体" w:hint="default"/>
          <w:sz w:val="19"/>
          <w:szCs w:val="19"/>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1026"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关于上海云鑫创业投资有限公司增资完美 </w:t>
            </w:r>
            <w:r>
              <w:rPr>
                <w:rFonts w:ascii="宋体" w:hAnsi="宋体" w:cs="宋体" w:eastAsia="宋体" w:hint="default"/>
                <w:spacing w:val="-1"/>
                <w:sz w:val="18"/>
                <w:szCs w:val="18"/>
              </w:rPr>
              <w:t>数联（北京）科技有限公司暨关联交易的公</w:t>
            </w:r>
            <w:r>
              <w:rPr>
                <w:rFonts w:ascii="宋体" w:hAnsi="宋体" w:cs="宋体" w:eastAsia="宋体" w:hint="default"/>
                <w:sz w:val="18"/>
                <w:szCs w:val="18"/>
              </w:rPr>
              <w:t> 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关于收购控股子公司股权暨关联交易的公 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关于对外投资并设立控股子公司暨关联交 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关于对参股子公司增资暨关联交易的公告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026"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both"/>
              <w:rPr>
                <w:rFonts w:ascii="宋体" w:hAnsi="宋体" w:cs="宋体" w:eastAsia="宋体" w:hint="default"/>
                <w:sz w:val="18"/>
                <w:szCs w:val="18"/>
              </w:rPr>
            </w:pPr>
            <w:r>
              <w:rPr>
                <w:rFonts w:ascii="宋体" w:hAnsi="宋体" w:cs="宋体" w:eastAsia="宋体" w:hint="default"/>
                <w:sz w:val="18"/>
                <w:szCs w:val="18"/>
              </w:rPr>
              <w:t>关于对外投资设立控股子公司进展暨上海 新开普志成信息科技有限公司完成工商注 册登记的公告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sz w:val="18"/>
          <w:szCs w:val="18"/>
        </w:rPr>
      </w:pPr>
    </w:p>
    <w:p>
      <w:pPr>
        <w:pStyle w:val="Heading2"/>
        <w:spacing w:line="240" w:lineRule="auto" w:before="26"/>
        <w:ind w:right="1113"/>
        <w:jc w:val="left"/>
        <w:rPr>
          <w:b w:val="0"/>
          <w:bCs w:val="0"/>
        </w:rPr>
      </w:pP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7"/>
        <w:rPr>
          <w:rFonts w:ascii="宋体" w:hAnsi="宋体" w:cs="宋体" w:eastAsia="宋体" w:hint="default"/>
          <w:b/>
          <w:bCs/>
          <w:sz w:val="32"/>
          <w:szCs w:val="32"/>
        </w:rPr>
      </w:pPr>
    </w:p>
    <w:p>
      <w:pPr>
        <w:spacing w:line="489" w:lineRule="auto" w:before="0"/>
        <w:ind w:left="154" w:right="84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6"/>
        <w:rPr>
          <w:rFonts w:ascii="宋体" w:hAnsi="宋体" w:cs="宋体" w:eastAsia="宋体" w:hint="default"/>
          <w:sz w:val="18"/>
          <w:szCs w:val="18"/>
        </w:rPr>
      </w:pPr>
    </w:p>
    <w:p>
      <w:pPr>
        <w:pStyle w:val="Heading3"/>
        <w:spacing w:line="240" w:lineRule="auto"/>
        <w:ind w:right="111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32"/>
          <w:szCs w:val="32"/>
        </w:rPr>
      </w:pPr>
    </w:p>
    <w:p>
      <w:pPr>
        <w:spacing w:line="489" w:lineRule="auto" w:before="0"/>
        <w:ind w:left="154" w:right="84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after="0" w:line="489"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32"/>
          <w:szCs w:val="32"/>
        </w:rPr>
      </w:pPr>
    </w:p>
    <w:p>
      <w:pPr>
        <w:spacing w:line="489" w:lineRule="auto" w:before="0"/>
        <w:ind w:left="154" w:right="91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租赁情况说明</w:t>
      </w:r>
    </w:p>
    <w:p>
      <w:pPr>
        <w:pStyle w:val="BodyText"/>
        <w:spacing w:line="386" w:lineRule="auto" w:before="59"/>
        <w:ind w:left="153" w:right="1106" w:firstLine="420"/>
        <w:jc w:val="both"/>
      </w:pPr>
      <w:r>
        <w:rPr>
          <w:rFonts w:ascii="Times New Roman" w:hAnsi="Times New Roman" w:cs="Times New Roman" w:eastAsia="Times New Roman" w:hint="default"/>
        </w:rPr>
        <w:t>1</w:t>
      </w:r>
      <w:r>
        <w:rPr/>
        <w:t>、经公司第三届董事会第七次会议及第三届监事会第六次会议审议通过，公司同意将位于郑州高新</w:t>
      </w:r>
      <w:r>
        <w:rPr>
          <w:spacing w:val="2"/>
        </w:rPr>
        <w:t> </w:t>
      </w:r>
      <w:r>
        <w:rPr>
          <w:spacing w:val="-1"/>
        </w:rPr>
        <w:t>技术产业开发区翠竹街</w:t>
      </w:r>
      <w:r>
        <w:rPr>
          <w:rFonts w:ascii="Times New Roman" w:hAnsi="Times New Roman" w:cs="Times New Roman" w:eastAsia="Times New Roman" w:hint="default"/>
          <w:spacing w:val="-1"/>
        </w:rPr>
        <w:t>6</w:t>
      </w:r>
      <w:r>
        <w:rPr>
          <w:spacing w:val="-1"/>
        </w:rPr>
        <w:t>号</w:t>
      </w:r>
      <w:r>
        <w:rPr>
          <w:rFonts w:ascii="Times New Roman" w:hAnsi="Times New Roman" w:cs="Times New Roman" w:eastAsia="Times New Roman" w:hint="default"/>
          <w:spacing w:val="-1"/>
        </w:rPr>
        <w:t>863</w:t>
      </w:r>
      <w:r>
        <w:rPr>
          <w:spacing w:val="-1"/>
        </w:rPr>
        <w:t>国家软件基地</w:t>
      </w:r>
      <w:r>
        <w:rPr>
          <w:rFonts w:ascii="Times New Roman" w:hAnsi="Times New Roman" w:cs="Times New Roman" w:eastAsia="Times New Roman" w:hint="default"/>
          <w:spacing w:val="-1"/>
        </w:rPr>
        <w:t>10</w:t>
      </w:r>
      <w:r>
        <w:rPr>
          <w:spacing w:val="-1"/>
        </w:rPr>
        <w:t>号楼房产整体向郑州罗曼达酒店管理有限公司进行出租，并</w:t>
      </w:r>
      <w:r>
        <w:rPr>
          <w:spacing w:val="-84"/>
        </w:rPr>
        <w:t> </w:t>
      </w:r>
      <w:r>
        <w:rPr>
          <w:spacing w:val="-84"/>
        </w:rPr>
      </w:r>
      <w:r>
        <w:rPr/>
        <w:t>签署《房屋租赁合同》，租赁期限自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2029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日止共计</w:t>
      </w:r>
      <w:r>
        <w:rPr>
          <w:rFonts w:ascii="Times New Roman" w:hAnsi="Times New Roman" w:cs="Times New Roman" w:eastAsia="Times New Roman" w:hint="default"/>
        </w:rPr>
        <w:t>15</w:t>
      </w:r>
      <w:r>
        <w:rPr/>
        <w:t>年。双方约定自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w:t>
      </w:r>
      <w:r>
        <w:rPr>
          <w:rFonts w:ascii="Times New Roman" w:hAnsi="Times New Roman" w:cs="Times New Roman" w:eastAsia="Times New Roman" w:hint="default"/>
        </w:rPr>
        <w:t>1</w:t>
      </w:r>
      <w:r>
        <w:rPr/>
        <w:t>日起，年租金为</w:t>
      </w:r>
      <w:r>
        <w:rPr>
          <w:rFonts w:ascii="Times New Roman" w:hAnsi="Times New Roman" w:cs="Times New Roman" w:eastAsia="Times New Roman" w:hint="default"/>
        </w:rPr>
        <w:t>339</w:t>
      </w:r>
      <w:r>
        <w:rPr/>
        <w:t>万元/年；第</w:t>
      </w:r>
      <w:r>
        <w:rPr>
          <w:rFonts w:ascii="Times New Roman" w:hAnsi="Times New Roman" w:cs="Times New Roman" w:eastAsia="Times New Roman" w:hint="default"/>
        </w:rPr>
        <w:t>5</w:t>
      </w:r>
      <w:r>
        <w:rPr/>
        <w:t>个租赁年度内（</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日）开始租金在第一年的基础上递增</w:t>
      </w:r>
      <w:r>
        <w:rPr>
          <w:rFonts w:ascii="Times New Roman" w:hAnsi="Times New Roman" w:cs="Times New Roman" w:eastAsia="Times New Roman" w:hint="default"/>
        </w:rPr>
        <w:t>5</w:t>
      </w:r>
      <w:r>
        <w:rPr/>
        <w:t>%，</w:t>
      </w:r>
      <w:r>
        <w:rPr>
          <w:spacing w:val="1"/>
        </w:rPr>
        <w:t> </w:t>
      </w:r>
      <w:r>
        <w:rPr>
          <w:spacing w:val="-2"/>
        </w:rPr>
        <w:t>为</w:t>
      </w:r>
      <w:r>
        <w:rPr>
          <w:rFonts w:ascii="Times New Roman" w:hAnsi="Times New Roman" w:cs="Times New Roman" w:eastAsia="Times New Roman" w:hint="default"/>
          <w:spacing w:val="-2"/>
        </w:rPr>
        <w:t>355.95</w:t>
      </w:r>
      <w:r>
        <w:rPr>
          <w:spacing w:val="-2"/>
        </w:rPr>
        <w:t>万元/年，之后五年不变；第</w:t>
      </w:r>
      <w:r>
        <w:rPr>
          <w:rFonts w:ascii="Times New Roman" w:hAnsi="Times New Roman" w:cs="Times New Roman" w:eastAsia="Times New Roman" w:hint="default"/>
          <w:spacing w:val="-2"/>
        </w:rPr>
        <w:t>10</w:t>
      </w:r>
      <w:r>
        <w:rPr>
          <w:spacing w:val="-2"/>
        </w:rPr>
        <w:t>个租赁年度（</w:t>
      </w:r>
      <w:r>
        <w:rPr>
          <w:rFonts w:ascii="Times New Roman" w:hAnsi="Times New Roman" w:cs="Times New Roman" w:eastAsia="Times New Roman" w:hint="default"/>
          <w:spacing w:val="-2"/>
        </w:rPr>
        <w:t>2024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日）开始的最后租赁期内，年租金在上年</w:t>
      </w:r>
      <w:r>
        <w:rPr>
          <w:spacing w:val="-87"/>
        </w:rPr>
        <w:t> </w:t>
      </w:r>
      <w:r>
        <w:rPr>
          <w:spacing w:val="-87"/>
        </w:rPr>
      </w:r>
      <w:r>
        <w:rPr/>
        <w:t>度租金的基础上递增，比例为</w:t>
      </w:r>
      <w:r>
        <w:rPr>
          <w:rFonts w:ascii="Times New Roman" w:hAnsi="Times New Roman" w:cs="Times New Roman" w:eastAsia="Times New Roman" w:hint="default"/>
        </w:rPr>
        <w:t>5</w:t>
      </w:r>
      <w:r>
        <w:rPr/>
        <w:t>%－</w:t>
      </w:r>
      <w:r>
        <w:rPr>
          <w:rFonts w:ascii="Times New Roman" w:hAnsi="Times New Roman" w:cs="Times New Roman" w:eastAsia="Times New Roman" w:hint="default"/>
        </w:rPr>
        <w:t>10</w:t>
      </w:r>
      <w:r>
        <w:rPr/>
        <w:t>%，具体金额由双方根据营利情况、市场租金变化情况，友好协商。</w:t>
      </w:r>
    </w:p>
    <w:p>
      <w:pPr>
        <w:pStyle w:val="BodyText"/>
        <w:spacing w:line="386" w:lineRule="auto" w:before="35"/>
        <w:ind w:right="1129" w:firstLine="420"/>
        <w:jc w:val="both"/>
      </w:pPr>
      <w:r>
        <w:rPr>
          <w:spacing w:val="-1"/>
        </w:rPr>
        <w:t>经公司</w:t>
      </w:r>
      <w:r>
        <w:rPr>
          <w:rFonts w:ascii="Times New Roman" w:hAnsi="Times New Roman" w:cs="Times New Roman" w:eastAsia="Times New Roman" w:hint="default"/>
          <w:spacing w:val="-1"/>
        </w:rPr>
        <w:t>2016</w:t>
      </w:r>
      <w:r>
        <w:rPr>
          <w:spacing w:val="-1"/>
        </w:rPr>
        <w:t>年第九次总经理办公会审议通过，公司与郑州罗曼达酒店管理有限公司于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29</w:t>
      </w:r>
      <w:r>
        <w:rPr>
          <w:spacing w:val="-1"/>
        </w:rPr>
        <w:t>日</w:t>
      </w:r>
      <w:r>
        <w:rPr/>
        <w:t> </w:t>
      </w:r>
      <w:r>
        <w:rPr>
          <w:spacing w:val="-1"/>
        </w:rPr>
        <w:t>签订《房屋租赁合同补充协议》，公司一次性给与郑州罗曼达酒店管理有限公司</w:t>
      </w:r>
      <w:r>
        <w:rPr>
          <w:rFonts w:ascii="Times New Roman" w:hAnsi="Times New Roman" w:cs="Times New Roman" w:eastAsia="Times New Roman" w:hint="default"/>
          <w:spacing w:val="-1"/>
        </w:rPr>
        <w:t>2016</w:t>
      </w:r>
      <w:r>
        <w:rPr>
          <w:spacing w:val="-1"/>
        </w:rPr>
        <w:t>年第四季度房租优惠</w:t>
      </w:r>
      <w:r>
        <w:rPr>
          <w:spacing w:val="-85"/>
        </w:rPr>
        <w:t> </w:t>
      </w:r>
      <w:r>
        <w:rPr>
          <w:spacing w:val="-85"/>
        </w:rPr>
      </w:r>
      <w:r>
        <w:rPr>
          <w:rFonts w:ascii="Times New Roman" w:hAnsi="Times New Roman" w:cs="Times New Roman" w:eastAsia="Times New Roman" w:hint="default"/>
          <w:spacing w:val="-1"/>
        </w:rPr>
        <w:t>26</w:t>
      </w:r>
      <w:r>
        <w:rPr>
          <w:spacing w:val="-1"/>
        </w:rPr>
        <w:t>万元，双方约定自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日起，年租金由为</w:t>
      </w:r>
      <w:r>
        <w:rPr>
          <w:rFonts w:ascii="Times New Roman" w:hAnsi="Times New Roman" w:cs="Times New Roman" w:eastAsia="Times New Roman" w:hint="default"/>
          <w:spacing w:val="-1"/>
        </w:rPr>
        <w:t>339</w:t>
      </w:r>
      <w:r>
        <w:rPr>
          <w:spacing w:val="-1"/>
        </w:rPr>
        <w:t>万元/年调整为</w:t>
      </w:r>
      <w:r>
        <w:rPr>
          <w:rFonts w:ascii="Times New Roman" w:hAnsi="Times New Roman" w:cs="Times New Roman" w:eastAsia="Times New Roman" w:hint="default"/>
          <w:spacing w:val="-1"/>
        </w:rPr>
        <w:t>300</w:t>
      </w:r>
      <w:r>
        <w:rPr>
          <w:spacing w:val="-1"/>
        </w:rPr>
        <w:t>万元/年，</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2024</w:t>
      </w:r>
      <w:r>
        <w:rPr>
          <w:spacing w:val="-1"/>
        </w:rPr>
        <w:t>年</w:t>
      </w:r>
    </w:p>
    <w:p>
      <w:pPr>
        <w:pStyle w:val="BodyText"/>
        <w:spacing w:line="386" w:lineRule="auto" w:before="35"/>
        <w:ind w:right="1131"/>
        <w:jc w:val="left"/>
      </w:pP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w:t>
      </w:r>
      <w:r>
        <w:rPr>
          <w:spacing w:val="-1"/>
        </w:rPr>
        <w:t>日，在此基础上递增</w:t>
      </w:r>
      <w:r>
        <w:rPr>
          <w:rFonts w:ascii="Times New Roman" w:hAnsi="Times New Roman" w:cs="Times New Roman" w:eastAsia="Times New Roman" w:hint="default"/>
          <w:spacing w:val="-1"/>
        </w:rPr>
        <w:t>5</w:t>
      </w:r>
      <w:r>
        <w:rPr>
          <w:spacing w:val="-1"/>
        </w:rPr>
        <w:t>%，为</w:t>
      </w:r>
      <w:r>
        <w:rPr>
          <w:rFonts w:ascii="Times New Roman" w:hAnsi="Times New Roman" w:cs="Times New Roman" w:eastAsia="Times New Roman" w:hint="default"/>
          <w:spacing w:val="-1"/>
        </w:rPr>
        <w:t>315</w:t>
      </w:r>
      <w:r>
        <w:rPr>
          <w:spacing w:val="-1"/>
        </w:rPr>
        <w:t>万元/年；</w:t>
      </w:r>
      <w:r>
        <w:rPr>
          <w:rFonts w:ascii="Times New Roman" w:hAnsi="Times New Roman" w:cs="Times New Roman" w:eastAsia="Times New Roman" w:hint="default"/>
          <w:spacing w:val="-1"/>
        </w:rPr>
        <w:t>2024</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2029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日，在</w:t>
      </w:r>
      <w:r>
        <w:rPr>
          <w:rFonts w:ascii="Times New Roman" w:hAnsi="Times New Roman" w:cs="Times New Roman" w:eastAsia="Times New Roman" w:hint="default"/>
          <w:spacing w:val="-1"/>
        </w:rPr>
        <w:t>315</w:t>
      </w:r>
      <w:r>
        <w:rPr>
          <w:spacing w:val="-1"/>
        </w:rPr>
        <w:t>万元/年的基础上递</w:t>
      </w:r>
      <w:r>
        <w:rPr>
          <w:spacing w:val="-88"/>
        </w:rPr>
        <w:t> </w:t>
      </w:r>
      <w:r>
        <w:rPr>
          <w:spacing w:val="-88"/>
        </w:rPr>
      </w:r>
      <w:r>
        <w:rPr/>
        <w:t>增，上调</w:t>
      </w:r>
      <w:r>
        <w:rPr>
          <w:rFonts w:ascii="Times New Roman" w:hAnsi="Times New Roman" w:cs="Times New Roman" w:eastAsia="Times New Roman" w:hint="default"/>
        </w:rPr>
        <w:t>5</w:t>
      </w:r>
      <w:r>
        <w:rPr/>
        <w:t>%-</w:t>
      </w:r>
      <w:r>
        <w:rPr>
          <w:rFonts w:ascii="Times New Roman" w:hAnsi="Times New Roman" w:cs="Times New Roman" w:eastAsia="Times New Roman" w:hint="default"/>
        </w:rPr>
        <w:t>10</w:t>
      </w:r>
      <w:r>
        <w:rPr/>
        <w:t>%，具体金额由双方友好协商确定。</w:t>
      </w:r>
    </w:p>
    <w:p>
      <w:pPr>
        <w:pStyle w:val="BodyText"/>
        <w:spacing w:line="386" w:lineRule="auto" w:before="35"/>
        <w:ind w:right="1126" w:firstLine="420"/>
        <w:jc w:val="both"/>
      </w:pPr>
      <w:r>
        <w:rPr>
          <w:rFonts w:ascii="Times New Roman" w:hAnsi="Times New Roman" w:cs="Times New Roman" w:eastAsia="Times New Roman" w:hint="default"/>
        </w:rPr>
        <w:t>2</w:t>
      </w:r>
      <w:r>
        <w:rPr/>
        <w:t>、经公司第三届董事会第七次会议及第三届监事会第六次会议审议通过，拟对目前郑州高新技术产</w:t>
      </w:r>
      <w:r>
        <w:rPr>
          <w:spacing w:val="2"/>
        </w:rPr>
        <w:t> </w:t>
      </w:r>
      <w:r>
        <w:rPr>
          <w:spacing w:val="-2"/>
        </w:rPr>
        <w:t>开发区迎春街</w:t>
      </w:r>
      <w:r>
        <w:rPr>
          <w:rFonts w:ascii="Times New Roman" w:hAnsi="Times New Roman" w:cs="Times New Roman" w:eastAsia="Times New Roman" w:hint="default"/>
          <w:spacing w:val="-2"/>
        </w:rPr>
        <w:t>18</w:t>
      </w:r>
      <w:r>
        <w:rPr>
          <w:spacing w:val="-2"/>
        </w:rPr>
        <w:t>号</w:t>
      </w:r>
      <w:r>
        <w:rPr>
          <w:rFonts w:ascii="Times New Roman" w:hAnsi="Times New Roman" w:cs="Times New Roman" w:eastAsia="Times New Roman" w:hint="default"/>
          <w:spacing w:val="-2"/>
        </w:rPr>
        <w:t>1</w:t>
      </w:r>
      <w:r>
        <w:rPr>
          <w:spacing w:val="-2"/>
        </w:rPr>
        <w:t>号楼临金梭路</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w:t>
      </w:r>
      <w:r>
        <w:rPr>
          <w:spacing w:val="-2"/>
        </w:rPr>
        <w:t>层（金梭路西、迎春街北），共计建筑面积</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117.7</w:t>
      </w:r>
      <w:r>
        <w:rPr>
          <w:spacing w:val="-2"/>
        </w:rPr>
        <w:t>平方米房屋对外出</w:t>
      </w:r>
      <w:r>
        <w:rPr>
          <w:spacing w:val="-88"/>
        </w:rPr>
        <w:t> </w:t>
      </w:r>
      <w:r>
        <w:rPr>
          <w:spacing w:val="-88"/>
        </w:rPr>
      </w:r>
      <w:r>
        <w:rPr/>
        <w:t>租。董事会经审议授权总经理负责后续出租事宜。</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日，公司与中信银行股份有限公司郑州分</w:t>
      </w:r>
      <w:r>
        <w:rPr>
          <w:spacing w:val="-36"/>
        </w:rPr>
        <w:t> </w:t>
      </w:r>
      <w:r>
        <w:rPr>
          <w:spacing w:val="-36"/>
        </w:rPr>
      </w:r>
      <w:r>
        <w:rPr/>
        <w:t>行签署《房屋租赁合同》，将前述房屋共计</w:t>
      </w:r>
      <w:r>
        <w:rPr>
          <w:rFonts w:ascii="Times New Roman" w:hAnsi="Times New Roman" w:cs="Times New Roman" w:eastAsia="Times New Roman" w:hint="default"/>
        </w:rPr>
        <w:t>1</w:t>
      </w:r>
      <w:r>
        <w:rPr/>
        <w:t>,</w:t>
      </w:r>
      <w:r>
        <w:rPr>
          <w:rFonts w:ascii="Times New Roman" w:hAnsi="Times New Roman" w:cs="Times New Roman" w:eastAsia="Times New Roman" w:hint="default"/>
        </w:rPr>
        <w:t>100</w:t>
      </w:r>
      <w:r>
        <w:rPr/>
        <w:t>平方租赁给中信银行股份有限公司郑州分行。租赁期为</w:t>
      </w:r>
      <w:r>
        <w:rPr>
          <w:spacing w:val="-37"/>
        </w:rPr>
        <w:t> </w:t>
      </w:r>
      <w:r>
        <w:rPr>
          <w:spacing w:val="-37"/>
        </w:rPr>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30</w:t>
      </w:r>
      <w:r>
        <w:rPr>
          <w:spacing w:val="-2"/>
        </w:rPr>
        <w:t>日，租金价格：第</w:t>
      </w:r>
      <w:r>
        <w:rPr>
          <w:rFonts w:ascii="Times New Roman" w:hAnsi="Times New Roman" w:cs="Times New Roman" w:eastAsia="Times New Roman" w:hint="default"/>
          <w:spacing w:val="-2"/>
        </w:rPr>
        <w:t>1</w:t>
      </w:r>
      <w:r>
        <w:rPr>
          <w:spacing w:val="-2"/>
        </w:rPr>
        <w:t>年至第</w:t>
      </w:r>
      <w:r>
        <w:rPr>
          <w:rFonts w:ascii="Times New Roman" w:hAnsi="Times New Roman" w:cs="Times New Roman" w:eastAsia="Times New Roman" w:hint="default"/>
          <w:spacing w:val="-2"/>
        </w:rPr>
        <w:t>5</w:t>
      </w:r>
      <w:r>
        <w:rPr>
          <w:spacing w:val="-2"/>
        </w:rPr>
        <w:t>年，每年租金总额</w:t>
      </w:r>
      <w:r>
        <w:rPr>
          <w:rFonts w:ascii="Times New Roman" w:hAnsi="Times New Roman" w:cs="Times New Roman" w:eastAsia="Times New Roman" w:hint="default"/>
          <w:spacing w:val="-2"/>
        </w:rPr>
        <w:t>126.72</w:t>
      </w:r>
      <w:r>
        <w:rPr>
          <w:spacing w:val="-2"/>
        </w:rPr>
        <w:t>万元，第</w:t>
      </w:r>
      <w:r>
        <w:rPr>
          <w:rFonts w:ascii="Times New Roman" w:hAnsi="Times New Roman" w:cs="Times New Roman" w:eastAsia="Times New Roman" w:hint="default"/>
          <w:spacing w:val="-2"/>
        </w:rPr>
        <w:t>6</w:t>
      </w:r>
      <w:r>
        <w:rPr>
          <w:spacing w:val="-2"/>
        </w:rPr>
        <w:t>年至第</w:t>
      </w:r>
      <w:r>
        <w:rPr>
          <w:rFonts w:ascii="Times New Roman" w:hAnsi="Times New Roman" w:cs="Times New Roman" w:eastAsia="Times New Roman" w:hint="default"/>
          <w:spacing w:val="-2"/>
        </w:rPr>
        <w:t>8</w:t>
      </w:r>
      <w:r>
        <w:rPr>
          <w:spacing w:val="-2"/>
        </w:rPr>
        <w:t>年，每</w:t>
      </w:r>
      <w:r>
        <w:rPr>
          <w:spacing w:val="-82"/>
        </w:rPr>
        <w:t> </w:t>
      </w:r>
      <w:r>
        <w:rPr>
          <w:spacing w:val="-82"/>
        </w:rPr>
      </w:r>
      <w:r>
        <w:rPr/>
        <w:t>年租金总额</w:t>
      </w:r>
      <w:r>
        <w:rPr>
          <w:rFonts w:ascii="Times New Roman" w:hAnsi="Times New Roman" w:cs="Times New Roman" w:eastAsia="Times New Roman" w:hint="default"/>
        </w:rPr>
        <w:t>130.52</w:t>
      </w:r>
      <w:r>
        <w:rPr/>
        <w:t>万元，第</w:t>
      </w:r>
      <w:r>
        <w:rPr>
          <w:rFonts w:ascii="Times New Roman" w:hAnsi="Times New Roman" w:cs="Times New Roman" w:eastAsia="Times New Roman" w:hint="default"/>
        </w:rPr>
        <w:t>9</w:t>
      </w:r>
      <w:r>
        <w:rPr/>
        <w:t>年至第</w:t>
      </w:r>
      <w:r>
        <w:rPr>
          <w:rFonts w:ascii="Times New Roman" w:hAnsi="Times New Roman" w:cs="Times New Roman" w:eastAsia="Times New Roman" w:hint="default"/>
        </w:rPr>
        <w:t>10</w:t>
      </w:r>
      <w:r>
        <w:rPr/>
        <w:t>年，每年租金总额</w:t>
      </w:r>
      <w:r>
        <w:rPr>
          <w:rFonts w:ascii="Times New Roman" w:hAnsi="Times New Roman" w:cs="Times New Roman" w:eastAsia="Times New Roman" w:hint="default"/>
        </w:rPr>
        <w:t>134.43</w:t>
      </w:r>
      <w:r>
        <w:rPr/>
        <w:t>万元。</w:t>
      </w:r>
    </w:p>
    <w:p>
      <w:pPr>
        <w:spacing w:before="101"/>
        <w:ind w:left="154" w:right="1113"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line="240" w:lineRule="auto" w:before="10"/>
        <w:rPr>
          <w:rFonts w:ascii="宋体" w:hAnsi="宋体" w:cs="宋体" w:eastAsia="宋体" w:hint="default"/>
          <w:sz w:val="19"/>
          <w:szCs w:val="19"/>
        </w:rPr>
      </w:pPr>
    </w:p>
    <w:p>
      <w:pPr>
        <w:spacing w:before="0"/>
        <w:ind w:left="153"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9"/>
          <w:szCs w:val="19"/>
        </w:rPr>
      </w:pPr>
    </w:p>
    <w:p>
      <w:pPr>
        <w:spacing w:before="0"/>
        <w:ind w:left="154" w:right="1113"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111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1113"/>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709"/>
        <w:gridCol w:w="920"/>
        <w:gridCol w:w="925"/>
        <w:gridCol w:w="1302"/>
        <w:gridCol w:w="1057"/>
        <w:gridCol w:w="1041"/>
        <w:gridCol w:w="1048"/>
        <w:gridCol w:w="790"/>
        <w:gridCol w:w="783"/>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0"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9" w:right="8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5"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0"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北京希嘉创智教育科 技有限公司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9"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3"/>
              <w:jc w:val="both"/>
              <w:rPr>
                <w:rFonts w:ascii="宋体" w:hAnsi="宋体" w:cs="宋体" w:eastAsia="宋体" w:hint="default"/>
                <w:sz w:val="18"/>
                <w:szCs w:val="18"/>
              </w:rPr>
            </w:pPr>
            <w:r>
              <w:rPr>
                <w:rFonts w:ascii="宋体" w:hAnsi="宋体" w:cs="宋体" w:eastAsia="宋体" w:hint="default"/>
                <w:sz w:val="18"/>
                <w:szCs w:val="18"/>
              </w:rPr>
              <w:t>主债务履行 期限届满之 日起三年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上海树维信息科技有 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9"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3"/>
              <w:jc w:val="both"/>
              <w:rPr>
                <w:rFonts w:ascii="宋体" w:hAnsi="宋体" w:cs="宋体" w:eastAsia="宋体" w:hint="default"/>
                <w:sz w:val="18"/>
                <w:szCs w:val="18"/>
              </w:rPr>
            </w:pPr>
            <w:r>
              <w:rPr>
                <w:rFonts w:ascii="宋体" w:hAnsi="宋体" w:cs="宋体" w:eastAsia="宋体" w:hint="default"/>
                <w:sz w:val="18"/>
                <w:szCs w:val="18"/>
              </w:rPr>
              <w:t>主债务履行 期限届满之 日起两年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上海树维信息科技有 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9"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3"/>
              <w:jc w:val="both"/>
              <w:rPr>
                <w:rFonts w:ascii="宋体" w:hAnsi="宋体" w:cs="宋体" w:eastAsia="宋体" w:hint="default"/>
                <w:sz w:val="18"/>
                <w:szCs w:val="18"/>
              </w:rPr>
            </w:pPr>
            <w:r>
              <w:rPr>
                <w:rFonts w:ascii="宋体" w:hAnsi="宋体" w:cs="宋体" w:eastAsia="宋体" w:hint="default"/>
                <w:sz w:val="18"/>
                <w:szCs w:val="18"/>
              </w:rPr>
              <w:t>主债务履行 期限届满之 日起两年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6"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2,600</w:t>
            </w:r>
          </w:p>
        </w:tc>
      </w:tr>
      <w:tr>
        <w:trPr>
          <w:trHeight w:val="714"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6"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2,600</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2"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25" w:right="7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5"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4"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6"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2,600</w:t>
            </w:r>
          </w:p>
        </w:tc>
      </w:tr>
      <w:tr>
        <w:trPr>
          <w:trHeight w:val="714"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6"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2,600</w:t>
            </w:r>
          </w:p>
        </w:tc>
      </w:tr>
      <w:tr>
        <w:trPr>
          <w:trHeight w:val="402"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8"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bl>
    <w:p>
      <w:pPr>
        <w:spacing w:before="51"/>
        <w:ind w:left="154" w:right="1113"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after="0"/>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8"/>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7"/>
          <w:szCs w:val="17"/>
        </w:rPr>
      </w:pPr>
    </w:p>
    <w:p>
      <w:pPr>
        <w:pStyle w:val="BodyText"/>
        <w:spacing w:line="240" w:lineRule="auto" w:before="0"/>
        <w:ind w:left="574" w:right="1113"/>
        <w:jc w:val="left"/>
      </w:pPr>
      <w:r>
        <w:rPr/>
        <w:t>公司报告期无违规对外担保情况。</w:t>
      </w:r>
    </w:p>
    <w:p>
      <w:pPr>
        <w:spacing w:line="240" w:lineRule="auto" w:before="0"/>
        <w:rPr>
          <w:rFonts w:ascii="宋体" w:hAnsi="宋体" w:cs="宋体" w:eastAsia="宋体" w:hint="default"/>
          <w:sz w:val="20"/>
          <w:szCs w:val="20"/>
        </w:rPr>
      </w:pPr>
    </w:p>
    <w:p>
      <w:pPr>
        <w:pStyle w:val="Heading3"/>
        <w:spacing w:line="240" w:lineRule="auto" w:before="154"/>
        <w:ind w:right="111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32"/>
          <w:szCs w:val="32"/>
        </w:rPr>
      </w:pPr>
    </w:p>
    <w:p>
      <w:pPr>
        <w:spacing w:line="489" w:lineRule="auto" w:before="0"/>
        <w:ind w:left="154" w:right="89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报告期内委托理财概况</w:t>
      </w:r>
    </w:p>
    <w:p>
      <w:pPr>
        <w:spacing w:before="7"/>
        <w:ind w:left="0" w:right="1129"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8"/>
        <w:gridCol w:w="1962"/>
        <w:gridCol w:w="1981"/>
        <w:gridCol w:w="1908"/>
        <w:gridCol w:w="1848"/>
      </w:tblGrid>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8"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暂时闲置自有资金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13,950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暂时闲置自有资金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暂时闲置募集资金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40,450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line="240" w:lineRule="auto" w:before="12"/>
        <w:rPr>
          <w:rFonts w:ascii="宋体" w:hAnsi="宋体" w:cs="宋体" w:eastAsia="宋体" w:hint="default"/>
          <w:sz w:val="20"/>
          <w:szCs w:val="20"/>
        </w:rPr>
      </w:pPr>
    </w:p>
    <w:p>
      <w:pPr>
        <w:spacing w:line="489" w:lineRule="auto" w:before="0"/>
        <w:ind w:left="154" w:right="57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委托理财出现预期无法收回本金或存在其他可能导致减值的情形</w:t>
      </w:r>
    </w:p>
    <w:p>
      <w:pPr>
        <w:spacing w:before="85"/>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111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7"/>
        <w:rPr>
          <w:rFonts w:ascii="宋体" w:hAnsi="宋体" w:cs="宋体" w:eastAsia="宋体" w:hint="default"/>
          <w:b/>
          <w:bCs/>
          <w:sz w:val="32"/>
          <w:szCs w:val="32"/>
        </w:rPr>
      </w:pPr>
    </w:p>
    <w:p>
      <w:pPr>
        <w:spacing w:line="489" w:lineRule="auto" w:before="0"/>
        <w:ind w:left="154" w:right="84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5"/>
        <w:rPr>
          <w:rFonts w:ascii="宋体" w:hAnsi="宋体" w:cs="宋体" w:eastAsia="宋体" w:hint="default"/>
          <w:sz w:val="18"/>
          <w:szCs w:val="18"/>
        </w:rPr>
      </w:pPr>
    </w:p>
    <w:p>
      <w:pPr>
        <w:pStyle w:val="Heading3"/>
        <w:spacing w:line="240" w:lineRule="auto"/>
        <w:ind w:right="111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32"/>
          <w:szCs w:val="32"/>
        </w:rPr>
      </w:pPr>
    </w:p>
    <w:p>
      <w:pPr>
        <w:spacing w:line="489" w:lineRule="auto" w:before="0"/>
        <w:ind w:left="154" w:right="80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after="0" w:line="489"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1113"/>
        <w:jc w:val="left"/>
        <w:rPr>
          <w:b w:val="0"/>
          <w:bCs w:val="0"/>
        </w:rPr>
      </w:pPr>
      <w:r>
        <w:rPr/>
        <w:t>十七、社会责任情况</w:t>
      </w:r>
      <w:r>
        <w:rPr>
          <w:b w:val="0"/>
          <w:bCs w:val="0"/>
        </w:rPr>
      </w:r>
    </w:p>
    <w:p>
      <w:pPr>
        <w:spacing w:line="240" w:lineRule="auto" w:before="9"/>
        <w:rPr>
          <w:rFonts w:ascii="宋体" w:hAnsi="宋体" w:cs="宋体" w:eastAsia="宋体" w:hint="default"/>
          <w:b/>
          <w:bCs/>
          <w:sz w:val="24"/>
          <w:szCs w:val="24"/>
        </w:rPr>
      </w:pPr>
    </w:p>
    <w:p>
      <w:pPr>
        <w:spacing w:line="568" w:lineRule="auto" w:before="0"/>
        <w:ind w:left="574" w:right="382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spacing w:val="1"/>
          <w:w w:val="99"/>
          <w:sz w:val="21"/>
          <w:szCs w:val="21"/>
        </w:rPr>
        <w:t> </w:t>
      </w:r>
      <w:r>
        <w:rPr>
          <w:rFonts w:ascii="宋体" w:hAnsi="宋体" w:cs="宋体" w:eastAsia="宋体" w:hint="default"/>
          <w:sz w:val="21"/>
          <w:szCs w:val="21"/>
        </w:rPr>
        <w:t>具体内容请查看公司在巨潮资讯网刊登的《</w:t>
      </w:r>
      <w:r>
        <w:rPr>
          <w:rFonts w:ascii="Times New Roman" w:hAnsi="Times New Roman" w:cs="Times New Roman" w:eastAsia="Times New Roman" w:hint="default"/>
          <w:sz w:val="21"/>
          <w:szCs w:val="21"/>
        </w:rPr>
        <w:t>2019</w:t>
      </w:r>
      <w:r>
        <w:rPr>
          <w:rFonts w:ascii="宋体" w:hAnsi="宋体" w:cs="宋体" w:eastAsia="宋体" w:hint="default"/>
          <w:sz w:val="21"/>
          <w:szCs w:val="21"/>
        </w:rPr>
        <w:t>年度社会责任报告》。</w:t>
      </w:r>
    </w:p>
    <w:p>
      <w:pPr>
        <w:pStyle w:val="Heading3"/>
        <w:spacing w:line="240" w:lineRule="auto" w:before="82"/>
        <w:ind w:right="1113"/>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7"/>
        <w:rPr>
          <w:rFonts w:ascii="宋体" w:hAnsi="宋体" w:cs="宋体" w:eastAsia="宋体" w:hint="default"/>
          <w:b/>
          <w:bCs/>
          <w:sz w:val="32"/>
          <w:szCs w:val="32"/>
        </w:rPr>
      </w:pPr>
    </w:p>
    <w:p>
      <w:pPr>
        <w:spacing w:line="518" w:lineRule="auto" w:before="0"/>
        <w:ind w:left="153" w:right="5711"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spacing w:before="63"/>
        <w:ind w:left="153" w:right="111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2"/>
        <w:spacing w:line="240" w:lineRule="auto"/>
        <w:ind w:right="1113"/>
        <w:jc w:val="left"/>
        <w:rPr>
          <w:b w:val="0"/>
          <w:bCs w:val="0"/>
        </w:rPr>
      </w:pPr>
      <w:r>
        <w:rPr/>
        <w:t>十八、其他重大事项的说明</w:t>
      </w:r>
      <w:r>
        <w:rPr>
          <w:b w:val="0"/>
          <w:bCs w:val="0"/>
        </w:rPr>
      </w:r>
    </w:p>
    <w:p>
      <w:pPr>
        <w:spacing w:line="240" w:lineRule="auto" w:before="8"/>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7"/>
          <w:szCs w:val="17"/>
        </w:rPr>
      </w:pPr>
    </w:p>
    <w:p>
      <w:pPr>
        <w:pStyle w:val="BodyText"/>
        <w:spacing w:line="393" w:lineRule="auto" w:before="0"/>
        <w:ind w:right="993" w:firstLine="419"/>
        <w:jc w:val="left"/>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6</w:t>
      </w:r>
      <w:r>
        <w:rPr>
          <w:spacing w:val="-1"/>
        </w:rPr>
        <w:t>日，公司股东杨维国、付秋生、尚卫国、赵利宾、华梦阳、傅常顺、杜建平、刘恩臣、</w:t>
      </w:r>
      <w:r>
        <w:rPr/>
        <w:t> 葛晓阁与上海云鑫创业投资有限公司签订了《股份转让协议》，分别将其持有的部分公司无限售流通股转 </w:t>
      </w:r>
      <w:r>
        <w:rPr>
          <w:spacing w:val="-2"/>
        </w:rPr>
        <w:t>让给上海云鑫，合计转让</w:t>
      </w:r>
      <w:r>
        <w:rPr>
          <w:rFonts w:ascii="Times New Roman" w:hAnsi="Times New Roman" w:cs="Times New Roman" w:eastAsia="Times New Roman" w:hint="default"/>
          <w:spacing w:val="-2"/>
        </w:rPr>
        <w:t>30</w:t>
      </w:r>
      <w:r>
        <w:rPr>
          <w:spacing w:val="-2"/>
        </w:rPr>
        <w:t>,</w:t>
      </w:r>
      <w:r>
        <w:rPr>
          <w:rFonts w:ascii="Times New Roman" w:hAnsi="Times New Roman" w:cs="Times New Roman" w:eastAsia="Times New Roman" w:hint="default"/>
          <w:spacing w:val="-2"/>
        </w:rPr>
        <w:t>210</w:t>
      </w:r>
      <w:r>
        <w:rPr>
          <w:spacing w:val="-2"/>
        </w:rPr>
        <w:t>,</w:t>
      </w:r>
      <w:r>
        <w:rPr>
          <w:rFonts w:ascii="Times New Roman" w:hAnsi="Times New Roman" w:cs="Times New Roman" w:eastAsia="Times New Roman" w:hint="default"/>
          <w:spacing w:val="-2"/>
        </w:rPr>
        <w:t>000</w:t>
      </w:r>
      <w:r>
        <w:rPr>
          <w:spacing w:val="-2"/>
        </w:rPr>
        <w:t>股，约占公司目前总股本的</w:t>
      </w:r>
      <w:r>
        <w:rPr>
          <w:rFonts w:ascii="Times New Roman" w:hAnsi="Times New Roman" w:cs="Times New Roman" w:eastAsia="Times New Roman" w:hint="default"/>
          <w:spacing w:val="-2"/>
        </w:rPr>
        <w:t>6.28</w:t>
      </w:r>
      <w:r>
        <w:rPr>
          <w:spacing w:val="-2"/>
        </w:rPr>
        <w:t>%。上海云鑫为浙江蚂蚁小微金融服务</w:t>
      </w:r>
      <w:r>
        <w:rPr>
          <w:spacing w:val="-82"/>
        </w:rPr>
        <w:t> </w:t>
      </w:r>
      <w:r>
        <w:rPr>
          <w:spacing w:val="-82"/>
        </w:rPr>
      </w:r>
      <w:r>
        <w:rPr/>
        <w:t>集团股份有限公司的全资子公司。</w:t>
      </w:r>
    </w:p>
    <w:p>
      <w:pPr>
        <w:pStyle w:val="BodyText"/>
        <w:spacing w:line="398" w:lineRule="auto" w:before="59"/>
        <w:ind w:right="1128" w:firstLine="42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日，转让双方收到中国证券登记结算有限责任公司出具的《证券过户登记确认书》，杨 </w:t>
      </w:r>
      <w:r>
        <w:rPr>
          <w:spacing w:val="-1"/>
        </w:rPr>
        <w:t>维国、付秋生、尚卫国、赵利宾、华梦阳、傅常顺、杜建平、刘恩臣、葛晓阁通过协议方式转让给上海云</w:t>
      </w:r>
      <w:r>
        <w:rPr>
          <w:spacing w:val="-84"/>
        </w:rPr>
        <w:t> </w:t>
      </w:r>
      <w:r>
        <w:rPr>
          <w:spacing w:val="-84"/>
        </w:rPr>
      </w:r>
      <w:r>
        <w:rPr/>
        <w:t>鑫的</w:t>
      </w:r>
      <w:r>
        <w:rPr>
          <w:rFonts w:ascii="Times New Roman" w:hAnsi="Times New Roman" w:cs="Times New Roman" w:eastAsia="Times New Roman" w:hint="default"/>
        </w:rPr>
        <w:t>30</w:t>
      </w:r>
      <w:r>
        <w:rPr/>
        <w:t>,</w:t>
      </w:r>
      <w:r>
        <w:rPr>
          <w:rFonts w:ascii="Times New Roman" w:hAnsi="Times New Roman" w:cs="Times New Roman" w:eastAsia="Times New Roman" w:hint="default"/>
        </w:rPr>
        <w:t>210</w:t>
      </w:r>
      <w:r>
        <w:rPr/>
        <w:t>,</w:t>
      </w:r>
      <w:r>
        <w:rPr>
          <w:rFonts w:ascii="Times New Roman" w:hAnsi="Times New Roman" w:cs="Times New Roman" w:eastAsia="Times New Roman" w:hint="default"/>
        </w:rPr>
        <w:t>000</w:t>
      </w:r>
      <w:r>
        <w:rPr/>
        <w:t>股无限售流通股份已于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日完成了过户登记手续。</w:t>
      </w:r>
    </w:p>
    <w:p>
      <w:pPr>
        <w:pStyle w:val="BodyText"/>
        <w:spacing w:line="408" w:lineRule="auto" w:before="24"/>
        <w:ind w:left="574" w:right="1113"/>
        <w:jc w:val="left"/>
      </w:pPr>
      <w:r>
        <w:rPr/>
        <w:t>以上内容详见公司刊登在中国证监会指定创业板信息披露网站上披露的相关公告。 </w:t>
      </w:r>
      <w:r>
        <w:rPr>
          <w:spacing w:val="-2"/>
        </w:rPr>
        <w:t>截至本报告披露日，上海云鑫持有公司股份</w:t>
      </w:r>
      <w:r>
        <w:rPr>
          <w:rFonts w:ascii="Times New Roman" w:hAnsi="Times New Roman" w:cs="Times New Roman" w:eastAsia="Times New Roman" w:hint="default"/>
          <w:spacing w:val="-2"/>
        </w:rPr>
        <w:t>30</w:t>
      </w:r>
      <w:r>
        <w:rPr>
          <w:spacing w:val="-2"/>
        </w:rPr>
        <w:t>,</w:t>
      </w:r>
      <w:r>
        <w:rPr>
          <w:rFonts w:ascii="Times New Roman" w:hAnsi="Times New Roman" w:cs="Times New Roman" w:eastAsia="Times New Roman" w:hint="default"/>
          <w:spacing w:val="-2"/>
        </w:rPr>
        <w:t>210</w:t>
      </w:r>
      <w:r>
        <w:rPr>
          <w:spacing w:val="-2"/>
        </w:rPr>
        <w:t>,</w:t>
      </w:r>
      <w:r>
        <w:rPr>
          <w:rFonts w:ascii="Times New Roman" w:hAnsi="Times New Roman" w:cs="Times New Roman" w:eastAsia="Times New Roman" w:hint="default"/>
          <w:spacing w:val="-2"/>
        </w:rPr>
        <w:t>000</w:t>
      </w:r>
      <w:r>
        <w:rPr>
          <w:spacing w:val="-2"/>
        </w:rPr>
        <w:t>股，约占目前公司总股本的</w:t>
      </w:r>
      <w:r>
        <w:rPr>
          <w:rFonts w:ascii="Times New Roman" w:hAnsi="Times New Roman" w:cs="Times New Roman" w:eastAsia="Times New Roman" w:hint="default"/>
          <w:spacing w:val="-2"/>
        </w:rPr>
        <w:t>6.28</w:t>
      </w:r>
      <w:r>
        <w:rPr>
          <w:spacing w:val="-2"/>
        </w:rPr>
        <w:t>%，为公司第二</w:t>
      </w:r>
    </w:p>
    <w:p>
      <w:pPr>
        <w:pStyle w:val="BodyText"/>
        <w:spacing w:line="240" w:lineRule="auto" w:before="14"/>
        <w:ind w:right="1113"/>
        <w:jc w:val="left"/>
      </w:pPr>
      <w:r>
        <w:rPr/>
        <w:t>大股东。</w:t>
      </w:r>
    </w:p>
    <w:p>
      <w:pPr>
        <w:spacing w:line="240" w:lineRule="auto" w:before="10"/>
        <w:rPr>
          <w:rFonts w:ascii="宋体" w:hAnsi="宋体" w:cs="宋体" w:eastAsia="宋体" w:hint="default"/>
          <w:sz w:val="14"/>
          <w:szCs w:val="14"/>
        </w:rPr>
      </w:pPr>
    </w:p>
    <w:p>
      <w:pPr>
        <w:pStyle w:val="BodyText"/>
        <w:spacing w:line="398" w:lineRule="auto" w:before="0"/>
        <w:ind w:right="1128" w:firstLine="420"/>
        <w:jc w:val="both"/>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30</w:t>
      </w:r>
      <w:r>
        <w:rPr>
          <w:spacing w:val="-1"/>
        </w:rPr>
        <w:t>日召开的第四届董事会第三十次会议和</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24</w:t>
      </w:r>
      <w:r>
        <w:rPr>
          <w:spacing w:val="-1"/>
        </w:rPr>
        <w:t>日召开的</w:t>
      </w:r>
      <w:r>
        <w:rPr>
          <w:rFonts w:ascii="Times New Roman" w:hAnsi="Times New Roman" w:cs="Times New Roman" w:eastAsia="Times New Roman" w:hint="default"/>
          <w:spacing w:val="-1"/>
        </w:rPr>
        <w:t>2019</w:t>
      </w:r>
      <w:r>
        <w:rPr>
          <w:spacing w:val="-1"/>
        </w:rPr>
        <w:t>年第五次临时股东</w:t>
      </w:r>
      <w:r>
        <w:rPr/>
        <w:t> </w:t>
      </w:r>
      <w:r>
        <w:rPr>
          <w:spacing w:val="-1"/>
        </w:rPr>
        <w:t>大会审议通过《关于变更募集资金用途的议案》，同意公司将目前尚未使用的募集资金及理财收益和利息</w:t>
      </w:r>
      <w:r>
        <w:rPr>
          <w:spacing w:val="-83"/>
        </w:rPr>
        <w:t> </w:t>
      </w:r>
      <w:r>
        <w:rPr>
          <w:spacing w:val="-83"/>
        </w:rPr>
      </w:r>
      <w:r>
        <w:rPr>
          <w:spacing w:val="-1"/>
        </w:rPr>
        <w:t>收入（具体的金额以资金转出日银行结息后实际金额为准）用于新开普智慧教育研发产业基地项目及永久</w:t>
      </w:r>
      <w:r>
        <w:rPr>
          <w:spacing w:val="-81"/>
        </w:rPr>
        <w:t> </w:t>
      </w:r>
      <w:r>
        <w:rPr>
          <w:spacing w:val="-81"/>
        </w:rPr>
      </w:r>
      <w:r>
        <w:rPr/>
        <w:t>补充流动资金，其中</w:t>
      </w:r>
      <w:r>
        <w:rPr>
          <w:rFonts w:ascii="Times New Roman" w:hAnsi="Times New Roman" w:cs="Times New Roman" w:eastAsia="Times New Roman" w:hint="default"/>
        </w:rPr>
        <w:t>3</w:t>
      </w:r>
      <w:r>
        <w:rPr/>
        <w:t>,</w:t>
      </w:r>
      <w:r>
        <w:rPr>
          <w:rFonts w:ascii="Times New Roman" w:hAnsi="Times New Roman" w:cs="Times New Roman" w:eastAsia="Times New Roman" w:hint="default"/>
        </w:rPr>
        <w:t>000.00</w:t>
      </w:r>
      <w:r>
        <w:rPr/>
        <w:t>万元用于永久补充流动资金，其余募集资金全部投资于新开普智慧教育研发</w:t>
      </w:r>
      <w:r>
        <w:rPr>
          <w:spacing w:val="-83"/>
        </w:rPr>
        <w:t> </w:t>
      </w:r>
      <w:r>
        <w:rPr>
          <w:spacing w:val="-83"/>
        </w:rPr>
      </w:r>
      <w:r>
        <w:rPr/>
        <w:t>产业基地项目。</w:t>
      </w:r>
    </w:p>
    <w:p>
      <w:pPr>
        <w:pStyle w:val="BodyText"/>
        <w:spacing w:line="240" w:lineRule="auto" w:before="54"/>
        <w:ind w:left="574" w:right="993"/>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日，公司召开第四届董事会第三十二次会议审议通过了《关于新增募集资金专户并授权</w:t>
      </w:r>
    </w:p>
    <w:p>
      <w:pPr>
        <w:spacing w:after="0" w:line="240"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13"/>
        <w:jc w:val="left"/>
      </w:pPr>
      <w:r>
        <w:rPr>
          <w:spacing w:val="-1"/>
        </w:rPr>
        <w:t>董事长签订三方监管协议的议案》，同意公司开设募集资金专用账户用于存放募集资金，并与中国银行股</w:t>
      </w:r>
      <w:r>
        <w:rPr>
          <w:spacing w:val="-83"/>
        </w:rPr>
        <w:t> </w:t>
      </w:r>
      <w:r>
        <w:rPr>
          <w:spacing w:val="-83"/>
        </w:rPr>
      </w:r>
      <w:r>
        <w:rPr/>
        <w:t>份有限公司签署募集资金监管协议。</w:t>
      </w:r>
    </w:p>
    <w:p>
      <w:pPr>
        <w:pStyle w:val="BodyText"/>
        <w:spacing w:line="240" w:lineRule="auto"/>
        <w:ind w:left="574" w:right="1113"/>
        <w:jc w:val="left"/>
      </w:pPr>
      <w:r>
        <w:rPr/>
        <w:t>以上内容详见公司刊登在中国证监会指定创业板信息披露网站上披露的相关公告。</w:t>
      </w:r>
    </w:p>
    <w:p>
      <w:pPr>
        <w:spacing w:line="240" w:lineRule="auto" w:before="10"/>
        <w:rPr>
          <w:rFonts w:ascii="宋体" w:hAnsi="宋体" w:cs="宋体" w:eastAsia="宋体" w:hint="default"/>
          <w:sz w:val="14"/>
          <w:szCs w:val="14"/>
        </w:rPr>
      </w:pPr>
    </w:p>
    <w:p>
      <w:pPr>
        <w:pStyle w:val="BodyText"/>
        <w:spacing w:line="391" w:lineRule="auto" w:before="0"/>
        <w:ind w:right="993" w:firstLine="419"/>
        <w:jc w:val="left"/>
      </w:pPr>
      <w:r>
        <w:rPr>
          <w:rFonts w:ascii="Times New Roman" w:hAnsi="Times New Roman" w:cs="Times New Roman" w:eastAsia="Times New Roman" w:hint="default"/>
          <w:spacing w:val="-2"/>
        </w:rPr>
        <w:t>3</w:t>
      </w:r>
      <w:r>
        <w:rPr>
          <w:spacing w:val="-2"/>
        </w:rPr>
        <w:t>、公司于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月以</w:t>
      </w:r>
      <w:r>
        <w:rPr>
          <w:rFonts w:ascii="Times New Roman" w:hAnsi="Times New Roman" w:cs="Times New Roman" w:eastAsia="Times New Roman" w:hint="default"/>
          <w:spacing w:val="-2"/>
        </w:rPr>
        <w:t>18,000,000</w:t>
      </w:r>
      <w:r>
        <w:rPr>
          <w:spacing w:val="-2"/>
        </w:rPr>
        <w:t>元增资河南华夏海纳创业投资集团有限公司，持有该公司</w:t>
      </w:r>
      <w:r>
        <w:rPr>
          <w:rFonts w:ascii="Times New Roman" w:hAnsi="Times New Roman" w:cs="Times New Roman" w:eastAsia="Times New Roman" w:hint="default"/>
          <w:spacing w:val="-2"/>
        </w:rPr>
        <w:t>3.27</w:t>
      </w:r>
      <w:r>
        <w:rPr>
          <w:spacing w:val="-2"/>
        </w:rPr>
        <w:t>%股权，</w:t>
      </w:r>
      <w:r>
        <w:rPr/>
        <w:t> 具体内容详见公司于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29</w:t>
      </w:r>
      <w:r>
        <w:rPr/>
        <w:t>日在中国证监会指定创业板信息披露网站上刊登的公告。后因华夏海纳</w:t>
      </w:r>
      <w:r>
        <w:rPr>
          <w:spacing w:val="-36"/>
        </w:rPr>
        <w:t> </w:t>
      </w:r>
      <w:r>
        <w:rPr>
          <w:spacing w:val="-36"/>
        </w:rPr>
      </w:r>
      <w:r>
        <w:rPr/>
        <w:t>原股东触发投资协议约定的股权回购和业绩承诺补偿相关条款，公司于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月向郑州高新技术产业开</w:t>
      </w:r>
      <w:r>
        <w:rPr>
          <w:spacing w:val="-35"/>
        </w:rPr>
        <w:t> </w:t>
      </w:r>
      <w:r>
        <w:rPr>
          <w:spacing w:val="-35"/>
        </w:rPr>
      </w:r>
      <w:r>
        <w:rPr/>
        <w:t>发区人民法院提起诉讼，目前法院已受理并调解完毕。根据调解结果，华夏海纳股东李明、李祺共同回购</w:t>
      </w:r>
      <w:r>
        <w:rPr/>
        <w:t> 公司持有的华夏海纳的全部股份，并于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日前向新开普支付</w:t>
      </w:r>
      <w:r>
        <w:rPr>
          <w:rFonts w:ascii="Times New Roman" w:hAnsi="Times New Roman" w:cs="Times New Roman" w:eastAsia="Times New Roman" w:hint="default"/>
        </w:rPr>
        <w:t>24,384,000</w:t>
      </w:r>
      <w:r>
        <w:rPr/>
        <w:t>元及投资收益。</w:t>
      </w:r>
    </w:p>
    <w:p>
      <w:pPr>
        <w:pStyle w:val="BodyText"/>
        <w:spacing w:line="398" w:lineRule="auto" w:before="30"/>
        <w:ind w:left="153" w:right="1131" w:firstLine="42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日，公司与李明、李祺、河南华夏海纳创业投资集团有限公司、郑州赛维云计算产业园 </w:t>
      </w:r>
      <w:r>
        <w:rPr>
          <w:spacing w:val="-1"/>
        </w:rPr>
        <w:t>发展有限公司（以下简称“赛维云”）四方签订了《和解协议》，赛微云自愿将位于郑州赛微云计算产业</w:t>
      </w:r>
      <w:r>
        <w:rPr>
          <w:spacing w:val="-85"/>
        </w:rPr>
        <w:t> </w:t>
      </w:r>
      <w:r>
        <w:rPr>
          <w:spacing w:val="-85"/>
        </w:rPr>
      </w:r>
      <w:r>
        <w:rPr>
          <w:spacing w:val="-3"/>
        </w:rPr>
        <w:t>园的</w:t>
      </w:r>
      <w:r>
        <w:rPr>
          <w:rFonts w:ascii="Times New Roman" w:hAnsi="Times New Roman" w:cs="Times New Roman" w:eastAsia="Times New Roman" w:hint="default"/>
          <w:spacing w:val="-3"/>
        </w:rPr>
        <w:t>3,249.63</w:t>
      </w:r>
      <w:r>
        <w:rPr>
          <w:spacing w:val="-3"/>
        </w:rPr>
        <w:t>平房屋代李明、李祺抵偿给新开普，房屋总价格共计</w:t>
      </w:r>
      <w:r>
        <w:rPr>
          <w:rFonts w:ascii="Times New Roman" w:hAnsi="Times New Roman" w:cs="Times New Roman" w:eastAsia="Times New Roman" w:hint="default"/>
          <w:spacing w:val="-3"/>
        </w:rPr>
        <w:t>24,822,124</w:t>
      </w:r>
      <w:r>
        <w:rPr>
          <w:spacing w:val="-3"/>
        </w:rPr>
        <w:t>元，抵偿总价款共计</w:t>
      </w:r>
      <w:r>
        <w:rPr>
          <w:rFonts w:ascii="Times New Roman" w:hAnsi="Times New Roman" w:cs="Times New Roman" w:eastAsia="Times New Roman" w:hint="default"/>
          <w:spacing w:val="-3"/>
        </w:rPr>
        <w:t>24,384,000</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spacing w:val="-1"/>
        </w:rPr>
        <w:t>元，房屋总价格多于抵偿总价款的部分在新开普到期决定继续履行房屋买卖合同的时候双方另行结算，同</w:t>
      </w:r>
      <w:r>
        <w:rPr>
          <w:spacing w:val="-81"/>
        </w:rPr>
        <w:t> </w:t>
      </w:r>
      <w:r>
        <w:rPr>
          <w:spacing w:val="-81"/>
        </w:rPr>
      </w:r>
      <w:r>
        <w:rPr/>
        <w:t>时赛微云与新开普之间签订了房屋买卖合同。</w:t>
      </w:r>
    </w:p>
    <w:p>
      <w:pPr>
        <w:pStyle w:val="BodyText"/>
        <w:spacing w:line="408" w:lineRule="auto" w:before="54"/>
        <w:ind w:left="153" w:right="1016" w:firstLine="420"/>
        <w:jc w:val="left"/>
      </w:pPr>
      <w:r>
        <w:rPr>
          <w:spacing w:val="-3"/>
        </w:rPr>
        <w:t>根据深圳证券交易所《创业板股票上市规则》和《公司章程》的有关规定，本次交易在董事长权限内，</w:t>
      </w:r>
      <w:r>
        <w:rPr/>
        <w:t> 无需提交董事会、股东大会审议。</w:t>
      </w:r>
    </w:p>
    <w:p>
      <w:pPr>
        <w:spacing w:line="240" w:lineRule="auto" w:before="11"/>
        <w:rPr>
          <w:rFonts w:ascii="宋体" w:hAnsi="宋体" w:cs="宋体" w:eastAsia="宋体" w:hint="default"/>
          <w:sz w:val="18"/>
          <w:szCs w:val="18"/>
        </w:rPr>
      </w:pPr>
    </w:p>
    <w:p>
      <w:pPr>
        <w:pStyle w:val="Heading2"/>
        <w:spacing w:line="240" w:lineRule="auto"/>
        <w:ind w:right="1113"/>
        <w:jc w:val="left"/>
        <w:rPr>
          <w:b w:val="0"/>
          <w:bCs w:val="0"/>
        </w:rPr>
      </w:pPr>
      <w:r>
        <w:rPr/>
        <w:t>十九、公司子公司重大事项</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7"/>
          <w:szCs w:val="17"/>
        </w:rPr>
      </w:pPr>
    </w:p>
    <w:p>
      <w:pPr>
        <w:pStyle w:val="BodyText"/>
        <w:spacing w:line="391" w:lineRule="auto" w:before="0"/>
        <w:ind w:left="153" w:right="1022" w:firstLine="42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日，公司召开的第四届董事会第十七次会议审议通过《关于转让全资子公司部分股 </w:t>
      </w:r>
      <w:r>
        <w:rPr>
          <w:spacing w:val="-3"/>
        </w:rPr>
        <w:t>权暨关联交易的议案》，同意公司与上海天维恒瑞企业管理合伙企业（有限合伙）签署《股权转让协议》，</w:t>
      </w:r>
      <w:r>
        <w:rPr>
          <w:spacing w:val="-95"/>
        </w:rPr>
        <w:t> </w:t>
      </w:r>
      <w:r>
        <w:rPr>
          <w:spacing w:val="-95"/>
        </w:rPr>
      </w:r>
      <w:r>
        <w:rPr>
          <w:spacing w:val="-3"/>
        </w:rPr>
        <w:t>公司向天维恒瑞转让全资子公司完美数联（杭州）科技有限公司</w:t>
      </w:r>
      <w:r>
        <w:rPr>
          <w:rFonts w:ascii="Times New Roman" w:hAnsi="Times New Roman" w:cs="Times New Roman" w:eastAsia="Times New Roman" w:hint="default"/>
          <w:spacing w:val="-3"/>
        </w:rPr>
        <w:t>14.2857</w:t>
      </w:r>
      <w:r>
        <w:rPr>
          <w:spacing w:val="-3"/>
        </w:rPr>
        <w:t>%的股权（对应认缴注册资本</w:t>
      </w:r>
      <w:r>
        <w:rPr>
          <w:rFonts w:ascii="Times New Roman" w:hAnsi="Times New Roman" w:cs="Times New Roman" w:eastAsia="Times New Roman" w:hint="default"/>
          <w:spacing w:val="-3"/>
        </w:rPr>
        <w:t>285.71</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万元，实缴金额</w:t>
      </w:r>
      <w:r>
        <w:rPr>
          <w:rFonts w:ascii="Times New Roman" w:hAnsi="Times New Roman" w:cs="Times New Roman" w:eastAsia="Times New Roman" w:hint="default"/>
        </w:rPr>
        <w:t>0.00</w:t>
      </w:r>
      <w:r>
        <w:rPr/>
        <w:t>元）。本次股权转让完成后，公司持有完美数联</w:t>
      </w:r>
      <w:r>
        <w:rPr>
          <w:rFonts w:ascii="Times New Roman" w:hAnsi="Times New Roman" w:cs="Times New Roman" w:eastAsia="Times New Roman" w:hint="default"/>
        </w:rPr>
        <w:t>85.7143</w:t>
      </w:r>
      <w:r>
        <w:rPr/>
        <w:t>%的股权，并已于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spacing w:val="-39"/>
        </w:rPr>
        <w:t> </w:t>
      </w:r>
      <w:r>
        <w:rPr>
          <w:rFonts w:ascii="Times New Roman" w:hAnsi="Times New Roman" w:cs="Times New Roman" w:eastAsia="Times New Roman" w:hint="default"/>
        </w:rPr>
        <w:t>28</w:t>
      </w:r>
      <w:r>
        <w:rPr/>
        <w:t>日完成工商变更。</w:t>
      </w:r>
    </w:p>
    <w:p>
      <w:pPr>
        <w:pStyle w:val="BodyText"/>
        <w:spacing w:line="391" w:lineRule="auto" w:before="30"/>
        <w:ind w:left="153" w:right="1108" w:firstLine="420"/>
        <w:jc w:val="both"/>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6</w:t>
      </w:r>
      <w:r>
        <w:rPr>
          <w:spacing w:val="-1"/>
        </w:rPr>
        <w:t>日，公司第四届董事会第十八次会议审议通过了《关于上海云鑫创业投资有限公司增资完</w:t>
      </w:r>
      <w:r>
        <w:rPr/>
        <w:t> </w:t>
      </w:r>
      <w:r>
        <w:rPr>
          <w:spacing w:val="-1"/>
        </w:rPr>
        <w:t>美数联（杭州）科技有限公司暨关联交易的议案》，同意公司、完美数联、上海天维恒瑞企业管理合伙企</w:t>
      </w:r>
      <w:r>
        <w:rPr>
          <w:spacing w:val="-83"/>
        </w:rPr>
        <w:t> </w:t>
      </w:r>
      <w:r>
        <w:rPr>
          <w:spacing w:val="-83"/>
        </w:rPr>
      </w:r>
      <w:r>
        <w:rPr>
          <w:spacing w:val="-1"/>
        </w:rPr>
        <w:t>业（有限合伙）与上海云鑫创业投资有限公司签署相关交易协议。上海云鑫拟以人民币</w:t>
      </w:r>
      <w:r>
        <w:rPr>
          <w:rFonts w:ascii="Times New Roman" w:hAnsi="Times New Roman" w:cs="Times New Roman" w:eastAsia="Times New Roman" w:hint="default"/>
          <w:spacing w:val="-1"/>
        </w:rPr>
        <w:t>25</w:t>
      </w:r>
      <w:r>
        <w:rPr>
          <w:spacing w:val="-1"/>
        </w:rPr>
        <w:t>,</w:t>
      </w:r>
      <w:r>
        <w:rPr>
          <w:rFonts w:ascii="Times New Roman" w:hAnsi="Times New Roman" w:cs="Times New Roman" w:eastAsia="Times New Roman" w:hint="default"/>
          <w:spacing w:val="-1"/>
        </w:rPr>
        <w:t>000</w:t>
      </w:r>
      <w:r>
        <w:rPr>
          <w:spacing w:val="-1"/>
        </w:rPr>
        <w:t>万元对完美</w:t>
      </w:r>
      <w:r>
        <w:rPr>
          <w:spacing w:val="-83"/>
        </w:rPr>
        <w:t> </w:t>
      </w:r>
      <w:r>
        <w:rPr/>
        <w:t>数联进行增资。本次交易交割全部完成后，完美数联注册资本将增加至</w:t>
      </w:r>
      <w:r>
        <w:rPr>
          <w:rFonts w:ascii="Times New Roman" w:hAnsi="Times New Roman" w:cs="Times New Roman" w:eastAsia="Times New Roman" w:hint="default"/>
        </w:rPr>
        <w:t>2</w:t>
      </w:r>
      <w:r>
        <w:rPr/>
        <w:t>,</w:t>
      </w:r>
      <w:r>
        <w:rPr>
          <w:rFonts w:ascii="Times New Roman" w:hAnsi="Times New Roman" w:cs="Times New Roman" w:eastAsia="Times New Roman" w:hint="default"/>
        </w:rPr>
        <w:t>857</w:t>
      </w:r>
      <w:r>
        <w:rPr/>
        <w:t>万元，新开普持有</w:t>
      </w:r>
      <w:r>
        <w:rPr>
          <w:rFonts w:ascii="Times New Roman" w:hAnsi="Times New Roman" w:cs="Times New Roman" w:eastAsia="Times New Roman" w:hint="default"/>
        </w:rPr>
        <w:t>60</w:t>
      </w:r>
      <w:r>
        <w:rPr/>
        <w:t>%股权， 天维恒瑞持有</w:t>
      </w:r>
      <w:r>
        <w:rPr>
          <w:rFonts w:ascii="Times New Roman" w:hAnsi="Times New Roman" w:cs="Times New Roman" w:eastAsia="Times New Roman" w:hint="default"/>
        </w:rPr>
        <w:t>10</w:t>
      </w:r>
      <w:r>
        <w:rPr/>
        <w:t>%股权，上海云鑫持有</w:t>
      </w:r>
      <w:r>
        <w:rPr>
          <w:rFonts w:ascii="Times New Roman" w:hAnsi="Times New Roman" w:cs="Times New Roman" w:eastAsia="Times New Roman" w:hint="default"/>
        </w:rPr>
        <w:t>30</w:t>
      </w:r>
      <w:r>
        <w:rPr/>
        <w:t>%股权。</w:t>
      </w:r>
    </w:p>
    <w:p>
      <w:pPr>
        <w:pStyle w:val="BodyText"/>
        <w:spacing w:line="240" w:lineRule="auto" w:before="30"/>
        <w:ind w:left="573" w:right="111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日，公司召开的第四届董事会第二十七次会议审议通过了《关于注销控股子公司的议</w:t>
      </w:r>
    </w:p>
    <w:p>
      <w:pPr>
        <w:spacing w:after="0" w:line="240"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240" w:lineRule="auto" w:before="35"/>
        <w:ind w:right="1113"/>
        <w:jc w:val="left"/>
      </w:pPr>
      <w:r>
        <w:rPr/>
        <w:t>案》，同意注销控股子公司北京开普力维科技有限公司。</w:t>
      </w:r>
    </w:p>
    <w:p>
      <w:pPr>
        <w:spacing w:line="240" w:lineRule="auto" w:before="10"/>
        <w:rPr>
          <w:rFonts w:ascii="宋体" w:hAnsi="宋体" w:cs="宋体" w:eastAsia="宋体" w:hint="default"/>
          <w:sz w:val="14"/>
          <w:szCs w:val="14"/>
        </w:rPr>
      </w:pPr>
    </w:p>
    <w:p>
      <w:pPr>
        <w:pStyle w:val="BodyText"/>
        <w:spacing w:line="386" w:lineRule="auto" w:before="0"/>
        <w:ind w:right="1127" w:firstLine="420"/>
        <w:jc w:val="both"/>
      </w:pPr>
      <w:r>
        <w:rPr>
          <w:rFonts w:ascii="Times New Roman" w:hAnsi="Times New Roman" w:cs="Times New Roman" w:eastAsia="Times New Roman" w:hint="default"/>
          <w:spacing w:val="-5"/>
        </w:rPr>
        <w:t>3</w:t>
      </w:r>
      <w:r>
        <w:rPr>
          <w:spacing w:val="-5"/>
        </w:rPr>
        <w:t>、</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8</w:t>
      </w:r>
      <w:r>
        <w:rPr>
          <w:spacing w:val="-5"/>
        </w:rPr>
        <w:t>月</w:t>
      </w:r>
      <w:r>
        <w:rPr>
          <w:rFonts w:ascii="Times New Roman" w:hAnsi="Times New Roman" w:cs="Times New Roman" w:eastAsia="Times New Roman" w:hint="default"/>
          <w:spacing w:val="-5"/>
        </w:rPr>
        <w:t>26</w:t>
      </w:r>
      <w:r>
        <w:rPr>
          <w:spacing w:val="-5"/>
        </w:rPr>
        <w:t>日，公司召开的第四届董事会第二十九次会议审议通过《关于控股子公司完美数联（杭</w:t>
      </w:r>
      <w:r>
        <w:rPr/>
        <w:t> 州）科技有限公司对外投资的议案》，同意完美数联以自有资金人民币</w:t>
      </w:r>
      <w:r>
        <w:rPr>
          <w:rFonts w:ascii="Times New Roman" w:hAnsi="Times New Roman" w:cs="Times New Roman" w:eastAsia="Times New Roman" w:hint="default"/>
        </w:rPr>
        <w:t>1</w:t>
      </w:r>
      <w:r>
        <w:rPr/>
        <w:t>,</w:t>
      </w:r>
      <w:r>
        <w:rPr>
          <w:rFonts w:ascii="Times New Roman" w:hAnsi="Times New Roman" w:cs="Times New Roman" w:eastAsia="Times New Roman" w:hint="default"/>
        </w:rPr>
        <w:t>248.6364</w:t>
      </w:r>
      <w:r>
        <w:rPr/>
        <w:t>万元通过股权收购及增</w:t>
      </w:r>
      <w:r>
        <w:rPr>
          <w:spacing w:val="-85"/>
        </w:rPr>
        <w:t> </w:t>
      </w:r>
      <w:r>
        <w:rPr>
          <w:spacing w:val="-85"/>
        </w:rPr>
      </w:r>
      <w:r>
        <w:rPr/>
        <w:t>资方式投资北京华驰联创科技有限公司，本次交易完成后，完美数联取得华驰联创</w:t>
      </w:r>
      <w:r>
        <w:rPr>
          <w:rFonts w:ascii="Times New Roman" w:hAnsi="Times New Roman" w:cs="Times New Roman" w:eastAsia="Times New Roman" w:hint="default"/>
        </w:rPr>
        <w:t>67.00</w:t>
      </w:r>
      <w:r>
        <w:rPr/>
        <w:t>%的股权，获得控</w:t>
      </w:r>
      <w:r>
        <w:rPr>
          <w:spacing w:val="-81"/>
        </w:rPr>
        <w:t> </w:t>
      </w:r>
      <w:r>
        <w:rPr>
          <w:spacing w:val="-81"/>
        </w:rPr>
      </w:r>
      <w:r>
        <w:rPr/>
        <w:t>股地位。</w:t>
      </w:r>
    </w:p>
    <w:p>
      <w:pPr>
        <w:pStyle w:val="BodyText"/>
        <w:spacing w:line="240" w:lineRule="auto" w:before="65"/>
        <w:ind w:left="574" w:right="1113"/>
        <w:jc w:val="left"/>
      </w:pPr>
      <w:r>
        <w:rPr/>
        <w:t>以上内容详见公司刊登在中国证监会指定创业板信息披露网站上披露的相关公告。</w:t>
      </w:r>
    </w:p>
    <w:p>
      <w:pPr>
        <w:spacing w:after="0" w:line="240" w:lineRule="auto"/>
        <w:jc w:val="left"/>
        <w:sectPr>
          <w:pgSz w:w="11910" w:h="16840"/>
          <w:pgMar w:header="877" w:footer="982" w:top="110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046" w:right="1113"/>
        <w:jc w:val="left"/>
        <w:rPr>
          <w:b w:val="0"/>
          <w:bCs w:val="0"/>
        </w:rPr>
      </w:pPr>
      <w:bookmarkStart w:name="_TOC_250007" w:id="6"/>
      <w:r>
        <w:rPr/>
        <w:t>第六节股份变动及股东情况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13"/>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27"/>
        <w:gridCol w:w="823"/>
        <w:gridCol w:w="823"/>
        <w:gridCol w:w="822"/>
        <w:gridCol w:w="822"/>
        <w:gridCol w:w="822"/>
        <w:gridCol w:w="822"/>
        <w:gridCol w:w="822"/>
        <w:gridCol w:w="794"/>
        <w:gridCol w:w="794"/>
      </w:tblGrid>
      <w:tr>
        <w:trPr>
          <w:trHeight w:val="402" w:hRule="exact"/>
        </w:trPr>
        <w:tc>
          <w:tcPr>
            <w:tcW w:w="2227" w:type="dxa"/>
            <w:vMerge w:val="restart"/>
            <w:tcBorders>
              <w:top w:val="single" w:sz="4" w:space="0" w:color="000000"/>
              <w:left w:val="single" w:sz="4" w:space="0" w:color="000000"/>
              <w:right w:val="single" w:sz="4" w:space="0" w:color="000000"/>
            </w:tcBorders>
            <w:shd w:val="clear" w:color="auto" w:fill="D3D3D3"/>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7" w:type="dxa"/>
            <w:vMerge/>
            <w:tcBorders>
              <w:left w:val="single" w:sz="4" w:space="0" w:color="000000"/>
              <w:bottom w:val="single" w:sz="4" w:space="0" w:color="000000"/>
              <w:right w:val="single" w:sz="4" w:space="0" w:color="000000"/>
            </w:tcBorders>
            <w:shd w:val="clear" w:color="auto" w:fill="D3D3D3"/>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164,457,1</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91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34.18%</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-1,746,47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-1,746,47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162,710,7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33.82%</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164,457,1</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91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34.18%</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-1,746,47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-1,746,47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162,710,7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33.82%</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164,457,1</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91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34.18%</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-1,746,47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-1,746,47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162,710,7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33.82%</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316,635,3</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65.82%</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1,746,473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1,746,473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318,381,7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66.18%</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316,635,3</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65.82%</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1,746,473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1,746,473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318,381,7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66.18%</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481,092,4</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95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481,092,4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240" w:lineRule="auto" w:before="12"/>
        <w:rPr>
          <w:rFonts w:ascii="宋体" w:hAnsi="宋体" w:cs="宋体" w:eastAsia="宋体" w:hint="default"/>
          <w:sz w:val="20"/>
          <w:szCs w:val="20"/>
        </w:rPr>
      </w:pPr>
    </w:p>
    <w:p>
      <w:pPr>
        <w:spacing w:line="504" w:lineRule="auto" w:before="0"/>
        <w:ind w:left="154" w:right="66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主要由部分董监高股份变动及董监高人员聘任所致。 股份变动的批准情况</w:t>
      </w:r>
    </w:p>
    <w:p>
      <w:pPr>
        <w:spacing w:line="489" w:lineRule="auto" w:before="74"/>
        <w:ind w:left="154" w:right="91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股份变动的过户情况</w:t>
      </w:r>
    </w:p>
    <w:p>
      <w:pPr>
        <w:spacing w:line="489" w:lineRule="auto" w:before="86"/>
        <w:ind w:left="154" w:right="87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股份回购的实施进展情况</w:t>
      </w:r>
    </w:p>
    <w:p>
      <w:pPr>
        <w:spacing w:line="489" w:lineRule="auto" w:before="85"/>
        <w:ind w:left="154" w:right="69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采用集中竞价方式减持回购股份的实施进展情况</w:t>
      </w:r>
    </w:p>
    <w:p>
      <w:pPr>
        <w:spacing w:before="85"/>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12"/>
        <w:rPr>
          <w:rFonts w:ascii="宋体" w:hAnsi="宋体" w:cs="宋体" w:eastAsia="宋体" w:hint="default"/>
          <w:sz w:val="27"/>
          <w:szCs w:val="27"/>
        </w:rPr>
      </w:pPr>
    </w:p>
    <w:p>
      <w:pPr>
        <w:spacing w:before="44"/>
        <w:ind w:left="153" w:right="1113"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line="240" w:lineRule="auto" w:before="10"/>
        <w:rPr>
          <w:rFonts w:ascii="宋体" w:hAnsi="宋体" w:cs="宋体" w:eastAsia="宋体" w:hint="default"/>
          <w:sz w:val="20"/>
          <w:szCs w:val="20"/>
        </w:rPr>
      </w:pPr>
    </w:p>
    <w:p>
      <w:pPr>
        <w:spacing w:line="489" w:lineRule="auto" w:before="0"/>
        <w:ind w:left="154" w:right="67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公司认为必要或证券监管机构要求披露的其他内容</w:t>
      </w:r>
    </w:p>
    <w:p>
      <w:pPr>
        <w:spacing w:before="85"/>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111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8"/>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3"/>
          <w:szCs w:val="13"/>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06"/>
        <w:gridCol w:w="1488"/>
        <w:gridCol w:w="1488"/>
        <w:gridCol w:w="1488"/>
        <w:gridCol w:w="1488"/>
        <w:gridCol w:w="1204"/>
        <w:gridCol w:w="1205"/>
      </w:tblGrid>
      <w:tr>
        <w:trPr>
          <w:trHeight w:val="714" w:hRule="exact"/>
        </w:trPr>
        <w:tc>
          <w:tcPr>
            <w:tcW w:w="1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48" w:right="10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47" w:right="10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07" w:right="55" w:hanging="450"/>
              <w:jc w:val="left"/>
              <w:rPr>
                <w:rFonts w:ascii="宋体" w:hAnsi="宋体" w:cs="宋体" w:eastAsia="宋体" w:hint="default"/>
                <w:sz w:val="18"/>
                <w:szCs w:val="18"/>
              </w:rPr>
            </w:pPr>
            <w:r>
              <w:rPr>
                <w:rFonts w:ascii="宋体" w:hAnsi="宋体" w:cs="宋体" w:eastAsia="宋体" w:hint="default"/>
                <w:sz w:val="18"/>
                <w:szCs w:val="18"/>
              </w:rPr>
              <w:t>拟解除限售日 期</w:t>
            </w:r>
          </w:p>
        </w:tc>
      </w:tr>
      <w:tr>
        <w:trPr>
          <w:trHeight w:val="357" w:hRule="exact"/>
        </w:trPr>
        <w:tc>
          <w:tcPr>
            <w:tcW w:w="1206"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任职期间每年</w:t>
            </w:r>
          </w:p>
        </w:tc>
      </w:tr>
      <w:tr>
        <w:trPr>
          <w:trHeight w:val="311"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转让的股份不</w:t>
            </w:r>
          </w:p>
        </w:tc>
      </w:tr>
      <w:tr>
        <w:trPr>
          <w:trHeight w:val="316" w:hRule="exact"/>
        </w:trPr>
        <w:tc>
          <w:tcPr>
            <w:tcW w:w="120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杨维国</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74,505,231</w:t>
            </w: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34" w:right="0"/>
              <w:jc w:val="left"/>
              <w:rPr>
                <w:rFonts w:ascii="Times New Roman" w:hAnsi="Times New Roman" w:cs="Times New Roman" w:eastAsia="Times New Roman" w:hint="default"/>
                <w:sz w:val="18"/>
                <w:szCs w:val="18"/>
              </w:rPr>
            </w:pPr>
            <w:r>
              <w:rPr>
                <w:rFonts w:ascii="Times New Roman"/>
                <w:sz w:val="18"/>
              </w:rPr>
              <w:t>3,885,900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70,619,331</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超过其所持有</w:t>
            </w:r>
          </w:p>
        </w:tc>
      </w:tr>
      <w:tr>
        <w:trPr>
          <w:trHeight w:val="308"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公司股份总数</w:t>
            </w:r>
          </w:p>
        </w:tc>
      </w:tr>
      <w:tr>
        <w:trPr>
          <w:trHeight w:val="357" w:hRule="exact"/>
        </w:trPr>
        <w:tc>
          <w:tcPr>
            <w:tcW w:w="1206"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57" w:hRule="exact"/>
        </w:trPr>
        <w:tc>
          <w:tcPr>
            <w:tcW w:w="1206"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任职期间每年</w:t>
            </w:r>
          </w:p>
        </w:tc>
      </w:tr>
      <w:tr>
        <w:trPr>
          <w:trHeight w:val="311"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转让的股份不</w:t>
            </w:r>
          </w:p>
        </w:tc>
      </w:tr>
      <w:tr>
        <w:trPr>
          <w:trHeight w:val="316" w:hRule="exact"/>
        </w:trPr>
        <w:tc>
          <w:tcPr>
            <w:tcW w:w="120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尚卫国</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14,130,645</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750</w:t>
            </w: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14,131,395</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超过其所持有</w:t>
            </w:r>
          </w:p>
        </w:tc>
      </w:tr>
      <w:tr>
        <w:trPr>
          <w:trHeight w:val="308"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公司股份总数</w:t>
            </w:r>
          </w:p>
        </w:tc>
      </w:tr>
      <w:tr>
        <w:trPr>
          <w:trHeight w:val="357" w:hRule="exact"/>
        </w:trPr>
        <w:tc>
          <w:tcPr>
            <w:tcW w:w="1206"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57" w:hRule="exact"/>
        </w:trPr>
        <w:tc>
          <w:tcPr>
            <w:tcW w:w="1206"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任职期间每年</w:t>
            </w:r>
          </w:p>
        </w:tc>
      </w:tr>
      <w:tr>
        <w:trPr>
          <w:trHeight w:val="311"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转让的股份不</w:t>
            </w:r>
          </w:p>
        </w:tc>
      </w:tr>
      <w:tr>
        <w:trPr>
          <w:trHeight w:val="316" w:hRule="exact"/>
        </w:trPr>
        <w:tc>
          <w:tcPr>
            <w:tcW w:w="120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付秋生</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12,525,569</w:t>
            </w: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12,525,569</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超过其所持有</w:t>
            </w:r>
          </w:p>
        </w:tc>
      </w:tr>
      <w:tr>
        <w:trPr>
          <w:trHeight w:val="308"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公司股份总数</w:t>
            </w:r>
          </w:p>
        </w:tc>
      </w:tr>
      <w:tr>
        <w:trPr>
          <w:trHeight w:val="357" w:hRule="exact"/>
        </w:trPr>
        <w:tc>
          <w:tcPr>
            <w:tcW w:w="1206"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57" w:hRule="exact"/>
        </w:trPr>
        <w:tc>
          <w:tcPr>
            <w:tcW w:w="1206"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任职期间每年</w:t>
            </w:r>
          </w:p>
        </w:tc>
      </w:tr>
      <w:tr>
        <w:trPr>
          <w:trHeight w:val="311"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转让的股份不</w:t>
            </w:r>
          </w:p>
        </w:tc>
      </w:tr>
      <w:tr>
        <w:trPr>
          <w:trHeight w:val="316" w:hRule="exact"/>
        </w:trPr>
        <w:tc>
          <w:tcPr>
            <w:tcW w:w="120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华梦阳</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12,244,025</w:t>
            </w: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12,244,025</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超过其所持有</w:t>
            </w:r>
          </w:p>
        </w:tc>
      </w:tr>
      <w:tr>
        <w:trPr>
          <w:trHeight w:val="308"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公司股份总数</w:t>
            </w:r>
          </w:p>
        </w:tc>
      </w:tr>
      <w:tr>
        <w:trPr>
          <w:trHeight w:val="357" w:hRule="exact"/>
        </w:trPr>
        <w:tc>
          <w:tcPr>
            <w:tcW w:w="1206"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57" w:hRule="exact"/>
        </w:trPr>
        <w:tc>
          <w:tcPr>
            <w:tcW w:w="1206"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任职期间每年</w:t>
            </w:r>
          </w:p>
        </w:tc>
      </w:tr>
      <w:tr>
        <w:trPr>
          <w:trHeight w:val="311"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转让的股份不</w:t>
            </w:r>
          </w:p>
        </w:tc>
      </w:tr>
      <w:tr>
        <w:trPr>
          <w:trHeight w:val="316" w:hRule="exact"/>
        </w:trPr>
        <w:tc>
          <w:tcPr>
            <w:tcW w:w="120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傅常顺</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11,338,736</w:t>
            </w: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11,338,736</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超过其所持有</w:t>
            </w:r>
          </w:p>
        </w:tc>
      </w:tr>
      <w:tr>
        <w:trPr>
          <w:trHeight w:val="308"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公司股份总数</w:t>
            </w:r>
          </w:p>
        </w:tc>
      </w:tr>
      <w:tr>
        <w:trPr>
          <w:trHeight w:val="357" w:hRule="exact"/>
        </w:trPr>
        <w:tc>
          <w:tcPr>
            <w:tcW w:w="1206"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06"/>
        <w:gridCol w:w="1488"/>
        <w:gridCol w:w="1488"/>
        <w:gridCol w:w="1488"/>
        <w:gridCol w:w="1488"/>
        <w:gridCol w:w="1204"/>
        <w:gridCol w:w="1205"/>
      </w:tblGrid>
      <w:tr>
        <w:trPr>
          <w:trHeight w:val="358" w:hRule="exact"/>
        </w:trPr>
        <w:tc>
          <w:tcPr>
            <w:tcW w:w="1206"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任职期间每年</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转让的股份不</w:t>
            </w:r>
          </w:p>
        </w:tc>
      </w:tr>
      <w:tr>
        <w:trPr>
          <w:trHeight w:val="316" w:hRule="exact"/>
        </w:trPr>
        <w:tc>
          <w:tcPr>
            <w:tcW w:w="12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赵利宾</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11,338,736</w:t>
            </w: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11,338,736</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超过其所持有</w:t>
            </w:r>
          </w:p>
        </w:tc>
      </w:tr>
      <w:tr>
        <w:trPr>
          <w:trHeight w:val="309"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公司股份总数</w:t>
            </w:r>
          </w:p>
        </w:tc>
      </w:tr>
      <w:tr>
        <w:trPr>
          <w:trHeight w:val="356" w:hRule="exact"/>
        </w:trPr>
        <w:tc>
          <w:tcPr>
            <w:tcW w:w="1206"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58" w:hRule="exact"/>
        </w:trPr>
        <w:tc>
          <w:tcPr>
            <w:tcW w:w="1206"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任职期间每年</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转让的股份不</w:t>
            </w:r>
          </w:p>
        </w:tc>
      </w:tr>
      <w:tr>
        <w:trPr>
          <w:trHeight w:val="316" w:hRule="exact"/>
        </w:trPr>
        <w:tc>
          <w:tcPr>
            <w:tcW w:w="12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杜建平</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11,338,737</w:t>
            </w: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1</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11,338,736</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超过其所持有</w:t>
            </w:r>
          </w:p>
        </w:tc>
      </w:tr>
      <w:tr>
        <w:trPr>
          <w:trHeight w:val="309"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公司股份总数</w:t>
            </w:r>
          </w:p>
        </w:tc>
      </w:tr>
      <w:tr>
        <w:trPr>
          <w:trHeight w:val="356" w:hRule="exact"/>
        </w:trPr>
        <w:tc>
          <w:tcPr>
            <w:tcW w:w="1206"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58" w:hRule="exact"/>
        </w:trPr>
        <w:tc>
          <w:tcPr>
            <w:tcW w:w="1206"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任职期间每年</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转让的股份不</w:t>
            </w:r>
          </w:p>
        </w:tc>
      </w:tr>
      <w:tr>
        <w:trPr>
          <w:trHeight w:val="316" w:hRule="exact"/>
        </w:trPr>
        <w:tc>
          <w:tcPr>
            <w:tcW w:w="12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刘恩臣</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10,772,931</w:t>
            </w: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10,772,931</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超过其所持有</w:t>
            </w:r>
          </w:p>
        </w:tc>
      </w:tr>
      <w:tr>
        <w:trPr>
          <w:trHeight w:val="309"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公司股份总数</w:t>
            </w:r>
          </w:p>
        </w:tc>
      </w:tr>
      <w:tr>
        <w:trPr>
          <w:trHeight w:val="356" w:hRule="exact"/>
        </w:trPr>
        <w:tc>
          <w:tcPr>
            <w:tcW w:w="1206"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刘永春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5,730,725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1,910,241</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7,640,966</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06" w:right="55" w:hanging="450"/>
              <w:jc w:val="left"/>
              <w:rPr>
                <w:rFonts w:ascii="宋体" w:hAnsi="宋体" w:cs="宋体" w:eastAsia="宋体" w:hint="default"/>
                <w:sz w:val="18"/>
                <w:szCs w:val="18"/>
              </w:rPr>
            </w:pPr>
            <w:r>
              <w:rPr>
                <w:rFonts w:ascii="宋体" w:hAnsi="宋体" w:cs="宋体" w:eastAsia="宋体" w:hint="default"/>
                <w:sz w:val="18"/>
                <w:szCs w:val="18"/>
              </w:rPr>
              <w:t>离职高管锁定 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58" w:hRule="exact"/>
        </w:trPr>
        <w:tc>
          <w:tcPr>
            <w:tcW w:w="1206"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任职期间每年</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转让的股份不</w:t>
            </w:r>
          </w:p>
        </w:tc>
      </w:tr>
      <w:tr>
        <w:trPr>
          <w:trHeight w:val="316" w:hRule="exact"/>
        </w:trPr>
        <w:tc>
          <w:tcPr>
            <w:tcW w:w="12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王葆玲</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335,522</w:t>
            </w: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335,522</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超过其所持有</w:t>
            </w:r>
          </w:p>
        </w:tc>
      </w:tr>
      <w:tr>
        <w:trPr>
          <w:trHeight w:val="309"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公司股份总数</w:t>
            </w:r>
          </w:p>
        </w:tc>
      </w:tr>
      <w:tr>
        <w:trPr>
          <w:trHeight w:val="356" w:hRule="exact"/>
        </w:trPr>
        <w:tc>
          <w:tcPr>
            <w:tcW w:w="1206"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58" w:hRule="exact"/>
        </w:trPr>
        <w:tc>
          <w:tcPr>
            <w:tcW w:w="1206"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任职期间每年</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转让的股份不</w:t>
            </w:r>
          </w:p>
        </w:tc>
      </w:tr>
      <w:tr>
        <w:trPr>
          <w:trHeight w:val="316" w:hRule="exact"/>
        </w:trPr>
        <w:tc>
          <w:tcPr>
            <w:tcW w:w="12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李玉玲</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33,948</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33,949</w:t>
            </w: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67,897</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超过其所持有</w:t>
            </w:r>
          </w:p>
        </w:tc>
      </w:tr>
      <w:tr>
        <w:trPr>
          <w:trHeight w:val="309"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公司股份总数</w:t>
            </w:r>
          </w:p>
        </w:tc>
      </w:tr>
      <w:tr>
        <w:trPr>
          <w:trHeight w:val="356" w:hRule="exact"/>
        </w:trPr>
        <w:tc>
          <w:tcPr>
            <w:tcW w:w="1206"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58" w:hRule="exact"/>
        </w:trPr>
        <w:tc>
          <w:tcPr>
            <w:tcW w:w="1206"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任职期间每年</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转让的股份不</w:t>
            </w:r>
          </w:p>
        </w:tc>
      </w:tr>
      <w:tr>
        <w:trPr>
          <w:trHeight w:val="316" w:hRule="exact"/>
        </w:trPr>
        <w:tc>
          <w:tcPr>
            <w:tcW w:w="12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杨长昆</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8,487</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40,738</w:t>
            </w: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49,225</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超过其所持有</w:t>
            </w:r>
          </w:p>
        </w:tc>
      </w:tr>
      <w:tr>
        <w:trPr>
          <w:trHeight w:val="309"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公司股份总数</w:t>
            </w:r>
          </w:p>
        </w:tc>
      </w:tr>
      <w:tr>
        <w:trPr>
          <w:trHeight w:val="356" w:hRule="exact"/>
        </w:trPr>
        <w:tc>
          <w:tcPr>
            <w:tcW w:w="1206"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58" w:hRule="exact"/>
        </w:trPr>
        <w:tc>
          <w:tcPr>
            <w:tcW w:w="1206"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任职期间每年</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转让的股份不</w:t>
            </w:r>
          </w:p>
        </w:tc>
      </w:tr>
      <w:tr>
        <w:trPr>
          <w:trHeight w:val="316" w:hRule="exact"/>
        </w:trPr>
        <w:tc>
          <w:tcPr>
            <w:tcW w:w="12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赵鑫</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153,899</w:t>
            </w: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153,899</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超过其所持有</w:t>
            </w:r>
          </w:p>
        </w:tc>
      </w:tr>
      <w:tr>
        <w:trPr>
          <w:trHeight w:val="309"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公司股份总数</w:t>
            </w:r>
          </w:p>
        </w:tc>
      </w:tr>
      <w:tr>
        <w:trPr>
          <w:trHeight w:val="356" w:hRule="exact"/>
        </w:trPr>
        <w:tc>
          <w:tcPr>
            <w:tcW w:w="1206"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58" w:hRule="exact"/>
        </w:trPr>
        <w:tc>
          <w:tcPr>
            <w:tcW w:w="1206"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任职期间每年</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转让的股份不</w:t>
            </w:r>
          </w:p>
        </w:tc>
      </w:tr>
      <w:tr>
        <w:trPr>
          <w:trHeight w:val="316" w:hRule="exact"/>
        </w:trPr>
        <w:tc>
          <w:tcPr>
            <w:tcW w:w="12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焦征海</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153,750</w:t>
            </w: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153,750</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超过其所持有</w:t>
            </w:r>
          </w:p>
        </w:tc>
      </w:tr>
      <w:tr>
        <w:trPr>
          <w:trHeight w:val="309"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公司股份总数</w:t>
            </w:r>
          </w:p>
        </w:tc>
      </w:tr>
      <w:tr>
        <w:trPr>
          <w:trHeight w:val="356" w:hRule="exact"/>
        </w:trPr>
        <w:tc>
          <w:tcPr>
            <w:tcW w:w="1206"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06"/>
        <w:gridCol w:w="1488"/>
        <w:gridCol w:w="1488"/>
        <w:gridCol w:w="1488"/>
        <w:gridCol w:w="1488"/>
        <w:gridCol w:w="1204"/>
        <w:gridCol w:w="1205"/>
      </w:tblGrid>
      <w:tr>
        <w:trPr>
          <w:trHeight w:val="402" w:hRule="exact"/>
        </w:trPr>
        <w:tc>
          <w:tcPr>
            <w:tcW w:w="1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4" w:right="0"/>
              <w:jc w:val="left"/>
              <w:rPr>
                <w:rFonts w:ascii="Times New Roman" w:hAnsi="Times New Roman" w:cs="Times New Roman" w:eastAsia="Times New Roman" w:hint="default"/>
                <w:sz w:val="18"/>
                <w:szCs w:val="18"/>
              </w:rPr>
            </w:pPr>
            <w:r>
              <w:rPr>
                <w:rFonts w:ascii="Times New Roman"/>
                <w:sz w:val="18"/>
              </w:rPr>
              <w:t>164,457,191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4" w:right="0"/>
              <w:jc w:val="left"/>
              <w:rPr>
                <w:rFonts w:ascii="Times New Roman" w:hAnsi="Times New Roman" w:cs="Times New Roman" w:eastAsia="Times New Roman" w:hint="default"/>
                <w:sz w:val="18"/>
                <w:szCs w:val="18"/>
              </w:rPr>
            </w:pPr>
            <w:r>
              <w:rPr>
                <w:rFonts w:ascii="Times New Roman"/>
                <w:sz w:val="18"/>
              </w:rPr>
              <w:t>2,139,428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4" w:right="0"/>
              <w:jc w:val="left"/>
              <w:rPr>
                <w:rFonts w:ascii="Times New Roman" w:hAnsi="Times New Roman" w:cs="Times New Roman" w:eastAsia="Times New Roman" w:hint="default"/>
                <w:sz w:val="18"/>
                <w:szCs w:val="18"/>
              </w:rPr>
            </w:pPr>
            <w:r>
              <w:rPr>
                <w:rFonts w:ascii="Times New Roman"/>
                <w:sz w:val="18"/>
              </w:rPr>
              <w:t>3,885,901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4" w:right="0"/>
              <w:jc w:val="left"/>
              <w:rPr>
                <w:rFonts w:ascii="Times New Roman" w:hAnsi="Times New Roman" w:cs="Times New Roman" w:eastAsia="Times New Roman" w:hint="default"/>
                <w:sz w:val="18"/>
                <w:szCs w:val="18"/>
              </w:rPr>
            </w:pPr>
            <w:r>
              <w:rPr>
                <w:rFonts w:ascii="Times New Roman"/>
                <w:sz w:val="18"/>
              </w:rPr>
              <w:t>162,710,718</w:t>
            </w:r>
          </w:p>
        </w:tc>
        <w:tc>
          <w:tcPr>
            <w:tcW w:w="1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1113"/>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111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111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2"/>
        <w:spacing w:line="240" w:lineRule="auto" w:before="155"/>
        <w:ind w:right="1113"/>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pict>
          <v:group style="position:absolute;margin-left:329.579987pt;margin-top:19.672029pt;width:52.7pt;height:82.05pt;mso-position-horizontal-relative:page;mso-position-vertical-relative:paragraph;z-index:-1597672" coordorigin="6592,393" coordsize="1054,1641">
            <v:group style="position:absolute;left:6592;top:393;width:1054;height:1641" coordorigin="6592,393" coordsize="1054,1641">
              <v:shape style="position:absolute;left:6592;top:393;width:1054;height:1641" coordorigin="6592,393" coordsize="1054,1641" path="m6592,2034l7645,2034,7645,393,6592,393,6592,2034xe" filled="true" fillcolor="#ffffff" stroked="false">
                <v:path arrowok="t"/>
                <v:fill type="solid"/>
              </v:shape>
            </v:group>
            <v:group style="position:absolute;left:6614;top:1017;width:1008;height:393" coordorigin="6614,1017" coordsize="1008,393">
              <v:shape style="position:absolute;left:6614;top:1017;width:1008;height:393" coordorigin="6614,1017" coordsize="1008,393" path="m6614,1410l7622,1410,7622,1017,6614,1017,6614,1410xe" filled="true" fillcolor="#ffffff" stroked="false">
                <v:path arrowok="t"/>
                <v:fill type="solid"/>
              </v:shape>
            </v:group>
            <w10:wrap type="none"/>
          </v:group>
        </w:pict>
      </w: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1"/>
        <w:gridCol w:w="1196"/>
        <w:gridCol w:w="930"/>
        <w:gridCol w:w="1062"/>
        <w:gridCol w:w="1063"/>
        <w:gridCol w:w="1063"/>
        <w:gridCol w:w="926"/>
        <w:gridCol w:w="1068"/>
        <w:gridCol w:w="1059"/>
      </w:tblGrid>
      <w:tr>
        <w:trPr>
          <w:trHeight w:val="1650"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86"/>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68" w:right="0"/>
              <w:jc w:val="left"/>
              <w:rPr>
                <w:rFonts w:ascii="Times New Roman" w:hAnsi="Times New Roman" w:cs="Times New Roman" w:eastAsia="Times New Roman" w:hint="default"/>
                <w:sz w:val="18"/>
                <w:szCs w:val="18"/>
              </w:rPr>
            </w:pPr>
            <w:r>
              <w:rPr>
                <w:rFonts w:ascii="Times New Roman"/>
                <w:sz w:val="18"/>
              </w:rPr>
              <w:t>27,687</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75"/>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24,386</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20"/>
              <w:ind w:left="23"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5"/>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99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69"/>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20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4"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75" w:right="77"/>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2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97" w:right="97"/>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201"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930"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926" w:type="dxa"/>
            <w:vMerge/>
            <w:tcBorders>
              <w:left w:val="single" w:sz="4" w:space="0" w:color="000000"/>
              <w:bottom w:val="single" w:sz="4" w:space="0" w:color="000000"/>
              <w:right w:val="single" w:sz="4" w:space="0" w:color="000000"/>
            </w:tcBorders>
            <w:shd w:val="clear" w:color="auto" w:fill="D3D3D3"/>
          </w:tcPr>
          <w:p>
            <w:pPr/>
          </w:p>
        </w:tc>
        <w:tc>
          <w:tcPr>
            <w:tcW w:w="1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股份状态</w:t>
            </w:r>
          </w:p>
        </w:tc>
        <w:tc>
          <w:tcPr>
            <w:tcW w:w="1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78,079,108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70,619,331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7,459,777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45,600,000</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上海云鑫创业 投资有限公司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02" w:right="52" w:hanging="450"/>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30,210,000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30,210,000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华梦阳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14,755,367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12,244,025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2,511,342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3,110,400</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尚卫国</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14,502,556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14,131,395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371,161</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付秋生</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13,608,227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12,525,569</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1,082,658</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6,350,000</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杜建平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12,698,315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11,338,736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1,359,579</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5,485,547</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刘恩臣</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12,293,993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10,772,931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1,521,062</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傅常顺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12,167,684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11,338,736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828,948</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201"/>
        <w:gridCol w:w="1190"/>
        <w:gridCol w:w="936"/>
        <w:gridCol w:w="1062"/>
        <w:gridCol w:w="1063"/>
        <w:gridCol w:w="1063"/>
        <w:gridCol w:w="714"/>
        <w:gridCol w:w="212"/>
        <w:gridCol w:w="1068"/>
        <w:gridCol w:w="1058"/>
      </w:tblGrid>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赵利宾</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12,036,954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11,338,736</w:t>
            </w:r>
          </w:p>
        </w:tc>
        <w:tc>
          <w:tcPr>
            <w:tcW w:w="9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7" w:right="0"/>
              <w:jc w:val="left"/>
              <w:rPr>
                <w:rFonts w:ascii="Times New Roman" w:hAnsi="Times New Roman" w:cs="Times New Roman" w:eastAsia="Times New Roman" w:hint="default"/>
                <w:sz w:val="18"/>
                <w:szCs w:val="18"/>
              </w:rPr>
            </w:pPr>
            <w:r>
              <w:rPr>
                <w:rFonts w:ascii="Times New Roman"/>
                <w:sz w:val="18"/>
              </w:rPr>
              <w:t>698,218</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9,591,152</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马明海</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11,933,639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11,933,639</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名股东的情况</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177" w:type="dxa"/>
            <w:gridSpan w:val="8"/>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77" w:type="dxa"/>
            <w:gridSpan w:val="8"/>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9569"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392"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4838" w:type="dxa"/>
            <w:gridSpan w:val="5"/>
            <w:tcBorders>
              <w:top w:val="single" w:sz="4" w:space="0" w:color="000000"/>
              <w:left w:val="single" w:sz="4" w:space="0" w:color="000000"/>
              <w:bottom w:val="nil" w:sz="6" w:space="0" w:color="auto"/>
              <w:right w:val="single" w:sz="4" w:space="0" w:color="000000"/>
            </w:tcBorders>
            <w:shd w:val="clear" w:color="auto" w:fill="D3D3D3"/>
          </w:tcPr>
          <w:p>
            <w:pPr/>
          </w:p>
        </w:tc>
        <w:tc>
          <w:tcPr>
            <w:tcW w:w="2339"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6" w:hRule="exact"/>
        </w:trPr>
        <w:tc>
          <w:tcPr>
            <w:tcW w:w="2392"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838" w:type="dxa"/>
            <w:gridSpan w:val="5"/>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06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339"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392" w:type="dxa"/>
            <w:gridSpan w:val="2"/>
            <w:vMerge/>
            <w:tcBorders>
              <w:left w:val="single" w:sz="4" w:space="0" w:color="000000"/>
              <w:bottom w:val="nil" w:sz="6" w:space="0" w:color="auto"/>
              <w:right w:val="single" w:sz="4" w:space="0" w:color="000000"/>
            </w:tcBorders>
            <w:shd w:val="clear" w:color="auto" w:fill="D3D3D3"/>
          </w:tcPr>
          <w:p>
            <w:pPr/>
          </w:p>
        </w:tc>
        <w:tc>
          <w:tcPr>
            <w:tcW w:w="4838" w:type="dxa"/>
            <w:gridSpan w:val="5"/>
            <w:vMerge/>
            <w:tcBorders>
              <w:left w:val="single" w:sz="4" w:space="0" w:color="000000"/>
              <w:bottom w:val="nil" w:sz="6" w:space="0" w:color="auto"/>
              <w:right w:val="single" w:sz="4" w:space="0" w:color="000000"/>
            </w:tcBorders>
            <w:shd w:val="clear" w:color="auto" w:fill="D3D3D3"/>
          </w:tcPr>
          <w:p>
            <w:pPr/>
          </w:p>
        </w:tc>
        <w:tc>
          <w:tcPr>
            <w:tcW w:w="128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5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392"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4838"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1280" w:type="dxa"/>
            <w:gridSpan w:val="2"/>
            <w:vMerge/>
            <w:tcBorders>
              <w:left w:val="single" w:sz="4" w:space="0" w:color="000000"/>
              <w:bottom w:val="single" w:sz="4" w:space="0" w:color="000000"/>
              <w:right w:val="single" w:sz="4" w:space="0" w:color="000000"/>
            </w:tcBorders>
            <w:shd w:val="clear" w:color="auto" w:fill="D3D3D3"/>
          </w:tcPr>
          <w:p>
            <w:pPr/>
          </w:p>
        </w:tc>
        <w:tc>
          <w:tcPr>
            <w:tcW w:w="105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上海云鑫创业投资有限公司</w:t>
            </w:r>
          </w:p>
        </w:tc>
        <w:tc>
          <w:tcPr>
            <w:tcW w:w="48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30,210,000</w:t>
            </w:r>
          </w:p>
        </w:tc>
        <w:tc>
          <w:tcPr>
            <w:tcW w:w="1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30,210,000</w:t>
            </w:r>
          </w:p>
        </w:tc>
      </w:tr>
      <w:tr>
        <w:trPr>
          <w:trHeight w:val="402" w:hRule="exact"/>
        </w:trPr>
        <w:tc>
          <w:tcPr>
            <w:tcW w:w="2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马明海</w:t>
            </w:r>
          </w:p>
        </w:tc>
        <w:tc>
          <w:tcPr>
            <w:tcW w:w="48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11,933,639</w:t>
            </w:r>
          </w:p>
        </w:tc>
        <w:tc>
          <w:tcPr>
            <w:tcW w:w="1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11,933,639</w:t>
            </w:r>
          </w:p>
        </w:tc>
      </w:tr>
      <w:tr>
        <w:trPr>
          <w:trHeight w:val="402" w:hRule="exact"/>
        </w:trPr>
        <w:tc>
          <w:tcPr>
            <w:tcW w:w="2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郎金文</w:t>
            </w:r>
          </w:p>
        </w:tc>
        <w:tc>
          <w:tcPr>
            <w:tcW w:w="48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11,324,815</w:t>
            </w:r>
          </w:p>
        </w:tc>
        <w:tc>
          <w:tcPr>
            <w:tcW w:w="1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11,324,815</w:t>
            </w:r>
          </w:p>
        </w:tc>
      </w:tr>
      <w:tr>
        <w:trPr>
          <w:trHeight w:val="402" w:hRule="exact"/>
        </w:trPr>
        <w:tc>
          <w:tcPr>
            <w:tcW w:w="2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葛晓阁</w:t>
            </w:r>
          </w:p>
        </w:tc>
        <w:tc>
          <w:tcPr>
            <w:tcW w:w="48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11,010,959</w:t>
            </w:r>
          </w:p>
        </w:tc>
        <w:tc>
          <w:tcPr>
            <w:tcW w:w="1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11,010,959</w:t>
            </w:r>
          </w:p>
        </w:tc>
      </w:tr>
      <w:tr>
        <w:trPr>
          <w:trHeight w:val="402" w:hRule="exact"/>
        </w:trPr>
        <w:tc>
          <w:tcPr>
            <w:tcW w:w="2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48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7,459,777</w:t>
            </w:r>
          </w:p>
        </w:tc>
        <w:tc>
          <w:tcPr>
            <w:tcW w:w="1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7,459,777</w:t>
            </w:r>
          </w:p>
        </w:tc>
      </w:tr>
      <w:tr>
        <w:trPr>
          <w:trHeight w:val="402" w:hRule="exact"/>
        </w:trPr>
        <w:tc>
          <w:tcPr>
            <w:tcW w:w="2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丛伟滋</w:t>
            </w:r>
          </w:p>
        </w:tc>
        <w:tc>
          <w:tcPr>
            <w:tcW w:w="48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6,410,325</w:t>
            </w:r>
          </w:p>
        </w:tc>
        <w:tc>
          <w:tcPr>
            <w:tcW w:w="1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6,410,325</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中国人民人寿保险股份有限公 司－分红－个险分红</w:t>
            </w:r>
          </w:p>
        </w:tc>
        <w:tc>
          <w:tcPr>
            <w:tcW w:w="48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3,647,891</w:t>
            </w:r>
          </w:p>
        </w:tc>
        <w:tc>
          <w:tcPr>
            <w:tcW w:w="1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3,647,891</w:t>
            </w:r>
          </w:p>
        </w:tc>
      </w:tr>
      <w:tr>
        <w:trPr>
          <w:trHeight w:val="402" w:hRule="exact"/>
        </w:trPr>
        <w:tc>
          <w:tcPr>
            <w:tcW w:w="2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华梦阳</w:t>
            </w:r>
          </w:p>
        </w:tc>
        <w:tc>
          <w:tcPr>
            <w:tcW w:w="48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2,511,342</w:t>
            </w:r>
          </w:p>
        </w:tc>
        <w:tc>
          <w:tcPr>
            <w:tcW w:w="1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2,511,342</w:t>
            </w:r>
          </w:p>
        </w:tc>
      </w:tr>
      <w:tr>
        <w:trPr>
          <w:trHeight w:val="402" w:hRule="exact"/>
        </w:trPr>
        <w:tc>
          <w:tcPr>
            <w:tcW w:w="2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俞毅</w:t>
            </w:r>
          </w:p>
        </w:tc>
        <w:tc>
          <w:tcPr>
            <w:tcW w:w="48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2,141,000</w:t>
            </w:r>
          </w:p>
        </w:tc>
        <w:tc>
          <w:tcPr>
            <w:tcW w:w="1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2,141,000</w:t>
            </w:r>
          </w:p>
        </w:tc>
      </w:tr>
      <w:tr>
        <w:trPr>
          <w:trHeight w:val="402" w:hRule="exact"/>
        </w:trPr>
        <w:tc>
          <w:tcPr>
            <w:tcW w:w="2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张丽萍</w:t>
            </w:r>
          </w:p>
        </w:tc>
        <w:tc>
          <w:tcPr>
            <w:tcW w:w="48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1,782,700</w:t>
            </w:r>
          </w:p>
        </w:tc>
        <w:tc>
          <w:tcPr>
            <w:tcW w:w="1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1,782,700</w:t>
            </w:r>
          </w:p>
        </w:tc>
      </w:tr>
      <w:tr>
        <w:trPr>
          <w:trHeight w:val="1338"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89"/>
                <w:sz w:val="18"/>
                <w:szCs w:val="18"/>
              </w:rPr>
              <w:t>，</w:t>
            </w: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w:t>
            </w:r>
          </w:p>
          <w:p>
            <w:pPr>
              <w:pStyle w:val="TableParagraph"/>
              <w:spacing w:line="302" w:lineRule="auto" w:before="63"/>
              <w:ind w:left="22" w:right="107"/>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17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0"/>
                <w:sz w:val="18"/>
                <w:szCs w:val="18"/>
              </w:rPr>
              <w:t>明（如有）（参见注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17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line="240" w:lineRule="auto" w:before="11"/>
        <w:rPr>
          <w:rFonts w:ascii="宋体" w:hAnsi="宋体" w:cs="宋体" w:eastAsia="宋体" w:hint="default"/>
          <w:sz w:val="19"/>
          <w:szCs w:val="19"/>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19"/>
          <w:szCs w:val="19"/>
        </w:rPr>
      </w:pPr>
    </w:p>
    <w:p>
      <w:pPr>
        <w:spacing w:before="0"/>
        <w:ind w:left="154" w:right="111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111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32"/>
          <w:szCs w:val="32"/>
        </w:rPr>
      </w:pPr>
    </w:p>
    <w:p>
      <w:pPr>
        <w:spacing w:line="518" w:lineRule="auto" w:before="0"/>
        <w:ind w:left="153" w:right="8591"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p>
      <w:pPr>
        <w:spacing w:after="0" w:line="518"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杨维国先生简历请见本报告</w:t>
            </w:r>
            <w:r>
              <w:rPr>
                <w:rFonts w:ascii="Times New Roman" w:hAnsi="Times New Roman" w:cs="Times New Roman" w:eastAsia="Times New Roman" w:hint="default"/>
                <w:sz w:val="18"/>
                <w:szCs w:val="18"/>
              </w:rPr>
              <w:t>“</w:t>
            </w:r>
            <w:r>
              <w:rPr>
                <w:rFonts w:ascii="宋体" w:hAnsi="宋体" w:cs="宋体" w:eastAsia="宋体" w:hint="default"/>
                <w:sz w:val="18"/>
                <w:szCs w:val="18"/>
              </w:rPr>
              <w:t>第九节董事、监事、高级管理人员和员工情况</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三、任职情况</w:t>
            </w:r>
            <w:r>
              <w:rPr>
                <w:rFonts w:ascii="Times New Roman" w:hAnsi="Times New Roman" w:cs="Times New Roman" w:eastAsia="Times New Roman" w:hint="default"/>
                <w:sz w:val="18"/>
                <w:szCs w:val="18"/>
              </w:rPr>
              <w:t>”</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240" w:lineRule="auto" w:before="12"/>
        <w:rPr>
          <w:rFonts w:ascii="宋体" w:hAnsi="宋体" w:cs="宋体" w:eastAsia="宋体" w:hint="default"/>
          <w:sz w:val="20"/>
          <w:szCs w:val="20"/>
        </w:rPr>
      </w:pPr>
    </w:p>
    <w:p>
      <w:pPr>
        <w:spacing w:line="489" w:lineRule="auto" w:before="0"/>
        <w:ind w:left="154" w:right="78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6"/>
        <w:rPr>
          <w:rFonts w:ascii="宋体" w:hAnsi="宋体" w:cs="宋体" w:eastAsia="宋体" w:hint="default"/>
          <w:sz w:val="18"/>
          <w:szCs w:val="18"/>
        </w:rPr>
      </w:pPr>
    </w:p>
    <w:p>
      <w:pPr>
        <w:pStyle w:val="Heading3"/>
        <w:spacing w:line="240" w:lineRule="auto"/>
        <w:ind w:right="1113"/>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7"/>
        <w:rPr>
          <w:rFonts w:ascii="宋体" w:hAnsi="宋体" w:cs="宋体" w:eastAsia="宋体" w:hint="default"/>
          <w:b/>
          <w:bCs/>
          <w:sz w:val="32"/>
          <w:szCs w:val="32"/>
        </w:rPr>
      </w:pPr>
    </w:p>
    <w:p>
      <w:pPr>
        <w:spacing w:line="518" w:lineRule="auto" w:before="0"/>
        <w:ind w:left="153" w:right="8411" w:firstLine="0"/>
        <w:jc w:val="left"/>
        <w:rPr>
          <w:rFonts w:ascii="宋体" w:hAnsi="宋体" w:cs="宋体" w:eastAsia="宋体" w:hint="default"/>
          <w:sz w:val="18"/>
          <w:szCs w:val="18"/>
        </w:rPr>
      </w:pPr>
      <w:r>
        <w:rPr/>
        <w:pict>
          <v:shape style="position:absolute;margin-left:56.459999pt;margin-top:46.332012pt;width:479.1pt;height:127.7pt;mso-position-horizontal-relative:page;mso-position-vertical-relative:paragraph;z-index:31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60"/>
                          <w:jc w:val="left"/>
                          <w:rPr>
                            <w:rFonts w:ascii="Times New Roman" w:hAnsi="Times New Roman" w:cs="Times New Roman" w:eastAsia="Times New Roman" w:hint="default"/>
                            <w:sz w:val="18"/>
                            <w:szCs w:val="18"/>
                          </w:rPr>
                        </w:pPr>
                        <w:r>
                          <w:rPr>
                            <w:rFonts w:ascii="宋体" w:hAnsi="宋体" w:cs="宋体" w:eastAsia="宋体" w:hint="default"/>
                            <w:sz w:val="18"/>
                            <w:szCs w:val="18"/>
                          </w:rPr>
                          <w:t>杨维国先生简历请见本报告</w:t>
                        </w:r>
                        <w:r>
                          <w:rPr>
                            <w:rFonts w:ascii="Times New Roman" w:hAnsi="Times New Roman" w:cs="Times New Roman" w:eastAsia="Times New Roman" w:hint="default"/>
                            <w:sz w:val="18"/>
                            <w:szCs w:val="18"/>
                          </w:rPr>
                          <w:t>“</w:t>
                        </w:r>
                        <w:r>
                          <w:rPr>
                            <w:rFonts w:ascii="宋体" w:hAnsi="宋体" w:cs="宋体" w:eastAsia="宋体" w:hint="default"/>
                            <w:sz w:val="18"/>
                            <w:szCs w:val="18"/>
                          </w:rPr>
                          <w:t>第九节董事、监事、高级管理人员和员工情况</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r>
                          <w:rPr>
                            <w:rFonts w:ascii="Times New Roman" w:hAnsi="Times New Roman" w:cs="Times New Roman" w:eastAsia="Times New Roman" w:hint="default"/>
                            <w:sz w:val="18"/>
                            <w:szCs w:val="18"/>
                          </w:rPr>
                          <w:t>“</w:t>
                        </w:r>
                        <w:r>
                          <w:rPr>
                            <w:rFonts w:ascii="宋体" w:hAnsi="宋体" w:cs="宋体" w:eastAsia="宋体" w:hint="default"/>
                            <w:sz w:val="18"/>
                            <w:szCs w:val="18"/>
                          </w:rPr>
                          <w:t>三、任职情 况</w:t>
                        </w:r>
                        <w:r>
                          <w:rPr>
                            <w:rFonts w:ascii="Times New Roman" w:hAnsi="Times New Roman" w:cs="Times New Roman" w:eastAsia="Times New Roman" w:hint="default"/>
                            <w:sz w:val="18"/>
                            <w:szCs w:val="18"/>
                          </w:rPr>
                          <w:t>”</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240" w:lineRule="auto" w:before="12"/>
        <w:rPr>
          <w:rFonts w:ascii="宋体" w:hAnsi="宋体" w:cs="宋体" w:eastAsia="宋体" w:hint="default"/>
          <w:sz w:val="20"/>
          <w:szCs w:val="20"/>
        </w:rPr>
      </w:pPr>
    </w:p>
    <w:p>
      <w:pPr>
        <w:spacing w:line="504" w:lineRule="auto" w:before="0"/>
        <w:ind w:left="154" w:right="67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11"/>
        <w:rPr>
          <w:rFonts w:ascii="宋体" w:hAnsi="宋体" w:cs="宋体" w:eastAsia="宋体" w:hint="default"/>
          <w:sz w:val="13"/>
          <w:szCs w:val="13"/>
        </w:rPr>
      </w:pPr>
    </w:p>
    <w:p>
      <w:pPr>
        <w:spacing w:line="3354" w:lineRule="exact"/>
        <w:ind w:left="2224"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3489005" cy="2130266"/>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30" cstate="print"/>
                    <a:stretch>
                      <a:fillRect/>
                    </a:stretch>
                  </pic:blipFill>
                  <pic:spPr>
                    <a:xfrm>
                      <a:off x="0" y="0"/>
                      <a:ext cx="3489005" cy="2130266"/>
                    </a:xfrm>
                    <a:prstGeom prst="rect">
                      <a:avLst/>
                    </a:prstGeom>
                  </pic:spPr>
                </pic:pic>
              </a:graphicData>
            </a:graphic>
          </wp:inline>
        </w:drawing>
      </w:r>
      <w:r>
        <w:rPr>
          <w:rFonts w:ascii="宋体" w:hAnsi="宋体" w:cs="宋体" w:eastAsia="宋体" w:hint="default"/>
          <w:position w:val="-66"/>
          <w:sz w:val="20"/>
          <w:szCs w:val="20"/>
        </w:rPr>
      </w:r>
    </w:p>
    <w:p>
      <w:pPr>
        <w:spacing w:after="0" w:line="3354" w:lineRule="exact"/>
        <w:rPr>
          <w:rFonts w:ascii="宋体" w:hAnsi="宋体" w:cs="宋体" w:eastAsia="宋体" w:hint="default"/>
          <w:sz w:val="20"/>
          <w:szCs w:val="20"/>
        </w:rPr>
        <w:sectPr>
          <w:pgSz w:w="11910" w:h="16840"/>
          <w:pgMar w:header="877" w:footer="982" w:top="1100" w:bottom="1180" w:left="980" w:right="0"/>
        </w:sectPr>
      </w:pPr>
    </w:p>
    <w:p>
      <w:pPr>
        <w:spacing w:line="240" w:lineRule="auto" w:before="12"/>
        <w:rPr>
          <w:rFonts w:ascii="宋体" w:hAnsi="宋体" w:cs="宋体" w:eastAsia="宋体" w:hint="default"/>
          <w:sz w:val="27"/>
          <w:szCs w:val="27"/>
        </w:rPr>
      </w:pPr>
    </w:p>
    <w:p>
      <w:pPr>
        <w:spacing w:before="44"/>
        <w:ind w:left="153" w:right="1113"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line="240" w:lineRule="auto" w:before="10"/>
        <w:rPr>
          <w:rFonts w:ascii="宋体" w:hAnsi="宋体" w:cs="宋体" w:eastAsia="宋体" w:hint="default"/>
          <w:sz w:val="20"/>
          <w:szCs w:val="20"/>
        </w:rPr>
      </w:pPr>
    </w:p>
    <w:p>
      <w:pPr>
        <w:spacing w:before="0"/>
        <w:ind w:left="153"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1113"/>
        <w:jc w:val="left"/>
        <w:rPr>
          <w:b w:val="0"/>
          <w:bCs w:val="0"/>
        </w:rPr>
      </w:pP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111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366" w:right="1113"/>
        <w:jc w:val="left"/>
        <w:rPr>
          <w:b w:val="0"/>
          <w:bCs w:val="0"/>
        </w:rPr>
      </w:pPr>
      <w:bookmarkStart w:name="_TOC_250006" w:id="7"/>
      <w:r>
        <w:rPr/>
        <w:t>第七节优先股相关情况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p>
      <w:pPr>
        <w:spacing w:line="489" w:lineRule="auto" w:before="44"/>
        <w:ind w:left="154" w:right="85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489"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724" w:right="1113"/>
        <w:jc w:val="left"/>
        <w:rPr>
          <w:b w:val="0"/>
          <w:bCs w:val="0"/>
        </w:rPr>
      </w:pPr>
      <w:bookmarkStart w:name="_TOC_250005" w:id="8"/>
      <w:r>
        <w:rPr/>
        <w:t>第八节可转换公司债券相关情况</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p>
      <w:pPr>
        <w:spacing w:line="489" w:lineRule="auto" w:before="44"/>
        <w:ind w:left="154" w:right="78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报告期公司不存在可转换公司债券。</w:t>
      </w:r>
    </w:p>
    <w:p>
      <w:pPr>
        <w:spacing w:after="0" w:line="489"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760" w:right="1113"/>
        <w:jc w:val="left"/>
        <w:rPr>
          <w:b w:val="0"/>
          <w:bCs w:val="0"/>
        </w:rPr>
      </w:pPr>
      <w:bookmarkStart w:name="_TOC_250004" w:id="9"/>
      <w:r>
        <w:rPr/>
        <w:t>第九节董事、监事、高级管理人员和员工情况</w:t>
      </w:r>
      <w:bookmarkEnd w:id="9"/>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1113"/>
        <w:jc w:val="left"/>
        <w:rPr>
          <w:b w:val="0"/>
          <w:bCs w:val="0"/>
        </w:rPr>
      </w:pPr>
      <w:r>
        <w:rPr/>
        <w:pict>
          <v:shape style="position:absolute;margin-left:471.480011pt;margin-top:33.035938pt;width:63.55pt;height:50.8pt;mso-position-horizontal-relative:page;mso-position-vertical-relative:paragraph;z-index:-159762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32" w:firstLine="10"/>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杨维国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23" w:right="31" w:hanging="90"/>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94,159,10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78,079,10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华梦阳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16,325,36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14,755,36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傅常顺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15,118,31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-1,380,63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-4,331,26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12,167,68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w:t>
            </w: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陈亮</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38</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王振华</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65</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刘汴生</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66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金香爱</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56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陈振亚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3" w:right="31" w:hanging="270"/>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190,000</w:t>
            </w: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王葆玲</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48</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447,363</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447,363</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张建英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何伟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李玉玲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3" w:right="31"/>
              <w:jc w:val="center"/>
              <w:rPr>
                <w:rFonts w:ascii="宋体" w:hAnsi="宋体" w:cs="宋体" w:eastAsia="宋体" w:hint="default"/>
                <w:sz w:val="18"/>
                <w:szCs w:val="18"/>
              </w:rPr>
            </w:pPr>
            <w:r>
              <w:rPr>
                <w:rFonts w:ascii="宋体" w:hAnsi="宋体" w:cs="宋体" w:eastAsia="宋体" w:hint="default"/>
                <w:sz w:val="18"/>
                <w:szCs w:val="18"/>
              </w:rPr>
              <w:t>财务总 监、副总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90,529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90,529</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焦征海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杨长昆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65,633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65,633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杨文寿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167,177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149,277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赵璇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3" w:right="31"/>
              <w:jc w:val="center"/>
              <w:rPr>
                <w:rFonts w:ascii="宋体" w:hAnsi="宋体" w:cs="宋体" w:eastAsia="宋体" w:hint="default"/>
                <w:sz w:val="18"/>
                <w:szCs w:val="18"/>
              </w:rPr>
            </w:pPr>
            <w:r>
              <w:rPr>
                <w:rFonts w:ascii="宋体" w:hAnsi="宋体" w:cs="宋体" w:eastAsia="宋体" w:hint="default"/>
                <w:sz w:val="18"/>
                <w:szCs w:val="18"/>
              </w:rPr>
              <w:t>董事会秘 书、副总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赵鑫</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205,199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205,199</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司志刚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王玉辉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刘永春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7,640,966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7,640,966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付秋生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3" w:right="31"/>
              <w:jc w:val="center"/>
              <w:rPr>
                <w:rFonts w:ascii="宋体" w:hAnsi="宋体" w:cs="宋体" w:eastAsia="宋体" w:hint="default"/>
                <w:sz w:val="18"/>
                <w:szCs w:val="18"/>
              </w:rPr>
            </w:pPr>
            <w:r>
              <w:rPr>
                <w:rFonts w:ascii="宋体" w:hAnsi="宋体" w:cs="宋体" w:eastAsia="宋体" w:hint="default"/>
                <w:sz w:val="18"/>
                <w:szCs w:val="18"/>
              </w:rPr>
              <w:t>董事、常 务副总经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16,700,75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-1,522,53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-4,615,06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13,608,22</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尚卫国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23" w:right="31" w:hanging="90"/>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18,840,86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-1,199,30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-5,537,60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14,502,55</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赵利宾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23" w:right="31" w:hanging="90"/>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15,118,31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-1,511,36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-4,592,72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12,036,95</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22"/>
              <w:jc w:val="right"/>
              <w:rPr>
                <w:rFonts w:ascii="宋体" w:hAnsi="宋体" w:cs="宋体" w:eastAsia="宋体" w:hint="default"/>
                <w:sz w:val="18"/>
                <w:szCs w:val="18"/>
              </w:rPr>
            </w:pPr>
            <w:r>
              <w:rPr>
                <w:rFonts w:ascii="宋体" w:hAnsi="宋体" w:cs="宋体" w:eastAsia="宋体" w:hint="default"/>
                <w:sz w:val="18"/>
                <w:szCs w:val="18"/>
              </w:rPr>
              <w:t>张英瑶</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69</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22"/>
              <w:jc w:val="right"/>
              <w:rPr>
                <w:rFonts w:ascii="宋体" w:hAnsi="宋体" w:cs="宋体" w:eastAsia="宋体" w:hint="default"/>
                <w:sz w:val="18"/>
                <w:szCs w:val="18"/>
              </w:rPr>
            </w:pPr>
            <w:r>
              <w:rPr>
                <w:rFonts w:ascii="宋体" w:hAnsi="宋体" w:cs="宋体" w:eastAsia="宋体" w:hint="default"/>
                <w:sz w:val="18"/>
                <w:szCs w:val="18"/>
              </w:rPr>
              <w:t>毕会静</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46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22"/>
              <w:jc w:val="right"/>
              <w:rPr>
                <w:rFonts w:ascii="宋体" w:hAnsi="宋体" w:cs="宋体" w:eastAsia="宋体" w:hint="default"/>
                <w:sz w:val="18"/>
                <w:szCs w:val="18"/>
              </w:rPr>
            </w:pPr>
            <w:r>
              <w:rPr>
                <w:rFonts w:ascii="宋体" w:hAnsi="宋体" w:cs="宋体" w:eastAsia="宋体" w:hint="default"/>
                <w:sz w:val="18"/>
                <w:szCs w:val="18"/>
              </w:rPr>
              <w:t>刘恩臣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303" w:right="31" w:hanging="270"/>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14,363,90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-499,915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-2,569,83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12,293,99</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22"/>
              <w:jc w:val="right"/>
              <w:rPr>
                <w:rFonts w:ascii="宋体" w:hAnsi="宋体" w:cs="宋体" w:eastAsia="宋体" w:hint="default"/>
                <w:sz w:val="18"/>
                <w:szCs w:val="18"/>
              </w:rPr>
            </w:pPr>
            <w:r>
              <w:rPr>
                <w:rFonts w:ascii="宋体" w:hAnsi="宋体" w:cs="宋体" w:eastAsia="宋体" w:hint="default"/>
                <w:sz w:val="18"/>
                <w:szCs w:val="18"/>
              </w:rPr>
              <w:t>杜建平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15,118,31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-3,270,00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12,698,31</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214,736,8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-6,963,74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-42,564,3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179,136,1</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71</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1113"/>
        <w:jc w:val="left"/>
        <w:rPr>
          <w:b w:val="0"/>
          <w:bCs w:val="0"/>
        </w:rPr>
      </w:pPr>
      <w:r>
        <w:rPr/>
        <w:t>二、公司董事、监事、高级管理人员变动情况</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焦征海</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金香爱</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华梦阳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傅常顺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王振华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陈振亚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李玉玲</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79" w:right="29" w:hanging="450"/>
              <w:jc w:val="left"/>
              <w:rPr>
                <w:rFonts w:ascii="宋体" w:hAnsi="宋体" w:cs="宋体" w:eastAsia="宋体" w:hint="default"/>
                <w:sz w:val="18"/>
                <w:szCs w:val="18"/>
              </w:rPr>
            </w:pPr>
            <w:r>
              <w:rPr>
                <w:rFonts w:ascii="宋体" w:hAnsi="宋体" w:cs="宋体" w:eastAsia="宋体" w:hint="default"/>
                <w:sz w:val="18"/>
                <w:szCs w:val="18"/>
              </w:rPr>
              <w:t>财务总监、副总 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杨文寿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司志刚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主动离职</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王玉辉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主动离职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刘永春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主动离职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付秋生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79" w:right="29" w:hanging="450"/>
              <w:jc w:val="left"/>
              <w:rPr>
                <w:rFonts w:ascii="宋体" w:hAnsi="宋体" w:cs="宋体" w:eastAsia="宋体" w:hint="default"/>
                <w:sz w:val="18"/>
                <w:szCs w:val="18"/>
              </w:rPr>
            </w:pPr>
            <w:r>
              <w:rPr>
                <w:rFonts w:ascii="宋体" w:hAnsi="宋体" w:cs="宋体" w:eastAsia="宋体" w:hint="default"/>
                <w:sz w:val="18"/>
                <w:szCs w:val="18"/>
              </w:rPr>
              <w:t>董事、常务副总 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尚卫国</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赵利宾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张英瑶</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毕会静</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刘恩臣</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杜建平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华梦阳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傅常顺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任期届满离任</w:t>
            </w:r>
          </w:p>
        </w:tc>
      </w:tr>
    </w:tbl>
    <w:p>
      <w:pPr>
        <w:spacing w:line="240" w:lineRule="auto" w:before="2"/>
        <w:rPr>
          <w:rFonts w:ascii="宋体" w:hAnsi="宋体" w:cs="宋体" w:eastAsia="宋体" w:hint="default"/>
          <w:sz w:val="18"/>
          <w:szCs w:val="18"/>
        </w:rPr>
      </w:pPr>
    </w:p>
    <w:p>
      <w:pPr>
        <w:pStyle w:val="Heading2"/>
        <w:spacing w:line="240" w:lineRule="auto" w:before="26"/>
        <w:ind w:right="1113"/>
        <w:jc w:val="left"/>
        <w:rPr>
          <w:b w:val="0"/>
          <w:bCs w:val="0"/>
        </w:rPr>
      </w:pP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54" w:right="1113"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12"/>
        <w:rPr>
          <w:rFonts w:ascii="宋体" w:hAnsi="宋体" w:cs="宋体" w:eastAsia="宋体" w:hint="default"/>
          <w:sz w:val="12"/>
          <w:szCs w:val="12"/>
        </w:rPr>
      </w:pPr>
    </w:p>
    <w:p>
      <w:pPr>
        <w:pStyle w:val="BodyText"/>
        <w:spacing w:line="408" w:lineRule="auto" w:before="0"/>
        <w:ind w:left="574" w:right="1113"/>
        <w:jc w:val="left"/>
      </w:pPr>
      <w:r>
        <w:rPr/>
        <w:t>（一）董事会成员 公司第四届董事会任期至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日止，公司于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7</w:t>
      </w:r>
      <w:r>
        <w:rPr/>
        <w:t>日召开</w:t>
      </w:r>
      <w:r>
        <w:rPr>
          <w:rFonts w:ascii="Times New Roman" w:hAnsi="Times New Roman" w:cs="Times New Roman" w:eastAsia="Times New Roman" w:hint="default"/>
        </w:rPr>
        <w:t>2020</w:t>
      </w:r>
      <w:r>
        <w:rPr/>
        <w:t>年第一次临时股东大会选</w:t>
      </w:r>
    </w:p>
    <w:p>
      <w:pPr>
        <w:pStyle w:val="BodyText"/>
        <w:spacing w:line="386" w:lineRule="auto" w:before="14"/>
        <w:ind w:left="574" w:right="1113" w:hanging="421"/>
        <w:jc w:val="left"/>
      </w:pPr>
      <w:r>
        <w:rPr/>
        <w:t>举第五届董事会成员，公司现有董事会成员</w:t>
      </w:r>
      <w:r>
        <w:rPr>
          <w:rFonts w:ascii="Times New Roman" w:hAnsi="Times New Roman" w:cs="Times New Roman" w:eastAsia="Times New Roman" w:hint="default"/>
        </w:rPr>
        <w:t>7</w:t>
      </w:r>
      <w:r>
        <w:rPr/>
        <w:t>人，其中董事</w:t>
      </w:r>
      <w:r>
        <w:rPr>
          <w:rFonts w:ascii="Times New Roman" w:hAnsi="Times New Roman" w:cs="Times New Roman" w:eastAsia="Times New Roman" w:hint="default"/>
        </w:rPr>
        <w:t>4</w:t>
      </w:r>
      <w:r>
        <w:rPr/>
        <w:t>人，独立董事</w:t>
      </w:r>
      <w:r>
        <w:rPr>
          <w:rFonts w:ascii="Times New Roman" w:hAnsi="Times New Roman" w:cs="Times New Roman" w:eastAsia="Times New Roman" w:hint="default"/>
        </w:rPr>
        <w:t>3</w:t>
      </w:r>
      <w:r>
        <w:rPr/>
        <w:t>人。成员具体情况如下： </w:t>
      </w:r>
      <w:r>
        <w:rPr>
          <w:spacing w:val="-1"/>
        </w:rPr>
        <w:t>杨维国先生，男，</w:t>
      </w:r>
      <w:r>
        <w:rPr>
          <w:rFonts w:ascii="Times New Roman" w:hAnsi="Times New Roman" w:cs="Times New Roman" w:eastAsia="Times New Roman" w:hint="default"/>
          <w:spacing w:val="-1"/>
        </w:rPr>
        <w:t>1964</w:t>
      </w:r>
      <w:r>
        <w:rPr>
          <w:spacing w:val="-1"/>
        </w:rPr>
        <w:t>年</w:t>
      </w:r>
      <w:r>
        <w:rPr>
          <w:rFonts w:ascii="Times New Roman" w:hAnsi="Times New Roman" w:cs="Times New Roman" w:eastAsia="Times New Roman" w:hint="default"/>
          <w:spacing w:val="-1"/>
        </w:rPr>
        <w:t>11</w:t>
      </w:r>
      <w:r>
        <w:rPr>
          <w:spacing w:val="-1"/>
        </w:rPr>
        <w:t>月出生，EMBA，高级经济师、工程师，河南省软件行业协会常务理事、河</w:t>
      </w:r>
    </w:p>
    <w:p>
      <w:pPr>
        <w:pStyle w:val="BodyText"/>
        <w:spacing w:line="391" w:lineRule="auto" w:before="35"/>
        <w:ind w:right="993"/>
        <w:jc w:val="left"/>
      </w:pPr>
      <w:r>
        <w:rPr>
          <w:spacing w:val="-3"/>
        </w:rPr>
        <w:t>南省工商业联合会常委。</w:t>
      </w:r>
      <w:r>
        <w:rPr>
          <w:rFonts w:ascii="Times New Roman" w:hAnsi="Times New Roman" w:cs="Times New Roman" w:eastAsia="Times New Roman" w:hint="default"/>
          <w:spacing w:val="-3"/>
        </w:rPr>
        <w:t>1985</w:t>
      </w:r>
      <w:r>
        <w:rPr>
          <w:spacing w:val="-3"/>
        </w:rPr>
        <w:t>年毕业于郑州工学院电机系，获工学学士学位；</w:t>
      </w:r>
      <w:r>
        <w:rPr>
          <w:rFonts w:ascii="Times New Roman" w:hAnsi="Times New Roman" w:cs="Times New Roman" w:eastAsia="Times New Roman" w:hint="default"/>
          <w:spacing w:val="-3"/>
        </w:rPr>
        <w:t>1994</w:t>
      </w:r>
      <w:r>
        <w:rPr>
          <w:spacing w:val="-3"/>
        </w:rPr>
        <w:t>年毕业于西安交通大学，</w:t>
      </w:r>
      <w:r>
        <w:rPr>
          <w:spacing w:val="-84"/>
        </w:rPr>
        <w:t> </w:t>
      </w:r>
      <w:r>
        <w:rPr>
          <w:spacing w:val="-84"/>
        </w:rPr>
      </w:r>
      <w:r>
        <w:rPr/>
        <w:t>获法学学士学位。</w:t>
      </w:r>
      <w:r>
        <w:rPr>
          <w:rFonts w:ascii="Times New Roman" w:hAnsi="Times New Roman" w:cs="Times New Roman" w:eastAsia="Times New Roman" w:hint="default"/>
        </w:rPr>
        <w:t>1985</w:t>
      </w:r>
      <w:r>
        <w:rPr/>
        <w:t>年至</w:t>
      </w:r>
      <w:r>
        <w:rPr>
          <w:rFonts w:ascii="Times New Roman" w:hAnsi="Times New Roman" w:cs="Times New Roman" w:eastAsia="Times New Roman" w:hint="default"/>
        </w:rPr>
        <w:t>1994</w:t>
      </w:r>
      <w:r>
        <w:rPr/>
        <w:t>年，在郑州工学院（</w:t>
      </w:r>
      <w:r>
        <w:rPr>
          <w:rFonts w:ascii="Times New Roman" w:hAnsi="Times New Roman" w:cs="Times New Roman" w:eastAsia="Times New Roman" w:hint="default"/>
        </w:rPr>
        <w:t>1996</w:t>
      </w:r>
      <w:r>
        <w:rPr/>
        <w:t>年更名为郑州工业大学，</w:t>
      </w:r>
      <w:r>
        <w:rPr>
          <w:rFonts w:ascii="Times New Roman" w:hAnsi="Times New Roman" w:cs="Times New Roman" w:eastAsia="Times New Roman" w:hint="default"/>
        </w:rPr>
        <w:t>2000</w:t>
      </w:r>
      <w:r>
        <w:rPr/>
        <w:t>年与原郑州大学、 河南医科大学合并组建新郑州大学）计算机与自动化系政治辅导员、兼课教师，历任校团委干事、分团委 书记、计算机与自动化系主任助理；</w:t>
      </w:r>
      <w:r>
        <w:rPr>
          <w:rFonts w:ascii="Times New Roman" w:hAnsi="Times New Roman" w:cs="Times New Roman" w:eastAsia="Times New Roman" w:hint="default"/>
        </w:rPr>
        <w:t>1994</w:t>
      </w:r>
      <w:r>
        <w:rPr/>
        <w:t>年至</w:t>
      </w:r>
      <w:r>
        <w:rPr>
          <w:rFonts w:ascii="Times New Roman" w:hAnsi="Times New Roman" w:cs="Times New Roman" w:eastAsia="Times New Roman" w:hint="default"/>
        </w:rPr>
        <w:t>2000</w:t>
      </w:r>
      <w:r>
        <w:rPr/>
        <w:t>年，任郑州工学院科技开发公司副总经理，兼任郑州工 学院开普电子技术公司（成立于</w:t>
      </w:r>
      <w:r>
        <w:rPr>
          <w:rFonts w:ascii="Times New Roman" w:hAnsi="Times New Roman" w:cs="Times New Roman" w:eastAsia="Times New Roman" w:hint="default"/>
        </w:rPr>
        <w:t>1992</w:t>
      </w:r>
      <w:r>
        <w:rPr/>
        <w:t>年，系郑州工学院校办企业，</w:t>
      </w:r>
      <w:r>
        <w:rPr>
          <w:rFonts w:ascii="Times New Roman" w:hAnsi="Times New Roman" w:cs="Times New Roman" w:eastAsia="Times New Roman" w:hint="default"/>
        </w:rPr>
        <w:t>1996</w:t>
      </w:r>
      <w:r>
        <w:rPr/>
        <w:t>年更名为郑州工业大学开普电子技 术公司，已于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2</w:t>
      </w:r>
      <w:r>
        <w:rPr/>
        <w:t>月注销）总经理；</w:t>
      </w:r>
      <w:r>
        <w:rPr>
          <w:rFonts w:ascii="Times New Roman" w:hAnsi="Times New Roman" w:cs="Times New Roman" w:eastAsia="Times New Roman" w:hint="default"/>
        </w:rPr>
        <w:t>2000</w:t>
      </w:r>
      <w:r>
        <w:rPr/>
        <w:t>年至今在公司工作，现任本公司董事长兼总经理。</w:t>
      </w:r>
    </w:p>
    <w:p>
      <w:pPr>
        <w:spacing w:after="0" w:line="391"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386" w:lineRule="auto" w:before="35"/>
        <w:ind w:left="153" w:right="993" w:firstLine="420"/>
        <w:jc w:val="left"/>
      </w:pPr>
      <w:r>
        <w:rPr/>
        <w:t>华梦阳先生，男，</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7</w:t>
      </w:r>
      <w:r>
        <w:rPr/>
        <w:t>月出生，大学学历。</w:t>
      </w:r>
      <w:r>
        <w:rPr>
          <w:rFonts w:ascii="Times New Roman" w:hAnsi="Times New Roman" w:cs="Times New Roman" w:eastAsia="Times New Roman" w:hint="default"/>
        </w:rPr>
        <w:t>1992</w:t>
      </w:r>
      <w:r>
        <w:rPr/>
        <w:t>年毕业于郑州工学院计算机与自动化系。</w:t>
      </w:r>
      <w:r>
        <w:rPr>
          <w:rFonts w:ascii="Times New Roman" w:hAnsi="Times New Roman" w:cs="Times New Roman" w:eastAsia="Times New Roman" w:hint="default"/>
        </w:rPr>
        <w:t>1992</w:t>
      </w:r>
      <w:r>
        <w:rPr/>
        <w:t>年 至</w:t>
      </w:r>
      <w:r>
        <w:rPr>
          <w:rFonts w:ascii="Times New Roman" w:hAnsi="Times New Roman" w:cs="Times New Roman" w:eastAsia="Times New Roman" w:hint="default"/>
        </w:rPr>
        <w:t>1995</w:t>
      </w:r>
      <w:r>
        <w:rPr/>
        <w:t>年，任河南天地实业有限公司计算机事业部经理；</w:t>
      </w:r>
      <w:r>
        <w:rPr>
          <w:rFonts w:ascii="Times New Roman" w:hAnsi="Times New Roman" w:cs="Times New Roman" w:eastAsia="Times New Roman" w:hint="default"/>
        </w:rPr>
        <w:t>1995</w:t>
      </w:r>
      <w:r>
        <w:rPr/>
        <w:t>年至</w:t>
      </w:r>
      <w:r>
        <w:rPr>
          <w:rFonts w:ascii="Times New Roman" w:hAnsi="Times New Roman" w:cs="Times New Roman" w:eastAsia="Times New Roman" w:hint="default"/>
        </w:rPr>
        <w:t>2000</w:t>
      </w:r>
      <w:r>
        <w:rPr/>
        <w:t>年，在郑州工学院开普电子技术公 </w:t>
      </w:r>
      <w:r>
        <w:rPr>
          <w:spacing w:val="-3"/>
        </w:rPr>
        <w:t>司工作，历任电脑经营部副经理、经理及市场部经理。</w:t>
      </w:r>
      <w:r>
        <w:rPr>
          <w:rFonts w:ascii="Times New Roman" w:hAnsi="Times New Roman" w:cs="Times New Roman" w:eastAsia="Times New Roman" w:hint="default"/>
          <w:spacing w:val="-3"/>
        </w:rPr>
        <w:t>2000</w:t>
      </w:r>
      <w:r>
        <w:rPr>
          <w:spacing w:val="-3"/>
        </w:rPr>
        <w:t>年进入公司工作，历任市场总监、董事会秘书，</w:t>
      </w:r>
      <w:r>
        <w:rPr>
          <w:spacing w:val="-92"/>
        </w:rPr>
        <w:t> </w:t>
      </w:r>
      <w:r>
        <w:rPr>
          <w:spacing w:val="-92"/>
        </w:rPr>
      </w:r>
      <w:r>
        <w:rPr/>
        <w:t>现任公司副总经理。</w:t>
      </w:r>
    </w:p>
    <w:p>
      <w:pPr>
        <w:pStyle w:val="BodyText"/>
        <w:spacing w:line="386" w:lineRule="auto" w:before="65"/>
        <w:ind w:left="153" w:right="1127" w:firstLine="420"/>
        <w:jc w:val="both"/>
      </w:pPr>
      <w:r>
        <w:rPr/>
        <w:t>傅常顺先生，男，</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1</w:t>
      </w:r>
      <w:r>
        <w:rPr/>
        <w:t>月出生，研究生学历，工程师、计算机信息系统集成高级项目经理、信息 </w:t>
      </w:r>
      <w:r>
        <w:rPr>
          <w:spacing w:val="-5"/>
        </w:rPr>
        <w:t>安全系统高级管理员、网络安全管理工程师。</w:t>
      </w:r>
      <w:r>
        <w:rPr>
          <w:rFonts w:ascii="Times New Roman" w:hAnsi="Times New Roman" w:cs="Times New Roman" w:eastAsia="Times New Roman" w:hint="default"/>
          <w:spacing w:val="-5"/>
        </w:rPr>
        <w:t>1994</w:t>
      </w:r>
      <w:r>
        <w:rPr>
          <w:spacing w:val="-5"/>
        </w:rPr>
        <w:t>年毕业于郑州工学院计算机应用专业，获学士学位；</w:t>
      </w:r>
      <w:r>
        <w:rPr>
          <w:rFonts w:ascii="Times New Roman" w:hAnsi="Times New Roman" w:cs="Times New Roman" w:eastAsia="Times New Roman" w:hint="default"/>
          <w:spacing w:val="-5"/>
        </w:rPr>
        <w:t>2001</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spacing w:val="-1"/>
        </w:rPr>
        <w:t>年于郑州大学计算机应用技术专业研究生班进修结业；</w:t>
      </w:r>
      <w:r>
        <w:rPr>
          <w:rFonts w:ascii="Times New Roman" w:hAnsi="Times New Roman" w:cs="Times New Roman" w:eastAsia="Times New Roman" w:hint="default"/>
          <w:spacing w:val="-1"/>
        </w:rPr>
        <w:t>2014</w:t>
      </w:r>
      <w:r>
        <w:rPr>
          <w:spacing w:val="-1"/>
        </w:rPr>
        <w:t>年毕业于郑州大学商学院，获高级管理人员工</w:t>
      </w:r>
      <w:r>
        <w:rPr>
          <w:spacing w:val="-83"/>
        </w:rPr>
        <w:t> </w:t>
      </w:r>
      <w:r>
        <w:rPr>
          <w:spacing w:val="-83"/>
        </w:rPr>
      </w:r>
      <w:r>
        <w:rPr>
          <w:spacing w:val="-1"/>
        </w:rPr>
        <w:t>商管理硕士学位。</w:t>
      </w:r>
      <w:r>
        <w:rPr>
          <w:rFonts w:ascii="Times New Roman" w:hAnsi="Times New Roman" w:cs="Times New Roman" w:eastAsia="Times New Roman" w:hint="default"/>
          <w:spacing w:val="-1"/>
        </w:rPr>
        <w:t>1994</w:t>
      </w:r>
      <w:r>
        <w:rPr>
          <w:spacing w:val="-1"/>
        </w:rPr>
        <w:t>年至</w:t>
      </w:r>
      <w:r>
        <w:rPr>
          <w:rFonts w:ascii="Times New Roman" w:hAnsi="Times New Roman" w:cs="Times New Roman" w:eastAsia="Times New Roman" w:hint="default"/>
          <w:spacing w:val="-1"/>
        </w:rPr>
        <w:t>2000</w:t>
      </w:r>
      <w:r>
        <w:rPr>
          <w:spacing w:val="-1"/>
        </w:rPr>
        <w:t>年在郑州工学院开普电子技术公司工作，历任工程部经理、深圳办事处经</w:t>
      </w:r>
      <w:r>
        <w:rPr>
          <w:spacing w:val="-84"/>
        </w:rPr>
        <w:t> </w:t>
      </w:r>
      <w:r>
        <w:rPr>
          <w:spacing w:val="-84"/>
        </w:rPr>
      </w:r>
      <w:r>
        <w:rPr>
          <w:spacing w:val="-1"/>
        </w:rPr>
        <w:t>理、软件开发部经理；</w:t>
      </w:r>
      <w:r>
        <w:rPr>
          <w:rFonts w:ascii="Times New Roman" w:hAnsi="Times New Roman" w:cs="Times New Roman" w:eastAsia="Times New Roman" w:hint="default"/>
          <w:spacing w:val="-1"/>
        </w:rPr>
        <w:t>2000</w:t>
      </w:r>
      <w:r>
        <w:rPr>
          <w:spacing w:val="-1"/>
        </w:rPr>
        <w:t>年进入公司工作，历任公司技术总监、技术研究中心总经理、公司质控中心总</w:t>
      </w:r>
      <w:r>
        <w:rPr>
          <w:spacing w:val="-84"/>
        </w:rPr>
        <w:t> </w:t>
      </w:r>
      <w:r>
        <w:rPr>
          <w:spacing w:val="-84"/>
        </w:rPr>
      </w:r>
      <w:r>
        <w:rPr/>
        <w:t>经理、生产中心总经理，现任公司副总经理，系公司核心技术人员。</w:t>
      </w:r>
    </w:p>
    <w:p>
      <w:pPr>
        <w:pStyle w:val="BodyText"/>
        <w:spacing w:line="398" w:lineRule="auto" w:before="65"/>
        <w:ind w:left="153" w:right="1108" w:firstLine="420"/>
        <w:jc w:val="both"/>
      </w:pPr>
      <w:r>
        <w:rPr>
          <w:spacing w:val="-3"/>
        </w:rPr>
        <w:t>陈亮先生，男，</w:t>
      </w:r>
      <w:r>
        <w:rPr>
          <w:rFonts w:ascii="Times New Roman" w:hAnsi="Times New Roman" w:cs="Times New Roman" w:eastAsia="Times New Roman" w:hint="default"/>
          <w:spacing w:val="-3"/>
        </w:rPr>
        <w:t>1982</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30</w:t>
      </w:r>
      <w:r>
        <w:rPr>
          <w:spacing w:val="-3"/>
        </w:rPr>
        <w:t>日生，中国国籍，</w:t>
      </w:r>
      <w:r>
        <w:rPr>
          <w:rFonts w:ascii="Times New Roman" w:hAnsi="Times New Roman" w:cs="Times New Roman" w:eastAsia="Times New Roman" w:hint="default"/>
          <w:spacing w:val="-3"/>
        </w:rPr>
        <w:t>2012</w:t>
      </w:r>
      <w:r>
        <w:rPr>
          <w:spacing w:val="-3"/>
        </w:rPr>
        <w:t>年毕业于哥伦比亚大学商学院，获硕士学位。</w:t>
      </w:r>
      <w:r>
        <w:rPr>
          <w:rFonts w:ascii="Times New Roman" w:hAnsi="Times New Roman" w:cs="Times New Roman" w:eastAsia="Times New Roman" w:hint="default"/>
          <w:spacing w:val="-3"/>
        </w:rPr>
        <w:t>2014</w:t>
      </w:r>
      <w:r>
        <w:rPr>
          <w:rFonts w:ascii="Times New Roman" w:hAnsi="Times New Roman" w:cs="Times New Roman" w:eastAsia="Times New Roman" w:hint="default"/>
        </w:rPr>
        <w:t> </w:t>
      </w:r>
      <w:r>
        <w:rPr>
          <w:spacing w:val="-1"/>
        </w:rPr>
        <w:t>年至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月，在阿里巴巴集团工作，历任投资经理、投资总监职务；</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月至今，在浙江蚂蚁小微</w:t>
      </w:r>
      <w:r>
        <w:rPr>
          <w:spacing w:val="-85"/>
        </w:rPr>
        <w:t> </w:t>
      </w:r>
      <w:r>
        <w:rPr>
          <w:spacing w:val="-85"/>
        </w:rPr>
      </w:r>
      <w:r>
        <w:rPr/>
        <w:t>金融服务集团股份有限公司工作，任投资总监职务。目前陈亮先生还担任北京海鸟窝科技有限公司董事、 深圳市漂流伞科技有限公司董事、杭州数知梦科技有限公司董事、中保车服科技服务股份有限公司董事、 Champzee Technology Inc</w:t>
      </w:r>
      <w:r>
        <w:rPr>
          <w:rFonts w:ascii="Times New Roman" w:hAnsi="Times New Roman" w:cs="Times New Roman" w:eastAsia="Times New Roman" w:hint="default"/>
        </w:rPr>
        <w:t>.</w:t>
      </w:r>
      <w:r>
        <w:rPr/>
        <w:t>董事、MsParis</w:t>
      </w:r>
      <w:r>
        <w:rPr>
          <w:spacing w:val="-23"/>
        </w:rPr>
        <w:t> </w:t>
      </w:r>
      <w:r>
        <w:rPr/>
        <w:t>Inc</w:t>
      </w:r>
      <w:r>
        <w:rPr>
          <w:rFonts w:ascii="Times New Roman" w:hAnsi="Times New Roman" w:cs="Times New Roman" w:eastAsia="Times New Roman" w:hint="default"/>
        </w:rPr>
        <w:t>.</w:t>
      </w:r>
      <w:r>
        <w:rPr/>
        <w:t>董事等职务。</w:t>
      </w:r>
    </w:p>
    <w:p>
      <w:pPr>
        <w:pStyle w:val="BodyText"/>
        <w:spacing w:line="393" w:lineRule="auto" w:before="24"/>
        <w:ind w:left="153" w:right="1127" w:firstLine="420"/>
        <w:jc w:val="both"/>
      </w:pPr>
      <w:r>
        <w:rPr>
          <w:spacing w:val="-1"/>
        </w:rPr>
        <w:t>王振华先生，男，</w:t>
      </w:r>
      <w:r>
        <w:rPr>
          <w:rFonts w:ascii="Times New Roman" w:hAnsi="Times New Roman" w:cs="Times New Roman" w:eastAsia="Times New Roman" w:hint="default"/>
          <w:spacing w:val="-1"/>
        </w:rPr>
        <w:t>1955</w:t>
      </w:r>
      <w:r>
        <w:rPr>
          <w:spacing w:val="-1"/>
        </w:rPr>
        <w:t>年出生，教授，注册会计师，毕业于中南财经政法大学，获得学士学位。</w:t>
      </w:r>
      <w:r>
        <w:rPr>
          <w:rFonts w:ascii="Times New Roman" w:hAnsi="Times New Roman" w:cs="Times New Roman" w:eastAsia="Times New Roman" w:hint="default"/>
          <w:spacing w:val="-1"/>
        </w:rPr>
        <w:t>1983</w:t>
      </w:r>
      <w:r>
        <w:rPr>
          <w:rFonts w:ascii="Times New Roman" w:hAnsi="Times New Roman" w:cs="Times New Roman" w:eastAsia="Times New Roman" w:hint="default"/>
        </w:rPr>
        <w:t> </w:t>
      </w:r>
      <w:r>
        <w:rPr>
          <w:spacing w:val="-1"/>
        </w:rPr>
        <w:t>年至</w:t>
      </w:r>
      <w:r>
        <w:rPr>
          <w:rFonts w:ascii="Times New Roman" w:hAnsi="Times New Roman" w:cs="Times New Roman" w:eastAsia="Times New Roman" w:hint="default"/>
          <w:spacing w:val="-1"/>
        </w:rPr>
        <w:t>1985</w:t>
      </w:r>
      <w:r>
        <w:rPr>
          <w:spacing w:val="-1"/>
        </w:rPr>
        <w:t>年，任河南省会计学校教师；</w:t>
      </w:r>
      <w:r>
        <w:rPr>
          <w:rFonts w:ascii="Times New Roman" w:hAnsi="Times New Roman" w:cs="Times New Roman" w:eastAsia="Times New Roman" w:hint="default"/>
          <w:spacing w:val="-1"/>
        </w:rPr>
        <w:t>1985</w:t>
      </w:r>
      <w:r>
        <w:rPr>
          <w:spacing w:val="-1"/>
        </w:rPr>
        <w:t>年至</w:t>
      </w:r>
      <w:r>
        <w:rPr>
          <w:rFonts w:ascii="Times New Roman" w:hAnsi="Times New Roman" w:cs="Times New Roman" w:eastAsia="Times New Roman" w:hint="default"/>
          <w:spacing w:val="-1"/>
        </w:rPr>
        <w:t>2016</w:t>
      </w:r>
      <w:r>
        <w:rPr>
          <w:spacing w:val="-1"/>
        </w:rPr>
        <w:t>年，在河南财政税务高等专科学校（现更名为“河南</w:t>
      </w:r>
      <w:r>
        <w:rPr>
          <w:spacing w:val="-85"/>
        </w:rPr>
        <w:t> </w:t>
      </w:r>
      <w:r>
        <w:rPr>
          <w:spacing w:val="-85"/>
        </w:rPr>
      </w:r>
      <w:r>
        <w:rPr>
          <w:spacing w:val="-5"/>
        </w:rPr>
        <w:t>财政金融学院”）历任教师、系副主任、系党总支书记、系主任、教务处长、副校长，现已退休。曾获“河</w:t>
      </w:r>
      <w:r>
        <w:rPr>
          <w:spacing w:val="-102"/>
        </w:rPr>
        <w:t> </w:t>
      </w:r>
      <w:r>
        <w:rPr>
          <w:spacing w:val="-102"/>
        </w:rPr>
      </w:r>
      <w:r>
        <w:rPr/>
        <w:t>南省优秀教师”、“郑州市优秀教师”、“河南省职业教育教学专家”等称号。</w:t>
      </w:r>
    </w:p>
    <w:p>
      <w:pPr>
        <w:pStyle w:val="BodyText"/>
        <w:spacing w:line="403" w:lineRule="auto" w:before="59"/>
        <w:ind w:left="153" w:right="1108" w:firstLine="420"/>
        <w:jc w:val="both"/>
      </w:pPr>
      <w:r>
        <w:rPr>
          <w:spacing w:val="-1"/>
        </w:rPr>
        <w:t>刘汴生先生，男，</w:t>
      </w:r>
      <w:r>
        <w:rPr>
          <w:rFonts w:ascii="Times New Roman" w:hAnsi="Times New Roman" w:cs="Times New Roman" w:eastAsia="Times New Roman" w:hint="default"/>
          <w:spacing w:val="-1"/>
        </w:rPr>
        <w:t>1953</w:t>
      </w:r>
      <w:r>
        <w:rPr>
          <w:spacing w:val="-1"/>
        </w:rPr>
        <w:t>年出生，中南财经政法大学工业经济专业硕士。河南财经政法大学教授，硕士</w:t>
      </w:r>
      <w:r>
        <w:rPr/>
        <w:t> 生导师。曾任河南财经政法大学工商管理学院院长，河南财经政法大学MBA学院院长、工业经济研究所所</w:t>
      </w:r>
      <w:r>
        <w:rPr>
          <w:spacing w:val="-35"/>
        </w:rPr>
        <w:t> </w:t>
      </w:r>
      <w:r>
        <w:rPr>
          <w:spacing w:val="-35"/>
        </w:rPr>
      </w:r>
      <w:r>
        <w:rPr>
          <w:spacing w:val="-1"/>
        </w:rPr>
        <w:t>长，现已退休。现任河南省企业管理咨询协会会长、河南省商业经济学会副会长、河南省企业管理与教育</w:t>
      </w:r>
      <w:r>
        <w:rPr>
          <w:spacing w:val="-82"/>
        </w:rPr>
        <w:t> </w:t>
      </w:r>
      <w:r>
        <w:rPr>
          <w:spacing w:val="-82"/>
        </w:rPr>
      </w:r>
      <w:r>
        <w:rPr/>
        <w:t>学会常务理事、河南省经济学会常务理事、河南营销协会专家委员，曾获“河南省十大营销策划专家”、 </w:t>
      </w:r>
      <w:r>
        <w:rPr>
          <w:spacing w:val="-1"/>
        </w:rPr>
        <w:t>“河南省十大管理英才”等称号。目前还担任河南豫能控股股份有限公司及河南银鸽实业投资股份有限公</w:t>
      </w:r>
      <w:r>
        <w:rPr>
          <w:spacing w:val="-81"/>
        </w:rPr>
        <w:t> </w:t>
      </w:r>
      <w:r>
        <w:rPr>
          <w:spacing w:val="-81"/>
        </w:rPr>
      </w:r>
      <w:r>
        <w:rPr/>
        <w:t>司独立董事。</w:t>
      </w:r>
    </w:p>
    <w:p>
      <w:pPr>
        <w:pStyle w:val="BodyText"/>
        <w:spacing w:line="240" w:lineRule="auto" w:before="50"/>
        <w:ind w:left="573" w:right="1113"/>
        <w:jc w:val="left"/>
      </w:pPr>
      <w:r>
        <w:rPr/>
        <w:t>金香爱女士，女，</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11</w:t>
      </w:r>
      <w:r>
        <w:rPr/>
        <w:t>月生，博士（在读），副教授。</w:t>
      </w:r>
      <w:r>
        <w:rPr>
          <w:rFonts w:ascii="Times New Roman" w:hAnsi="Times New Roman" w:cs="Times New Roman" w:eastAsia="Times New Roman" w:hint="default"/>
        </w:rPr>
        <w:t>1986</w:t>
      </w:r>
      <w:r>
        <w:rPr/>
        <w:t>年至今，任职于郑州大学法学院。</w:t>
      </w:r>
    </w:p>
    <w:p>
      <w:pPr>
        <w:pStyle w:val="BodyText"/>
        <w:spacing w:line="408" w:lineRule="auto" w:before="177"/>
        <w:ind w:left="573" w:right="1113"/>
        <w:jc w:val="left"/>
      </w:pPr>
      <w:r>
        <w:rPr/>
        <w:t>（二）监事会成员 公司第四届监事会任期至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日止，公司于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7</w:t>
      </w:r>
      <w:r>
        <w:rPr/>
        <w:t>日召开</w:t>
      </w:r>
      <w:r>
        <w:rPr>
          <w:rFonts w:ascii="Times New Roman" w:hAnsi="Times New Roman" w:cs="Times New Roman" w:eastAsia="Times New Roman" w:hint="default"/>
        </w:rPr>
        <w:t>2020</w:t>
      </w:r>
      <w:r>
        <w:rPr/>
        <w:t>年第一次临时股东大会选</w:t>
      </w:r>
    </w:p>
    <w:p>
      <w:pPr>
        <w:pStyle w:val="BodyText"/>
        <w:spacing w:line="386" w:lineRule="auto" w:before="14"/>
        <w:ind w:left="574" w:right="1113" w:hanging="421"/>
        <w:jc w:val="left"/>
      </w:pPr>
      <w:r>
        <w:rPr/>
        <w:t>举第五届监事会成员，公司监事会由</w:t>
      </w:r>
      <w:r>
        <w:rPr>
          <w:rFonts w:ascii="Times New Roman" w:hAnsi="Times New Roman" w:cs="Times New Roman" w:eastAsia="Times New Roman" w:hint="default"/>
        </w:rPr>
        <w:t>3</w:t>
      </w:r>
      <w:r>
        <w:rPr/>
        <w:t>人组成，其中职工代表监事</w:t>
      </w:r>
      <w:r>
        <w:rPr>
          <w:rFonts w:ascii="Times New Roman" w:hAnsi="Times New Roman" w:cs="Times New Roman" w:eastAsia="Times New Roman" w:hint="default"/>
        </w:rPr>
        <w:t>1</w:t>
      </w:r>
      <w:r>
        <w:rPr/>
        <w:t>人。成员具体情况如下： 陈振亚先生，男，</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12</w:t>
      </w:r>
      <w:r>
        <w:rPr/>
        <w:t>月出生，本科学历。</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7</w:t>
      </w:r>
      <w:r>
        <w:rPr/>
        <w:t>月毕业于郑州工学院（现郑州大学工学院）</w:t>
      </w:r>
    </w:p>
    <w:p>
      <w:pPr>
        <w:spacing w:after="0" w:line="386"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386" w:lineRule="auto" w:before="35"/>
        <w:ind w:left="153" w:right="1130"/>
        <w:jc w:val="both"/>
      </w:pPr>
      <w:r>
        <w:rPr/>
        <w:t>计算机专业，获得专科学历；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月毕业于中原工学院工商管理专业，获得本科学历。</w:t>
      </w:r>
      <w:r>
        <w:rPr>
          <w:rFonts w:ascii="Times New Roman" w:hAnsi="Times New Roman" w:cs="Times New Roman" w:eastAsia="Times New Roman" w:hint="default"/>
        </w:rPr>
        <w:t>1998</w:t>
      </w:r>
      <w:r>
        <w:rPr/>
        <w:t>至</w:t>
      </w:r>
      <w:r>
        <w:rPr>
          <w:rFonts w:ascii="Times New Roman" w:hAnsi="Times New Roman" w:cs="Times New Roman" w:eastAsia="Times New Roman" w:hint="default"/>
        </w:rPr>
        <w:t>2000</w:t>
      </w:r>
      <w:r>
        <w:rPr/>
        <w:t>年</w:t>
      </w:r>
      <w:r>
        <w:rPr>
          <w:spacing w:val="-41"/>
        </w:rPr>
        <w:t> </w:t>
      </w:r>
      <w:r>
        <w:rPr>
          <w:spacing w:val="-1"/>
        </w:rPr>
        <w:t>在郑州工学院开普电子技术公司工作，担任技术工程师，</w:t>
      </w:r>
      <w:r>
        <w:rPr>
          <w:rFonts w:ascii="Times New Roman" w:hAnsi="Times New Roman" w:cs="Times New Roman" w:eastAsia="Times New Roman" w:hint="default"/>
          <w:spacing w:val="-1"/>
        </w:rPr>
        <w:t>2000</w:t>
      </w:r>
      <w:r>
        <w:rPr>
          <w:spacing w:val="-1"/>
        </w:rPr>
        <w:t>年至今在本公司工作，历任技术工程师、技</w:t>
      </w:r>
      <w:r>
        <w:rPr>
          <w:spacing w:val="-83"/>
        </w:rPr>
        <w:t> </w:t>
      </w:r>
      <w:r>
        <w:rPr>
          <w:spacing w:val="-83"/>
        </w:rPr>
      </w:r>
      <w:r>
        <w:rPr/>
        <w:t>术支持部经理、客服中心总经理、运营总监职务，现任业务运营总监。</w:t>
      </w:r>
    </w:p>
    <w:p>
      <w:pPr>
        <w:pStyle w:val="BodyText"/>
        <w:spacing w:line="386" w:lineRule="auto" w:before="65"/>
        <w:ind w:left="153" w:right="1128" w:firstLine="419"/>
        <w:jc w:val="both"/>
      </w:pPr>
      <w:r>
        <w:rPr>
          <w:spacing w:val="-1"/>
        </w:rPr>
        <w:t>王葆玲女士，女，</w:t>
      </w:r>
      <w:r>
        <w:rPr>
          <w:rFonts w:ascii="Times New Roman" w:hAnsi="Times New Roman" w:cs="Times New Roman" w:eastAsia="Times New Roman" w:hint="default"/>
          <w:spacing w:val="-1"/>
        </w:rPr>
        <w:t>1971</w:t>
      </w:r>
      <w:r>
        <w:rPr>
          <w:spacing w:val="-1"/>
        </w:rPr>
        <w:t>年</w:t>
      </w:r>
      <w:r>
        <w:rPr>
          <w:rFonts w:ascii="Times New Roman" w:hAnsi="Times New Roman" w:cs="Times New Roman" w:eastAsia="Times New Roman" w:hint="default"/>
          <w:spacing w:val="-1"/>
        </w:rPr>
        <w:t>5</w:t>
      </w:r>
      <w:r>
        <w:rPr>
          <w:spacing w:val="-1"/>
        </w:rPr>
        <w:t>月出生，专科学历。</w:t>
      </w:r>
      <w:r>
        <w:rPr>
          <w:rFonts w:ascii="Times New Roman" w:hAnsi="Times New Roman" w:cs="Times New Roman" w:eastAsia="Times New Roman" w:hint="default"/>
          <w:spacing w:val="-1"/>
        </w:rPr>
        <w:t>1995</w:t>
      </w:r>
      <w:r>
        <w:rPr>
          <w:spacing w:val="-1"/>
        </w:rPr>
        <w:t>年</w:t>
      </w:r>
      <w:r>
        <w:rPr>
          <w:rFonts w:ascii="Times New Roman" w:hAnsi="Times New Roman" w:cs="Times New Roman" w:eastAsia="Times New Roman" w:hint="default"/>
          <w:spacing w:val="-1"/>
        </w:rPr>
        <w:t>7</w:t>
      </w:r>
      <w:r>
        <w:rPr>
          <w:spacing w:val="-1"/>
        </w:rPr>
        <w:t>月毕业于河南财经学院会计专业。</w:t>
      </w:r>
      <w:r>
        <w:rPr>
          <w:rFonts w:ascii="Times New Roman" w:hAnsi="Times New Roman" w:cs="Times New Roman" w:eastAsia="Times New Roman" w:hint="default"/>
          <w:spacing w:val="-1"/>
        </w:rPr>
        <w:t>1995</w:t>
      </w:r>
      <w:r>
        <w:rPr>
          <w:spacing w:val="-1"/>
        </w:rPr>
        <w:t>至</w:t>
      </w:r>
      <w:r>
        <w:rPr>
          <w:rFonts w:ascii="Times New Roman" w:hAnsi="Times New Roman" w:cs="Times New Roman" w:eastAsia="Times New Roman" w:hint="default"/>
          <w:spacing w:val="-1"/>
        </w:rPr>
        <w:t>2000</w:t>
      </w:r>
      <w:r>
        <w:rPr>
          <w:rFonts w:ascii="Times New Roman" w:hAnsi="Times New Roman" w:cs="Times New Roman" w:eastAsia="Times New Roman" w:hint="default"/>
        </w:rPr>
        <w:t> </w:t>
      </w:r>
      <w:r>
        <w:rPr>
          <w:spacing w:val="-1"/>
        </w:rPr>
        <w:t>年在郑州工学院开普电子技术公司工作，历任银行出纳、会计、主管会计。</w:t>
      </w:r>
      <w:r>
        <w:rPr>
          <w:rFonts w:ascii="Times New Roman" w:hAnsi="Times New Roman" w:cs="Times New Roman" w:eastAsia="Times New Roman" w:hint="default"/>
          <w:spacing w:val="-1"/>
        </w:rPr>
        <w:t>2000</w:t>
      </w:r>
      <w:r>
        <w:rPr>
          <w:spacing w:val="-1"/>
        </w:rPr>
        <w:t>年至今在本公司工作，现</w:t>
      </w:r>
      <w:r>
        <w:rPr>
          <w:spacing w:val="-83"/>
        </w:rPr>
        <w:t> </w:t>
      </w:r>
      <w:r>
        <w:rPr>
          <w:spacing w:val="-83"/>
        </w:rPr>
      </w:r>
      <w:r>
        <w:rPr/>
        <w:t>任公司监事、审计部经理。</w:t>
      </w:r>
    </w:p>
    <w:p>
      <w:pPr>
        <w:pStyle w:val="BodyText"/>
        <w:spacing w:line="386" w:lineRule="auto" w:before="65"/>
        <w:ind w:left="153" w:right="1108" w:firstLine="420"/>
        <w:jc w:val="both"/>
      </w:pPr>
      <w:r>
        <w:rPr>
          <w:spacing w:val="-5"/>
        </w:rPr>
        <w:t>张建英女士，女，</w:t>
      </w:r>
      <w:r>
        <w:rPr>
          <w:rFonts w:ascii="Times New Roman" w:hAnsi="Times New Roman" w:cs="Times New Roman" w:eastAsia="Times New Roman" w:hint="default"/>
          <w:spacing w:val="-5"/>
        </w:rPr>
        <w:t>1975</w:t>
      </w:r>
      <w:r>
        <w:rPr>
          <w:spacing w:val="-5"/>
        </w:rPr>
        <w:t>年</w:t>
      </w:r>
      <w:r>
        <w:rPr>
          <w:rFonts w:ascii="Times New Roman" w:hAnsi="Times New Roman" w:cs="Times New Roman" w:eastAsia="Times New Roman" w:hint="default"/>
          <w:spacing w:val="-5"/>
        </w:rPr>
        <w:t>4</w:t>
      </w:r>
      <w:r>
        <w:rPr>
          <w:spacing w:val="-5"/>
        </w:rPr>
        <w:t>月出生，本科学历。</w:t>
      </w:r>
      <w:r>
        <w:rPr>
          <w:rFonts w:ascii="Times New Roman" w:hAnsi="Times New Roman" w:cs="Times New Roman" w:eastAsia="Times New Roman" w:hint="default"/>
          <w:spacing w:val="-5"/>
        </w:rPr>
        <w:t>2009</w:t>
      </w:r>
      <w:r>
        <w:rPr>
          <w:spacing w:val="-5"/>
        </w:rPr>
        <w:t>年</w:t>
      </w:r>
      <w:r>
        <w:rPr>
          <w:rFonts w:ascii="Times New Roman" w:hAnsi="Times New Roman" w:cs="Times New Roman" w:eastAsia="Times New Roman" w:hint="default"/>
          <w:spacing w:val="-5"/>
        </w:rPr>
        <w:t>7</w:t>
      </w:r>
      <w:r>
        <w:rPr>
          <w:spacing w:val="-5"/>
        </w:rPr>
        <w:t>月毕业于中央广播电视大学工商管理专业。</w:t>
      </w:r>
      <w:r>
        <w:rPr>
          <w:rFonts w:ascii="Times New Roman" w:hAnsi="Times New Roman" w:cs="Times New Roman" w:eastAsia="Times New Roman" w:hint="default"/>
          <w:spacing w:val="-5"/>
        </w:rPr>
        <w:t>2000</w:t>
      </w:r>
      <w:r>
        <w:rPr>
          <w:rFonts w:ascii="Times New Roman" w:hAnsi="Times New Roman" w:cs="Times New Roman" w:eastAsia="Times New Roman" w:hint="default"/>
        </w:rPr>
        <w:t> </w:t>
      </w:r>
      <w:r>
        <w:rPr/>
        <w:t>年至今在公司工作，历任生产人员、采购员、采购主管，现任生产制造部经理并担任公司职工代表监事。</w:t>
      </w:r>
    </w:p>
    <w:p>
      <w:pPr>
        <w:pStyle w:val="BodyText"/>
        <w:spacing w:line="408" w:lineRule="auto" w:before="65"/>
        <w:ind w:left="573" w:right="6446"/>
        <w:jc w:val="left"/>
      </w:pPr>
      <w:r>
        <w:rPr/>
        <w:t>（三）高级管理人员 公司高级管理人员共</w:t>
      </w:r>
      <w:r>
        <w:rPr>
          <w:rFonts w:ascii="Times New Roman" w:hAnsi="Times New Roman" w:cs="Times New Roman" w:eastAsia="Times New Roman" w:hint="default"/>
        </w:rPr>
        <w:t>7</w:t>
      </w:r>
      <w:r>
        <w:rPr/>
        <w:t>人，具体情况如下：</w:t>
      </w:r>
    </w:p>
    <w:p>
      <w:pPr>
        <w:pStyle w:val="BodyText"/>
        <w:spacing w:line="408" w:lineRule="auto" w:before="14"/>
        <w:ind w:left="573" w:right="1113"/>
        <w:jc w:val="left"/>
      </w:pPr>
      <w:r>
        <w:rPr/>
        <w:t>杨维国先生：本公司董事长、总经理，简历详见本节之“（一）董事会成员”。 何伟先生，男，</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1</w:t>
      </w:r>
      <w:r>
        <w:rPr/>
        <w:t>月出生，研究生学历。</w:t>
      </w:r>
      <w:r>
        <w:rPr>
          <w:rFonts w:ascii="Times New Roman" w:hAnsi="Times New Roman" w:cs="Times New Roman" w:eastAsia="Times New Roman" w:hint="default"/>
        </w:rPr>
        <w:t>1991</w:t>
      </w:r>
      <w:r>
        <w:rPr/>
        <w:t>年国防科学技术大学计算机系本科毕业，</w:t>
      </w:r>
      <w:r>
        <w:rPr>
          <w:rFonts w:ascii="Times New Roman" w:hAnsi="Times New Roman" w:cs="Times New Roman" w:eastAsia="Times New Roman" w:hint="default"/>
        </w:rPr>
        <w:t>1994</w:t>
      </w:r>
      <w:r>
        <w:rPr/>
        <w:t>年</w:t>
      </w:r>
    </w:p>
    <w:p>
      <w:pPr>
        <w:pStyle w:val="BodyText"/>
        <w:spacing w:line="386" w:lineRule="auto" w:before="14"/>
        <w:ind w:left="153" w:right="1127" w:hanging="1"/>
        <w:jc w:val="both"/>
      </w:pPr>
      <w:r>
        <w:rPr>
          <w:spacing w:val="-1"/>
        </w:rPr>
        <w:t>复旦大学计算机系数据库专业研究生毕业。</w:t>
      </w:r>
      <w:r>
        <w:rPr>
          <w:rFonts w:ascii="Times New Roman" w:hAnsi="Times New Roman" w:cs="Times New Roman" w:eastAsia="Times New Roman" w:hint="default"/>
          <w:spacing w:val="-1"/>
        </w:rPr>
        <w:t>2002</w:t>
      </w:r>
      <w:r>
        <w:rPr>
          <w:spacing w:val="-1"/>
        </w:rPr>
        <w:t>年至</w:t>
      </w:r>
      <w:r>
        <w:rPr>
          <w:rFonts w:ascii="Times New Roman" w:hAnsi="Times New Roman" w:cs="Times New Roman" w:eastAsia="Times New Roman" w:hint="default"/>
          <w:spacing w:val="-1"/>
        </w:rPr>
        <w:t>2004</w:t>
      </w:r>
      <w:r>
        <w:rPr>
          <w:spacing w:val="-1"/>
        </w:rPr>
        <w:t>年中欧商学院EMBA硕士。</w:t>
      </w:r>
      <w:r>
        <w:rPr>
          <w:rFonts w:ascii="Times New Roman" w:hAnsi="Times New Roman" w:cs="Times New Roman" w:eastAsia="Times New Roman" w:hint="default"/>
          <w:spacing w:val="-1"/>
        </w:rPr>
        <w:t>1994</w:t>
      </w:r>
      <w:r>
        <w:rPr>
          <w:spacing w:val="-1"/>
        </w:rPr>
        <w:t>年至</w:t>
      </w:r>
      <w:r>
        <w:rPr>
          <w:rFonts w:ascii="Times New Roman" w:hAnsi="Times New Roman" w:cs="Times New Roman" w:eastAsia="Times New Roman" w:hint="default"/>
          <w:spacing w:val="-1"/>
        </w:rPr>
        <w:t>2006</w:t>
      </w:r>
      <w:r>
        <w:rPr>
          <w:spacing w:val="-1"/>
        </w:rPr>
        <w:t>年在上海</w:t>
      </w:r>
      <w:r>
        <w:rPr>
          <w:spacing w:val="-82"/>
        </w:rPr>
        <w:t> </w:t>
      </w:r>
      <w:r>
        <w:rPr>
          <w:spacing w:val="-82"/>
        </w:rPr>
      </w:r>
      <w:r>
        <w:rPr/>
        <w:t>复旦金仕达计算机有限公司工作，历任软件工程师、市场部经理、事业部总经理、CTO等职务；</w:t>
      </w:r>
      <w:r>
        <w:rPr>
          <w:rFonts w:ascii="Times New Roman" w:hAnsi="Times New Roman" w:cs="Times New Roman" w:eastAsia="Times New Roman" w:hint="default"/>
        </w:rPr>
        <w:t>2006</w:t>
      </w:r>
      <w:r>
        <w:rPr/>
        <w:t>年至</w:t>
      </w:r>
      <w:r>
        <w:rPr>
          <w:spacing w:val="-38"/>
        </w:rPr>
        <w:t> </w:t>
      </w:r>
      <w:r>
        <w:rPr>
          <w:rFonts w:ascii="Times New Roman" w:hAnsi="Times New Roman" w:cs="Times New Roman" w:eastAsia="Times New Roman" w:hint="default"/>
          <w:spacing w:val="-1"/>
        </w:rPr>
        <w:t>2011</w:t>
      </w:r>
      <w:r>
        <w:rPr>
          <w:spacing w:val="-1"/>
        </w:rPr>
        <w:t>年在胜科金仕达数据系统（中国）有限公司工作，担任高教事业部总经理、公司副总裁职务。</w:t>
      </w:r>
      <w:r>
        <w:rPr>
          <w:rFonts w:ascii="Times New Roman" w:hAnsi="Times New Roman" w:cs="Times New Roman" w:eastAsia="Times New Roman" w:hint="default"/>
          <w:spacing w:val="-1"/>
        </w:rPr>
        <w:t>2012</w:t>
      </w:r>
      <w:r>
        <w:rPr>
          <w:spacing w:val="-1"/>
        </w:rPr>
        <w:t>年</w:t>
      </w:r>
      <w:r>
        <w:rPr>
          <w:spacing w:val="-85"/>
        </w:rPr>
        <w:t> </w:t>
      </w:r>
      <w:r>
        <w:rPr/>
        <w:t>至今在上海树维信息科技有限公司工作，担任总经理职务。</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月起任公司副总经理。</w:t>
      </w:r>
    </w:p>
    <w:p>
      <w:pPr>
        <w:pStyle w:val="BodyText"/>
        <w:spacing w:line="393" w:lineRule="auto" w:before="35"/>
        <w:ind w:left="153" w:right="1130" w:firstLine="420"/>
        <w:jc w:val="both"/>
      </w:pPr>
      <w:r>
        <w:rPr/>
        <w:t>李玉玲女士，女，</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11</w:t>
      </w:r>
      <w:r>
        <w:rPr/>
        <w:t>月出生，本科学历，高级会计师，注册会计师，注册税务师。</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7</w:t>
      </w:r>
      <w:r>
        <w:rPr/>
        <w:t>月 </w:t>
      </w:r>
      <w:r>
        <w:rPr>
          <w:spacing w:val="-1"/>
        </w:rPr>
        <w:t>毕业于河南财政税务高等专科学校会计专业；</w:t>
      </w:r>
      <w:r>
        <w:rPr>
          <w:rFonts w:ascii="Times New Roman" w:hAnsi="Times New Roman" w:cs="Times New Roman" w:eastAsia="Times New Roman" w:hint="default"/>
          <w:spacing w:val="-1"/>
        </w:rPr>
        <w:t>1998</w:t>
      </w:r>
      <w:r>
        <w:rPr>
          <w:spacing w:val="-1"/>
        </w:rPr>
        <w:t>年毕业于河南财经学院会计专业，获本科学历。曾担任</w:t>
      </w:r>
      <w:r>
        <w:rPr>
          <w:spacing w:val="-85"/>
        </w:rPr>
        <w:t> </w:t>
      </w:r>
      <w:r>
        <w:rPr>
          <w:spacing w:val="-85"/>
        </w:rPr>
      </w:r>
      <w:r>
        <w:rPr>
          <w:spacing w:val="-1"/>
        </w:rPr>
        <w:t>河南诚和会计师事务所审计部经理、所长助理，河南省注册会计师协会专业委员会委员，河南海联科技实</w:t>
      </w:r>
      <w:r>
        <w:rPr>
          <w:spacing w:val="-83"/>
        </w:rPr>
        <w:t> </w:t>
      </w:r>
      <w:r>
        <w:rPr>
          <w:spacing w:val="-83"/>
        </w:rPr>
      </w:r>
      <w:r>
        <w:rPr/>
        <w:t>业有限公司财务经理、郑州星之旅信息传播服务有限公司财务总监。</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月起担任公司财务总监。</w:t>
      </w:r>
    </w:p>
    <w:p>
      <w:pPr>
        <w:pStyle w:val="BodyText"/>
        <w:spacing w:line="386" w:lineRule="auto" w:before="28"/>
        <w:ind w:left="153" w:right="1126" w:firstLine="420"/>
        <w:jc w:val="both"/>
      </w:pPr>
      <w:r>
        <w:rPr/>
        <w:t>焦征海先生，男，</w:t>
      </w:r>
      <w:r>
        <w:rPr>
          <w:rFonts w:ascii="Times New Roman" w:hAnsi="Times New Roman" w:cs="Times New Roman" w:eastAsia="Times New Roman" w:hint="default"/>
        </w:rPr>
        <w:t>1974</w:t>
      </w:r>
      <w:r>
        <w:rPr/>
        <w:t>年</w:t>
      </w:r>
      <w:r>
        <w:rPr>
          <w:rFonts w:ascii="Times New Roman" w:hAnsi="Times New Roman" w:cs="Times New Roman" w:eastAsia="Times New Roman" w:hint="default"/>
        </w:rPr>
        <w:t>7</w:t>
      </w:r>
      <w:r>
        <w:rPr/>
        <w:t>月出生，大专学历，</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6</w:t>
      </w:r>
      <w:r>
        <w:rPr/>
        <w:t>月在华北水利水电学院计算机应 用专业学习。</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月进入公司工作，历任公司开发主管、软件研究部经理、软件技术总监、移动互联</w:t>
      </w:r>
      <w:r>
        <w:rPr>
          <w:spacing w:val="-35"/>
        </w:rPr>
        <w:t> </w:t>
      </w:r>
      <w:r>
        <w:rPr>
          <w:spacing w:val="-35"/>
        </w:rPr>
      </w:r>
      <w:r>
        <w:rPr/>
        <w:t>事业部总经理等职务，现任公司副总经理。</w:t>
      </w:r>
    </w:p>
    <w:p>
      <w:pPr>
        <w:pStyle w:val="BodyText"/>
        <w:spacing w:line="386" w:lineRule="auto" w:before="65"/>
        <w:ind w:left="153" w:right="1130" w:firstLine="420"/>
        <w:jc w:val="both"/>
      </w:pPr>
      <w:r>
        <w:rPr>
          <w:spacing w:val="-1"/>
        </w:rPr>
        <w:t>杨长昆先生，男，</w:t>
      </w:r>
      <w:r>
        <w:rPr>
          <w:rFonts w:ascii="Times New Roman" w:hAnsi="Times New Roman" w:cs="Times New Roman" w:eastAsia="Times New Roman" w:hint="default"/>
          <w:spacing w:val="-1"/>
        </w:rPr>
        <w:t>1981</w:t>
      </w:r>
      <w:r>
        <w:rPr>
          <w:spacing w:val="-1"/>
        </w:rPr>
        <w:t>年</w:t>
      </w:r>
      <w:r>
        <w:rPr>
          <w:rFonts w:ascii="Times New Roman" w:hAnsi="Times New Roman" w:cs="Times New Roman" w:eastAsia="Times New Roman" w:hint="default"/>
          <w:spacing w:val="-1"/>
        </w:rPr>
        <w:t>12</w:t>
      </w:r>
      <w:r>
        <w:rPr>
          <w:spacing w:val="-1"/>
        </w:rPr>
        <w:t>月出生，大专学历。</w:t>
      </w:r>
      <w:r>
        <w:rPr>
          <w:rFonts w:ascii="Times New Roman" w:hAnsi="Times New Roman" w:cs="Times New Roman" w:eastAsia="Times New Roman" w:hint="default"/>
          <w:spacing w:val="-1"/>
        </w:rPr>
        <w:t>2004</w:t>
      </w:r>
      <w:r>
        <w:rPr>
          <w:spacing w:val="-1"/>
        </w:rPr>
        <w:t>年毕业于中原工学院计算机及应用专业，</w:t>
      </w:r>
      <w:r>
        <w:rPr>
          <w:rFonts w:ascii="Times New Roman" w:hAnsi="Times New Roman" w:cs="Times New Roman" w:eastAsia="Times New Roman" w:hint="default"/>
          <w:spacing w:val="-1"/>
        </w:rPr>
        <w:t>2004</w:t>
      </w:r>
      <w:r>
        <w:rPr>
          <w:spacing w:val="-1"/>
        </w:rPr>
        <w:t>年</w:t>
      </w:r>
      <w:r>
        <w:rPr/>
        <w:t> </w:t>
      </w:r>
      <w:r>
        <w:rPr>
          <w:spacing w:val="-5"/>
        </w:rPr>
        <w:t>至今在本公司工作。先后担任公司技术支持工程师、项目经理、客服经理、成都分公司总经理等职务。</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t>年</w:t>
      </w:r>
      <w:r>
        <w:rPr>
          <w:rFonts w:ascii="Times New Roman" w:hAnsi="Times New Roman" w:cs="Times New Roman" w:eastAsia="Times New Roman" w:hint="default"/>
        </w:rPr>
        <w:t>11</w:t>
      </w:r>
      <w:r>
        <w:rPr/>
        <w:t>月至今任公司营销中心总经理。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月起，任公司副总经理。</w:t>
      </w:r>
    </w:p>
    <w:p>
      <w:pPr>
        <w:pStyle w:val="BodyText"/>
        <w:spacing w:line="393" w:lineRule="auto" w:before="35"/>
        <w:ind w:left="153" w:right="993" w:firstLine="420"/>
        <w:jc w:val="left"/>
      </w:pPr>
      <w:r>
        <w:rPr/>
        <w:t>杨文寿先生，男，</w:t>
      </w:r>
      <w:r>
        <w:rPr>
          <w:rFonts w:ascii="Times New Roman" w:hAnsi="Times New Roman" w:cs="Times New Roman" w:eastAsia="Times New Roman" w:hint="default"/>
        </w:rPr>
        <w:t>1978</w:t>
      </w:r>
      <w:r>
        <w:rPr/>
        <w:t>年</w:t>
      </w:r>
      <w:r>
        <w:rPr>
          <w:rFonts w:ascii="Times New Roman" w:hAnsi="Times New Roman" w:cs="Times New Roman" w:eastAsia="Times New Roman" w:hint="default"/>
        </w:rPr>
        <w:t>10</w:t>
      </w:r>
      <w:r>
        <w:rPr/>
        <w:t>月出生，本科学历。</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6</w:t>
      </w:r>
      <w:r>
        <w:rPr/>
        <w:t>月毕业于郑州纺织工学院工业自动化专业， </w:t>
      </w:r>
      <w:r>
        <w:rPr>
          <w:spacing w:val="-3"/>
        </w:rPr>
        <w:t>获大专学历。</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7</w:t>
      </w:r>
      <w:r>
        <w:rPr>
          <w:spacing w:val="-3"/>
        </w:rPr>
        <w:t>月毕业于中原工学院电气工程及自动化专业，获本科学历。</w:t>
      </w:r>
      <w:r>
        <w:rPr>
          <w:rFonts w:ascii="Times New Roman" w:hAnsi="Times New Roman" w:cs="Times New Roman" w:eastAsia="Times New Roman" w:hint="default"/>
          <w:spacing w:val="-3"/>
        </w:rPr>
        <w:t>2000</w:t>
      </w:r>
      <w:r>
        <w:rPr>
          <w:spacing w:val="-3"/>
        </w:rPr>
        <w:t>年</w:t>
      </w:r>
      <w:r>
        <w:rPr>
          <w:rFonts w:ascii="Times New Roman" w:hAnsi="Times New Roman" w:cs="Times New Roman" w:eastAsia="Times New Roman" w:hint="default"/>
          <w:spacing w:val="-3"/>
        </w:rPr>
        <w:t>7</w:t>
      </w:r>
      <w:r>
        <w:rPr>
          <w:spacing w:val="-3"/>
        </w:rPr>
        <w:t>月进入公司工作，</w:t>
      </w:r>
      <w:r>
        <w:rPr>
          <w:spacing w:val="-85"/>
        </w:rPr>
        <w:t> </w:t>
      </w:r>
      <w:r>
        <w:rPr>
          <w:spacing w:val="-85"/>
        </w:rPr>
      </w:r>
      <w:r>
        <w:rPr/>
        <w:t>历任生产车间质检员、车间主任、研发工程师、研发技术主管、电子研发部部门经理助理、电子研发部部</w:t>
      </w:r>
      <w:r>
        <w:rPr/>
        <w:t> 门经理、智能识别产品事业部总经理、研发中心副总经理、生产中心总经理，现任公司研发中心总经理。</w:t>
      </w:r>
    </w:p>
    <w:p>
      <w:pPr>
        <w:spacing w:after="0" w:line="393"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r>
        <w:rPr/>
        <w:pict>
          <v:shape style="position:absolute;margin-left:225.359711pt;margin-top:565.200012pt;width:103.8pt;height:35.25pt;mso-position-horizontal-relative:page;mso-position-vertical-relative:page;z-index:-1597600" type="#_x0000_t202" filled="false" stroked="false">
            <v:textbox inset="0,0,0,0">
              <w:txbxContent>
                <w:p>
                  <w:pPr>
                    <w:spacing w:line="240" w:lineRule="auto" w:before="11"/>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（有限合伙）</w:t>
                  </w:r>
                </w:p>
              </w:txbxContent>
            </v:textbox>
            <w10:wrap type="none"/>
          </v:shape>
        </w:pict>
      </w:r>
      <w:r>
        <w:rPr/>
        <w:pict>
          <v:shape style="position:absolute;margin-left:225.359711pt;margin-top:728.099976pt;width:103.8pt;height:35.25pt;mso-position-horizontal-relative:page;mso-position-vertical-relative:page;z-index:-1597576" type="#_x0000_t202" filled="false" stroked="false">
            <v:textbox inset="0,0,0,0">
              <w:txbxContent>
                <w:p>
                  <w:pPr>
                    <w:spacing w:line="240" w:lineRule="auto" w:before="11"/>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（有限合伙）</w:t>
                  </w:r>
                </w:p>
              </w:txbxContent>
            </v:textbox>
            <w10:wrap type="none"/>
          </v:shape>
        </w:pict>
      </w:r>
      <w:r>
        <w:rPr/>
        <w:pict>
          <v:group style="position:absolute;margin-left:276.480011pt;margin-top:565.200012pt;width:52.7pt;height:35.25pt;mso-position-horizontal-relative:page;mso-position-vertical-relative:page;z-index:-1597528" coordorigin="5530,11304" coordsize="1054,705">
            <v:group style="position:absolute;left:5530;top:11304;width:1054;height:705" coordorigin="5530,11304" coordsize="1054,705">
              <v:shape style="position:absolute;left:5530;top:11304;width:1054;height:705" coordorigin="5530,11304" coordsize="1054,705" path="m5530,12008l6583,12008,6583,11304,5530,11304,5530,12008xe" filled="true" fillcolor="#ffffff" stroked="false">
                <v:path arrowok="t"/>
                <v:fill type="solid"/>
              </v:shape>
            </v:group>
            <v:group style="position:absolute;left:5552;top:11460;width:1008;height:393" coordorigin="5552,11460" coordsize="1008,393">
              <v:shape style="position:absolute;left:5552;top:11460;width:1008;height:393" coordorigin="5552,11460" coordsize="1008,393" path="m5552,11852l6560,11852,6560,11460,5552,11460,5552,11852xe" filled="true" fillcolor="#ffffff" stroked="false">
                <v:path arrowok="t"/>
                <v:fill type="solid"/>
              </v:shape>
            </v:group>
            <w10:wrap type="none"/>
          </v:group>
        </w:pict>
      </w:r>
      <w:r>
        <w:rPr/>
        <w:pict>
          <v:group style="position:absolute;margin-left:276.480011pt;margin-top:728.099976pt;width:52.7pt;height:35.25pt;mso-position-horizontal-relative:page;mso-position-vertical-relative:page;z-index:-1597504" coordorigin="5530,14562" coordsize="1054,705">
            <v:group style="position:absolute;left:5530;top:14562;width:1054;height:705" coordorigin="5530,14562" coordsize="1054,705">
              <v:shape style="position:absolute;left:5530;top:14562;width:1054;height:705" coordorigin="5530,14562" coordsize="1054,705" path="m5530,15266l6583,15266,6583,14562,5530,14562,5530,15266xe" filled="true" fillcolor="#ffffff" stroked="false">
                <v:path arrowok="t"/>
                <v:fill type="solid"/>
              </v:shape>
            </v:group>
            <v:group style="position:absolute;left:5552;top:14718;width:1008;height:393" coordorigin="5552,14718" coordsize="1008,393">
              <v:shape style="position:absolute;left:5552;top:14718;width:1008;height:393" coordorigin="5552,14718" coordsize="1008,393" path="m5552,15110l6560,15110,6560,14718,5552,14718,5552,15110xe" filled="true" fillcolor="#ffffff" stroked="false">
                <v:path arrowok="t"/>
                <v:fill type="solid"/>
              </v:shape>
            </v:group>
            <w10:wrap type="none"/>
          </v:group>
        </w:pict>
      </w:r>
    </w:p>
    <w:p>
      <w:pPr>
        <w:pStyle w:val="BodyText"/>
        <w:spacing w:line="386" w:lineRule="auto" w:before="35"/>
        <w:ind w:left="153" w:right="1126" w:firstLine="420"/>
        <w:jc w:val="both"/>
      </w:pPr>
      <w:r>
        <w:rPr>
          <w:spacing w:val="-1"/>
        </w:rPr>
        <w:t>赵璇女士，女，</w:t>
      </w:r>
      <w:r>
        <w:rPr>
          <w:rFonts w:ascii="Times New Roman" w:hAnsi="Times New Roman" w:cs="Times New Roman" w:eastAsia="Times New Roman" w:hint="default"/>
          <w:spacing w:val="-1"/>
        </w:rPr>
        <w:t>1986</w:t>
      </w:r>
      <w:r>
        <w:rPr>
          <w:spacing w:val="-1"/>
        </w:rPr>
        <w:t>年</w:t>
      </w:r>
      <w:r>
        <w:rPr>
          <w:rFonts w:ascii="Times New Roman" w:hAnsi="Times New Roman" w:cs="Times New Roman" w:eastAsia="Times New Roman" w:hint="default"/>
          <w:spacing w:val="-1"/>
        </w:rPr>
        <w:t>10</w:t>
      </w:r>
      <w:r>
        <w:rPr>
          <w:spacing w:val="-1"/>
        </w:rPr>
        <w:t>月出生，北京工商大学管理学学士学位。</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6</w:t>
      </w:r>
      <w:r>
        <w:rPr>
          <w:spacing w:val="-1"/>
        </w:rPr>
        <w:t>月至</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8</w:t>
      </w:r>
      <w:r>
        <w:rPr>
          <w:spacing w:val="-1"/>
        </w:rPr>
        <w:t>月，任职于北</w:t>
      </w:r>
      <w:r>
        <w:rPr/>
        <w:t> 京三聚环保新材料股份有限公司董事会办公室，</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月，历任广西博世科环保科技股份</w:t>
      </w:r>
      <w:r>
        <w:rPr>
          <w:spacing w:val="-40"/>
        </w:rPr>
        <w:t> </w:t>
      </w:r>
      <w:r>
        <w:rPr>
          <w:spacing w:val="-40"/>
        </w:rPr>
      </w:r>
      <w:r>
        <w:rPr/>
        <w:t>有限公司证券事务代表、董事长助理、副总经理及董事会秘书。</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月进入公司工作，现任公司副总</w:t>
      </w:r>
      <w:r>
        <w:rPr>
          <w:spacing w:val="-36"/>
        </w:rPr>
        <w:t> </w:t>
      </w:r>
      <w:r>
        <w:rPr>
          <w:spacing w:val="-36"/>
        </w:rPr>
      </w:r>
      <w:r>
        <w:rPr>
          <w:spacing w:val="-1"/>
        </w:rPr>
        <w:t>经理兼董事会秘书。赵璇女士于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10</w:t>
      </w:r>
      <w:r>
        <w:rPr>
          <w:spacing w:val="-1"/>
        </w:rPr>
        <w:t>月获深圳证券交易所颁发的董事会秘书资格证书并分别于</w:t>
      </w:r>
      <w:r>
        <w:rPr>
          <w:rFonts w:ascii="Times New Roman" w:hAnsi="Times New Roman" w:cs="Times New Roman" w:eastAsia="Times New Roman" w:hint="default"/>
          <w:spacing w:val="-1"/>
        </w:rPr>
        <w:t>2014</w:t>
      </w:r>
      <w:r>
        <w:rPr>
          <w:spacing w:val="-1"/>
        </w:rPr>
        <w:t>年</w:t>
      </w:r>
      <w:r>
        <w:rPr>
          <w:spacing w:val="-82"/>
        </w:rPr>
        <w:t>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月参加董事会秘书后续培训。</w:t>
      </w:r>
    </w:p>
    <w:p>
      <w:pPr>
        <w:pStyle w:val="BodyText"/>
        <w:spacing w:line="386" w:lineRule="auto" w:before="35"/>
        <w:ind w:right="1109" w:firstLine="420"/>
        <w:jc w:val="both"/>
      </w:pPr>
      <w:r>
        <w:rPr/>
        <w:t>赵鑫先生，男，</w:t>
      </w:r>
      <w:r>
        <w:rPr>
          <w:rFonts w:ascii="Times New Roman" w:hAnsi="Times New Roman" w:cs="Times New Roman" w:eastAsia="Times New Roman" w:hint="default"/>
        </w:rPr>
        <w:t>1983</w:t>
      </w:r>
      <w:r>
        <w:rPr/>
        <w:t>年</w:t>
      </w:r>
      <w:r>
        <w:rPr>
          <w:rFonts w:ascii="Times New Roman" w:hAnsi="Times New Roman" w:cs="Times New Roman" w:eastAsia="Times New Roman" w:hint="default"/>
        </w:rPr>
        <w:t>9</w:t>
      </w:r>
      <w:r>
        <w:rPr/>
        <w:t>月出生，本科学历，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7</w:t>
      </w:r>
      <w:r>
        <w:rPr/>
        <w:t>月毕业于河南农业大学英语专业，获学士学位。 </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月进入公司工作，历任公司研发中心QA、人力资源部经理等职务，现任公司副总经理兼证券事务</w:t>
      </w:r>
      <w:r>
        <w:rPr>
          <w:spacing w:val="-35"/>
        </w:rPr>
        <w:t> </w:t>
      </w:r>
      <w:r>
        <w:rPr>
          <w:spacing w:val="-35"/>
        </w:rPr>
      </w:r>
      <w:r>
        <w:rPr/>
        <w:t>代表。</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月参加深圳证券交易所创业板上市公司第三期董事会秘书培训班并取得董事会秘书资格证</w:t>
      </w:r>
      <w:r>
        <w:rPr>
          <w:spacing w:val="-36"/>
        </w:rPr>
        <w:t> </w:t>
      </w:r>
      <w:r>
        <w:rPr>
          <w:spacing w:val="-36"/>
        </w:rPr>
      </w:r>
      <w:r>
        <w:rPr/>
        <w:t>书。</w:t>
      </w:r>
    </w:p>
    <w:p>
      <w:pPr>
        <w:spacing w:before="131"/>
        <w:ind w:left="154" w:right="1113"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240" w:lineRule="auto" w:before="12"/>
        <w:rPr>
          <w:rFonts w:ascii="宋体" w:hAnsi="宋体" w:cs="宋体" w:eastAsia="宋体" w:hint="default"/>
          <w:sz w:val="20"/>
          <w:szCs w:val="20"/>
        </w:rPr>
      </w:pPr>
    </w:p>
    <w:p>
      <w:pPr>
        <w:spacing w:line="489" w:lineRule="auto" w:before="0"/>
        <w:ind w:left="154" w:right="91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before="85"/>
        <w:ind w:left="154" w:right="1113" w:firstLine="0"/>
        <w:jc w:val="left"/>
        <w:rPr>
          <w:rFonts w:ascii="宋体" w:hAnsi="宋体" w:cs="宋体" w:eastAsia="宋体" w:hint="default"/>
          <w:sz w:val="18"/>
          <w:szCs w:val="18"/>
        </w:rPr>
      </w:pPr>
      <w:r>
        <w:rPr/>
        <w:pict>
          <v:group style="position:absolute;margin-left:329.640015pt;margin-top:61.381721pt;width:59.3pt;height:35.25pt;mso-position-horizontal-relative:page;mso-position-vertical-relative:paragraph;z-index:-1597552" coordorigin="6593,1228" coordsize="1186,705">
            <v:group style="position:absolute;left:6593;top:1228;width:1186;height:705" coordorigin="6593,1228" coordsize="1186,705">
              <v:shape style="position:absolute;left:6593;top:1228;width:1186;height:705" coordorigin="6593,1228" coordsize="1186,705" path="m6593,1932l7778,1932,7778,1228,6593,1228,6593,1932xe" filled="true" fillcolor="#ffffff" stroked="false">
                <v:path arrowok="t"/>
                <v:fill type="solid"/>
              </v:shape>
            </v:group>
            <v:group style="position:absolute;left:6616;top:1228;width:1140;height:352" coordorigin="6616,1228" coordsize="1140,352">
              <v:shape style="position:absolute;left:6616;top:1228;width:1140;height:352" coordorigin="6616,1228" coordsize="1140,352" path="m6616,1579l7756,1579,7756,1228,6616,1228,6616,1579xe" filled="true" fillcolor="#ffffff" stroked="false">
                <v:path arrowok="t"/>
                <v:fill type="solid"/>
              </v:shape>
            </v:group>
            <v:group style="position:absolute;left:6616;top:1579;width:1140;height:353" coordorigin="6616,1579" coordsize="1140,353">
              <v:shape style="position:absolute;left:6616;top:1579;width:1140;height:353" coordorigin="6616,1579" coordsize="1140,353" path="m6616,1932l7756,1932,7756,1579,6616,1579,6616,1932xe" filled="true" fillcolor="#ffffff" stroked="false">
                <v:path arrowok="t"/>
                <v:fill type="solid"/>
              </v:shape>
            </v:group>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完美数联（杭州）科技有限公司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法定代表人 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北京迪科远望科技有限公司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上海树维信息科技有限公司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北京希嘉创智教育科技有限公司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郑州佳辰企业管理咨询中心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普通合伙人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漫时尚品（北京）电子商务有限公司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北京中盈世纪投资有限公司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北京易微通信息技术有限公司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华梦阳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河南华夏海纳创业投资集团有限公司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华梦阳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河南瑞弘企业管理咨询中心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普通合伙人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傅常顺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完美数联（杭州）科技有限公司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董事兼总经 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傅常顺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上海新开普志成信息科技有限公司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傅常顺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北京华驰联创科技有限公司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傅常顺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北京希嘉创智教育科技有限公司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傅常顺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成都兰途网络科技有限公司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傅常顺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北京乐智科技有限公司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北京海鸟窝科技有限公司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深圳市漂流伞科技有限公司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杭州数知梦科技有限公司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Champzee </w:t>
            </w:r>
            <w:r>
              <w:rPr>
                <w:rFonts w:ascii="Times New Roman"/>
                <w:spacing w:val="-3"/>
                <w:sz w:val="18"/>
              </w:rPr>
              <w:t>Technol </w:t>
            </w:r>
            <w:r>
              <w:rPr>
                <w:rFonts w:ascii="Times New Roman"/>
                <w:sz w:val="18"/>
              </w:rPr>
              <w:t>ogy</w:t>
            </w:r>
            <w:r>
              <w:rPr>
                <w:rFonts w:ascii="Times New Roman"/>
                <w:spacing w:val="1"/>
                <w:sz w:val="18"/>
              </w:rPr>
              <w:t> </w:t>
            </w:r>
            <w:r>
              <w:rPr>
                <w:rFonts w:ascii="Times New Roman"/>
                <w:sz w:val="18"/>
              </w:rPr>
              <w:t>Inc.</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MsParis</w:t>
            </w:r>
            <w:r>
              <w:rPr>
                <w:rFonts w:ascii="Times New Roman"/>
                <w:spacing w:val="-3"/>
                <w:sz w:val="18"/>
              </w:rPr>
              <w:t> </w:t>
            </w:r>
            <w:r>
              <w:rPr>
                <w:rFonts w:ascii="Times New Roman"/>
                <w:sz w:val="18"/>
              </w:rPr>
              <w:t>Inc.</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中保车服科技服务股份有限公司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刘汴生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河南豫能控股股份有限公司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刘汴生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河南银鸽实业投资股份有限公司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金香爱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金香爱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仲景宛西制药股份有限公司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上海树维信息科技有限公司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董事、法定代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表人</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上海皓石资产管理有限公司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董事、法定代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表人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上海新开普志成信息科技有限公司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李玉玲</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福建新开普信息科技有限公司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焦征海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上海新开普志成信息科技有限公司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焦征海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北京华驰联创科技有限公司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北京华驰联创科技有限公司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北京希嘉创智教育科技有限公司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上海新开普志成信息科技有限公司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上海渲图信息科技有限公司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完美数联（杭州）科技有限公司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4"/>
        <w:rPr>
          <w:rFonts w:ascii="Times New Roman" w:hAnsi="Times New Roman" w:cs="Times New Roman" w:eastAsia="Times New Roman" w:hint="default"/>
          <w:sz w:val="7"/>
          <w:szCs w:val="7"/>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line="240" w:lineRule="auto" w:before="12"/>
        <w:rPr>
          <w:rFonts w:ascii="宋体" w:hAnsi="宋体" w:cs="宋体" w:eastAsia="宋体" w:hint="default"/>
          <w:sz w:val="20"/>
          <w:szCs w:val="20"/>
        </w:rPr>
      </w:pPr>
    </w:p>
    <w:p>
      <w:pPr>
        <w:spacing w:before="0"/>
        <w:ind w:left="153"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2"/>
        <w:spacing w:line="240" w:lineRule="auto" w:before="155"/>
        <w:ind w:right="1113"/>
        <w:jc w:val="left"/>
        <w:rPr>
          <w:b w:val="0"/>
          <w:bCs w:val="0"/>
        </w:rPr>
      </w:pPr>
      <w:r>
        <w:rPr/>
        <w:t>四、董事、监事、高级管理人员报酬情况</w:t>
      </w:r>
      <w:r>
        <w:rPr>
          <w:b w:val="0"/>
          <w:bCs w:val="0"/>
        </w:rPr>
      </w:r>
    </w:p>
    <w:p>
      <w:pPr>
        <w:spacing w:line="240" w:lineRule="auto" w:before="8"/>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10"/>
        <w:rPr>
          <w:rFonts w:ascii="宋体" w:hAnsi="宋体" w:cs="宋体" w:eastAsia="宋体" w:hint="default"/>
          <w:sz w:val="18"/>
          <w:szCs w:val="18"/>
        </w:rPr>
      </w:pPr>
    </w:p>
    <w:p>
      <w:pPr>
        <w:pStyle w:val="BodyText"/>
        <w:spacing w:line="240" w:lineRule="auto" w:before="0"/>
        <w:ind w:left="574" w:right="1113"/>
        <w:jc w:val="left"/>
      </w:pPr>
      <w:r>
        <w:rPr>
          <w:rFonts w:ascii="Times New Roman" w:hAnsi="Times New Roman" w:cs="Times New Roman" w:eastAsia="Times New Roman" w:hint="default"/>
        </w:rPr>
        <w:t>1</w:t>
      </w:r>
      <w:r>
        <w:rPr/>
        <w:t>、董事、监事、高级管理人员报酬的决策程序</w:t>
      </w:r>
    </w:p>
    <w:p>
      <w:pPr>
        <w:pStyle w:val="BodyText"/>
        <w:spacing w:line="400" w:lineRule="auto" w:before="177"/>
        <w:ind w:right="1021" w:firstLine="420"/>
        <w:jc w:val="left"/>
      </w:pPr>
      <w:r>
        <w:rPr/>
        <w:t>（</w:t>
      </w:r>
      <w:r>
        <w:rPr>
          <w:rFonts w:ascii="Times New Roman" w:hAnsi="Times New Roman" w:cs="Times New Roman" w:eastAsia="Times New Roman" w:hint="default"/>
        </w:rPr>
        <w:t>1</w:t>
      </w:r>
      <w:r>
        <w:rPr/>
        <w:t>）根据《郑州新开普电子股份有限公司董事、监事薪酬制度》《郑州新开普电子股份有限公司高</w:t>
      </w:r>
      <w:r>
        <w:rPr>
          <w:spacing w:val="2"/>
        </w:rPr>
        <w:t> </w:t>
      </w:r>
      <w:r>
        <w:rPr>
          <w:spacing w:val="-3"/>
        </w:rPr>
        <w:t>级管理人员薪酬制度》。董事报酬经董事会薪酬与考核委员会审核、董事会审议通过后提交股东大会审议，</w:t>
      </w:r>
      <w:r>
        <w:rPr>
          <w:spacing w:val="-92"/>
        </w:rPr>
        <w:t> </w:t>
      </w:r>
      <w:r>
        <w:rPr>
          <w:spacing w:val="-92"/>
        </w:rPr>
      </w:r>
      <w:r>
        <w:rPr/>
        <w:t>监事报酬经监事会审议通过后提交股东大会审议，高级管理人员报酬经董事会薪酬与考核委员会审核通过</w:t>
      </w:r>
      <w:r>
        <w:rPr/>
        <w:t> 后提交董事会审议；</w:t>
      </w:r>
    </w:p>
    <w:p>
      <w:pPr>
        <w:pStyle w:val="BodyText"/>
        <w:spacing w:line="386" w:lineRule="auto" w:before="52"/>
        <w:ind w:left="153" w:right="1025" w:firstLine="42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日，公司第四次董事会第二十二次会议审议通过了《关于审议新开普电子股份有限 公司</w:t>
      </w:r>
      <w:r>
        <w:rPr>
          <w:rFonts w:ascii="Times New Roman" w:hAnsi="Times New Roman" w:cs="Times New Roman" w:eastAsia="Times New Roman" w:hint="default"/>
        </w:rPr>
        <w:t>2019</w:t>
      </w:r>
      <w:r>
        <w:rPr/>
        <w:t>年度董事薪酬政策的议案》《关于审议新开普电子股份有限公司</w:t>
      </w:r>
      <w:r>
        <w:rPr>
          <w:rFonts w:ascii="Times New Roman" w:hAnsi="Times New Roman" w:cs="Times New Roman" w:eastAsia="Times New Roman" w:hint="default"/>
        </w:rPr>
        <w:t>2019</w:t>
      </w:r>
      <w:r>
        <w:rPr/>
        <w:t>年度高级管理人员薪酬政策 的议案》，公司第四次监事会第二十次会议审议通过了《关于审议新开普电子股份有限公司</w:t>
      </w:r>
      <w:r>
        <w:rPr>
          <w:rFonts w:ascii="Times New Roman" w:hAnsi="Times New Roman" w:cs="Times New Roman" w:eastAsia="Times New Roman" w:hint="default"/>
        </w:rPr>
        <w:t>2019</w:t>
      </w:r>
      <w:r>
        <w:rPr/>
        <w:t>年度监事 薪酬政策的议案》；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日，公司</w:t>
      </w:r>
      <w:r>
        <w:rPr>
          <w:rFonts w:ascii="Times New Roman" w:hAnsi="Times New Roman" w:cs="Times New Roman" w:eastAsia="Times New Roman" w:hint="default"/>
        </w:rPr>
        <w:t>2018</w:t>
      </w:r>
      <w:r>
        <w:rPr/>
        <w:t>年度股东大会审议通过了《关于审议新开普电子股份有限</w:t>
      </w:r>
      <w:r>
        <w:rPr>
          <w:spacing w:val="-38"/>
        </w:rPr>
        <w:t> </w:t>
      </w:r>
      <w:r>
        <w:rPr>
          <w:spacing w:val="-38"/>
        </w:rPr>
      </w:r>
      <w:r>
        <w:rPr>
          <w:spacing w:val="-3"/>
        </w:rPr>
        <w:t>公司</w:t>
      </w:r>
      <w:r>
        <w:rPr>
          <w:rFonts w:ascii="Times New Roman" w:hAnsi="Times New Roman" w:cs="Times New Roman" w:eastAsia="Times New Roman" w:hint="default"/>
          <w:spacing w:val="-3"/>
        </w:rPr>
        <w:t>2019</w:t>
      </w:r>
      <w:r>
        <w:rPr>
          <w:spacing w:val="-3"/>
        </w:rPr>
        <w:t>年度董事薪酬政策的议案》《关于审议新开普电子股份有限公司</w:t>
      </w:r>
      <w:r>
        <w:rPr>
          <w:rFonts w:ascii="Times New Roman" w:hAnsi="Times New Roman" w:cs="Times New Roman" w:eastAsia="Times New Roman" w:hint="default"/>
          <w:spacing w:val="-3"/>
        </w:rPr>
        <w:t>2019</w:t>
      </w:r>
      <w:r>
        <w:rPr>
          <w:spacing w:val="-3"/>
        </w:rPr>
        <w:t>年度监事薪酬政策的议案》。</w:t>
      </w:r>
    </w:p>
    <w:p>
      <w:pPr>
        <w:pStyle w:val="BodyText"/>
        <w:spacing w:line="386" w:lineRule="auto" w:before="35"/>
        <w:ind w:left="573" w:right="1113"/>
        <w:jc w:val="left"/>
      </w:pPr>
      <w:r>
        <w:rPr>
          <w:rFonts w:ascii="Times New Roman" w:hAnsi="Times New Roman" w:cs="Times New Roman" w:eastAsia="Times New Roman" w:hint="default"/>
        </w:rPr>
        <w:t>2</w:t>
      </w:r>
      <w:r>
        <w:rPr/>
        <w:t>、董事、监事、高级管理人员报酬确定依据 </w:t>
      </w:r>
      <w:r>
        <w:rPr>
          <w:spacing w:val="-1"/>
        </w:rPr>
        <w:t>董事、监事和高级管理人员的报酬按照《新开普电子股份有限公司章程》《新开普电子股份有限公司</w:t>
      </w:r>
    </w:p>
    <w:p>
      <w:pPr>
        <w:pStyle w:val="BodyText"/>
        <w:spacing w:line="408" w:lineRule="auto" w:before="65"/>
        <w:ind w:left="153" w:right="1091"/>
        <w:jc w:val="left"/>
      </w:pPr>
      <w:r>
        <w:rPr/>
        <w:t>董事、监事薪酬制度》《新开普电子股份有限公司高级管理人员薪酬制度》等规定，结合其职位、责任、 能力、绩效考核情况、市场薪资行等因素确定并发放。</w:t>
      </w:r>
    </w:p>
    <w:p>
      <w:pPr>
        <w:pStyle w:val="BodyText"/>
        <w:spacing w:line="386" w:lineRule="auto"/>
        <w:ind w:left="573" w:right="3821"/>
        <w:jc w:val="left"/>
      </w:pPr>
      <w:r>
        <w:rPr>
          <w:rFonts w:ascii="Times New Roman" w:hAnsi="Times New Roman" w:cs="Times New Roman" w:eastAsia="Times New Roman" w:hint="default"/>
        </w:rPr>
        <w:t>3</w:t>
      </w:r>
      <w:r>
        <w:rPr/>
        <w:t>、董事、监事和高级管理人员报酬的实际支付情况 董事、监事和高级管理人员的薪酬均已按照确定的薪酬标准全额支付。</w:t>
      </w:r>
    </w:p>
    <w:p>
      <w:pPr>
        <w:spacing w:before="131"/>
        <w:ind w:left="154" w:right="1113"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line="240" w:lineRule="auto" w:before="12"/>
        <w:rPr>
          <w:rFonts w:ascii="宋体" w:hAnsi="宋体" w:cs="宋体" w:eastAsia="宋体" w:hint="default"/>
          <w:sz w:val="14"/>
          <w:szCs w:val="14"/>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713"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8"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杨维国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付秋生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尚卫国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赵利宾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司志刚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刘汴生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张英瑶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王玉辉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金香爱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毕会静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刘恩臣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王葆玲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张建英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职工代表监事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华梦阳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李玉玲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傅常顺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杜建平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刘永春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杨长昆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何伟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赵鑫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赵璇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08" w:right="47" w:hanging="360"/>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87"/>
              <w:jc w:val="righ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焦征海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617"/>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598.45</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line="240" w:lineRule="auto" w:before="12"/>
        <w:rPr>
          <w:rFonts w:ascii="宋体" w:hAnsi="宋体" w:cs="宋体" w:eastAsia="宋体" w:hint="default"/>
          <w:sz w:val="20"/>
          <w:szCs w:val="20"/>
        </w:rPr>
      </w:pPr>
    </w:p>
    <w:p>
      <w:pPr>
        <w:spacing w:before="0"/>
        <w:ind w:left="153"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2"/>
        <w:spacing w:line="240" w:lineRule="auto" w:before="155"/>
        <w:ind w:right="1113"/>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2,449</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1,184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2,449</w:t>
            </w:r>
          </w:p>
        </w:tc>
      </w:tr>
    </w:tbl>
    <w:p>
      <w:pPr>
        <w:spacing w:line="240" w:lineRule="auto" w:before="2"/>
        <w:rPr>
          <w:rFonts w:ascii="宋体" w:hAnsi="宋体" w:cs="宋体" w:eastAsia="宋体" w:hint="default"/>
          <w:b/>
          <w:bCs/>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573" w:right="1113"/>
        <w:jc w:val="left"/>
      </w:pPr>
      <w:r>
        <w:rPr/>
        <w:t>公司的薪酬政策设计符合以下三个原则：</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w:t>
      </w:r>
      <w:r>
        <w:rPr>
          <w:rFonts w:ascii="Times New Roman" w:hAnsi="Times New Roman" w:cs="Times New Roman" w:eastAsia="Times New Roman" w:hint="default"/>
        </w:rPr>
        <w:t>1</w:t>
      </w:r>
      <w:r>
        <w:rPr/>
        <w:t>）外在竞争性：公司员工的收入水平依据战略要求和市场环境，具有竞争性和稳定性的薪酬水准。</w:t>
      </w:r>
    </w:p>
    <w:p>
      <w:pPr>
        <w:pStyle w:val="BodyText"/>
        <w:spacing w:line="240" w:lineRule="auto" w:before="177"/>
        <w:ind w:left="574" w:right="1113"/>
        <w:jc w:val="left"/>
      </w:pPr>
      <w:r>
        <w:rPr/>
        <w:t>（</w:t>
      </w:r>
      <w:r>
        <w:rPr>
          <w:rFonts w:ascii="Times New Roman" w:hAnsi="Times New Roman" w:cs="Times New Roman" w:eastAsia="Times New Roman" w:hint="default"/>
        </w:rPr>
        <w:t>2</w:t>
      </w:r>
      <w:r>
        <w:rPr/>
        <w:t>）内在公平性：在公司内部薪酬收入高低相对公平。</w:t>
      </w:r>
    </w:p>
    <w:p>
      <w:pPr>
        <w:pStyle w:val="BodyText"/>
        <w:spacing w:line="386" w:lineRule="auto" w:before="177"/>
        <w:ind w:left="574" w:right="3715"/>
        <w:jc w:val="left"/>
      </w:pPr>
      <w:r>
        <w:rPr/>
        <w:t>（</w:t>
      </w:r>
      <w:r>
        <w:rPr>
          <w:rFonts w:ascii="Times New Roman" w:hAnsi="Times New Roman" w:cs="Times New Roman" w:eastAsia="Times New Roman" w:hint="default"/>
        </w:rPr>
        <w:t>3</w:t>
      </w:r>
      <w:r>
        <w:rPr/>
        <w:t>）战略文化特性：结合企业发展战略实时优化调整公司的薪酬政策。 基于以上原则设计的薪酬结构包括：</w:t>
      </w:r>
    </w:p>
    <w:p>
      <w:pPr>
        <w:pStyle w:val="BodyText"/>
        <w:spacing w:line="398" w:lineRule="auto" w:before="65"/>
        <w:ind w:left="574" w:right="1113"/>
        <w:jc w:val="left"/>
      </w:pPr>
      <w:r>
        <w:rPr/>
        <w:t>（</w:t>
      </w:r>
      <w:r>
        <w:rPr>
          <w:rFonts w:ascii="Times New Roman" w:hAnsi="Times New Roman" w:cs="Times New Roman" w:eastAsia="Times New Roman" w:hint="default"/>
        </w:rPr>
        <w:t>1</w:t>
      </w:r>
      <w:r>
        <w:rPr/>
        <w:t>）固定薪酬和绩效薪酬： 固定薪酬：公司根据岗位价值、员工技能和资历，给予员工的固定收入； </w:t>
      </w:r>
      <w:r>
        <w:rPr>
          <w:spacing w:val="-1"/>
        </w:rPr>
        <w:t>绩效薪酬：员工完成或者超额完成本岗位考核周期内的任务指标，依据对应的绩效考核激励方案，公</w:t>
      </w:r>
    </w:p>
    <w:p>
      <w:pPr>
        <w:pStyle w:val="BodyText"/>
        <w:spacing w:line="240" w:lineRule="auto" w:before="54"/>
        <w:ind w:right="1113"/>
        <w:jc w:val="left"/>
      </w:pPr>
      <w:r>
        <w:rPr/>
        <w:t>司予以核算发放的绩效奖励。</w:t>
      </w:r>
    </w:p>
    <w:p>
      <w:pPr>
        <w:spacing w:line="240" w:lineRule="auto" w:before="10"/>
        <w:rPr>
          <w:rFonts w:ascii="宋体" w:hAnsi="宋体" w:cs="宋体" w:eastAsia="宋体" w:hint="default"/>
          <w:sz w:val="14"/>
          <w:szCs w:val="14"/>
        </w:rPr>
      </w:pPr>
    </w:p>
    <w:p>
      <w:pPr>
        <w:pStyle w:val="BodyText"/>
        <w:spacing w:line="386" w:lineRule="auto" w:before="0"/>
        <w:ind w:left="574" w:right="1113"/>
        <w:jc w:val="left"/>
      </w:pPr>
      <w:r>
        <w:rPr/>
        <w:t>（</w:t>
      </w:r>
      <w:r>
        <w:rPr>
          <w:rFonts w:ascii="Times New Roman" w:hAnsi="Times New Roman" w:cs="Times New Roman" w:eastAsia="Times New Roman" w:hint="default"/>
        </w:rPr>
        <w:t>2</w:t>
      </w:r>
      <w:r>
        <w:rPr/>
        <w:t>）短期激励和长期激励： </w:t>
      </w:r>
      <w:r>
        <w:rPr>
          <w:spacing w:val="-1"/>
        </w:rPr>
        <w:t>短期激励：基于项目阶段性成果、生产阶段性成果等设立的过程激励，公司实时核算、实时发放的激</w:t>
      </w:r>
    </w:p>
    <w:p>
      <w:pPr>
        <w:pStyle w:val="BodyText"/>
        <w:spacing w:line="240" w:lineRule="auto" w:before="65"/>
        <w:ind w:right="1113"/>
        <w:jc w:val="left"/>
      </w:pPr>
      <w:r>
        <w:rPr/>
        <w:t>励；</w:t>
      </w:r>
    </w:p>
    <w:p>
      <w:pPr>
        <w:spacing w:line="240" w:lineRule="auto" w:before="10"/>
        <w:rPr>
          <w:rFonts w:ascii="宋体" w:hAnsi="宋体" w:cs="宋体" w:eastAsia="宋体" w:hint="default"/>
          <w:sz w:val="14"/>
          <w:szCs w:val="14"/>
        </w:rPr>
      </w:pPr>
    </w:p>
    <w:p>
      <w:pPr>
        <w:pStyle w:val="BodyText"/>
        <w:spacing w:line="408" w:lineRule="auto" w:before="0"/>
        <w:ind w:right="1113" w:firstLine="420"/>
        <w:jc w:val="left"/>
      </w:pPr>
      <w:r>
        <w:rPr>
          <w:spacing w:val="-1"/>
        </w:rPr>
        <w:t>长期激励：认同公司文化，坚决跟随公司战略发展，愿意为之奋斗，愿意和公司成为命运共同体的优</w:t>
      </w:r>
      <w:r>
        <w:rPr/>
        <w:t> 秀员工，公司为其提供更大的发展空间，给予股票期权的激励。</w:t>
      </w:r>
    </w:p>
    <w:p>
      <w:pPr>
        <w:spacing w:after="0" w:line="408"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386" w:lineRule="auto" w:before="35"/>
        <w:ind w:left="574" w:right="1113"/>
        <w:jc w:val="left"/>
      </w:pPr>
      <w:r>
        <w:rPr/>
        <w:t>（</w:t>
      </w:r>
      <w:r>
        <w:rPr>
          <w:rFonts w:ascii="Times New Roman" w:hAnsi="Times New Roman" w:cs="Times New Roman" w:eastAsia="Times New Roman" w:hint="default"/>
        </w:rPr>
        <w:t>3</w:t>
      </w:r>
      <w:r>
        <w:rPr/>
        <w:t>）非经济薪酬和经济薪酬： </w:t>
      </w:r>
      <w:r>
        <w:rPr>
          <w:spacing w:val="-1"/>
        </w:rPr>
        <w:t>非经济薪酬：公司为员工提供了良好的办公环境、职级发展通道、培训、各种奖励等，以满足员工的</w:t>
      </w:r>
    </w:p>
    <w:p>
      <w:pPr>
        <w:pStyle w:val="BodyText"/>
        <w:spacing w:line="408" w:lineRule="auto" w:before="65"/>
        <w:ind w:left="574" w:right="1113" w:hanging="420"/>
        <w:jc w:val="left"/>
      </w:pPr>
      <w:r>
        <w:rPr/>
        <w:t>精神需要，都属于非经济薪酬； </w:t>
      </w:r>
      <w:r>
        <w:rPr>
          <w:spacing w:val="-1"/>
        </w:rPr>
        <w:t>经济薪酬：公司给予员工的固定薪酬、绩效薪酬、短期激励、长期激励、五险一金福利、体检、岗位</w:t>
      </w:r>
    </w:p>
    <w:p>
      <w:pPr>
        <w:pStyle w:val="BodyText"/>
        <w:spacing w:line="408" w:lineRule="auto"/>
        <w:ind w:left="574" w:right="1113" w:hanging="420"/>
        <w:jc w:val="left"/>
      </w:pPr>
      <w:r>
        <w:rPr/>
        <w:t>津贴、活动经费等，都属于经济薪酬。 </w:t>
      </w:r>
      <w:r>
        <w:rPr>
          <w:spacing w:val="-1"/>
        </w:rPr>
        <w:t>公司会针对不同的岗位类别设计有差异的薪酬结构，同时也会根据市场的变化、战略的发展，持续的</w:t>
      </w:r>
    </w:p>
    <w:p>
      <w:pPr>
        <w:pStyle w:val="BodyText"/>
        <w:spacing w:line="408" w:lineRule="auto"/>
        <w:ind w:right="1130"/>
        <w:jc w:val="both"/>
      </w:pPr>
      <w:r>
        <w:rPr>
          <w:spacing w:val="-1"/>
        </w:rPr>
        <w:t>调整优化薪酬政策，从而确保员工对薪酬系统的正确理解，积极配合组织的经营战略，促成组织和个人目</w:t>
      </w:r>
      <w:r>
        <w:rPr>
          <w:spacing w:val="-83"/>
        </w:rPr>
        <w:t> </w:t>
      </w:r>
      <w:r>
        <w:rPr>
          <w:spacing w:val="-83"/>
        </w:rPr>
      </w:r>
      <w:r>
        <w:rPr/>
        <w:t>标的实现。</w:t>
      </w:r>
    </w:p>
    <w:p>
      <w:pPr>
        <w:spacing w:line="240" w:lineRule="auto" w:before="8"/>
        <w:rPr>
          <w:rFonts w:ascii="宋体" w:hAnsi="宋体" w:cs="宋体" w:eastAsia="宋体" w:hint="default"/>
          <w:sz w:val="20"/>
          <w:szCs w:val="20"/>
        </w:rPr>
      </w:pPr>
    </w:p>
    <w:p>
      <w:pPr>
        <w:pStyle w:val="Heading3"/>
        <w:spacing w:line="240" w:lineRule="auto"/>
        <w:ind w:right="1113"/>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30"/>
          <w:szCs w:val="30"/>
        </w:rPr>
      </w:pPr>
    </w:p>
    <w:p>
      <w:pPr>
        <w:pStyle w:val="BodyText"/>
        <w:spacing w:line="403" w:lineRule="auto" w:before="0"/>
        <w:ind w:left="153" w:right="1108" w:firstLine="420"/>
        <w:jc w:val="both"/>
      </w:pPr>
      <w:r>
        <w:rPr>
          <w:rFonts w:ascii="Times New Roman" w:hAnsi="Times New Roman" w:cs="Times New Roman" w:eastAsia="Times New Roman" w:hint="default"/>
        </w:rPr>
        <w:t>2019</w:t>
      </w:r>
      <w:r>
        <w:rPr/>
        <w:t>年初，新开普商学院正式更名为新开普大学，旨在以管理智慧和实践经验，提升员工业务能力， </w:t>
      </w:r>
      <w:r>
        <w:rPr>
          <w:spacing w:val="-1"/>
        </w:rPr>
        <w:t>培养职业化经理人，发展卓越领导力，成为企业发展的助推器。新开普大学依据公司总体发展战略和人力</w:t>
      </w:r>
      <w:r>
        <w:rPr>
          <w:spacing w:val="-83"/>
        </w:rPr>
        <w:t> </w:t>
      </w:r>
      <w:r>
        <w:rPr>
          <w:spacing w:val="-83"/>
        </w:rPr>
      </w:r>
      <w:r>
        <w:rPr>
          <w:spacing w:val="-1"/>
        </w:rPr>
        <w:t>资源战略，推动和组织公司培训体系的建设；通过对各类员工和管理人员的培训和发展，支持公司的战略</w:t>
      </w:r>
      <w:r>
        <w:rPr>
          <w:spacing w:val="-83"/>
        </w:rPr>
        <w:t> </w:t>
      </w:r>
      <w:r>
        <w:rPr>
          <w:spacing w:val="-83"/>
        </w:rPr>
      </w:r>
      <w:r>
        <w:rPr>
          <w:spacing w:val="-1"/>
        </w:rPr>
        <w:t>实施、业务发展、文化传承和人力资本增值；对外配合公司业务发展和客户服务策略为客户和合作伙伴提</w:t>
      </w:r>
      <w:r>
        <w:rPr>
          <w:spacing w:val="-83"/>
        </w:rPr>
        <w:t> </w:t>
      </w:r>
      <w:r>
        <w:rPr>
          <w:spacing w:val="-83"/>
        </w:rPr>
      </w:r>
      <w:r>
        <w:rPr/>
        <w:t>供全面的技术和管理培训解决方案，提升客户满意度。</w:t>
      </w:r>
    </w:p>
    <w:p>
      <w:pPr>
        <w:pStyle w:val="BodyText"/>
        <w:spacing w:line="240" w:lineRule="auto" w:before="50"/>
        <w:ind w:left="573" w:right="993"/>
        <w:jc w:val="left"/>
      </w:pPr>
      <w:r>
        <w:rPr>
          <w:rFonts w:ascii="Times New Roman" w:hAnsi="Times New Roman" w:cs="Times New Roman" w:eastAsia="Times New Roman" w:hint="default"/>
        </w:rPr>
        <w:t>2019</w:t>
      </w:r>
      <w:r>
        <w:rPr/>
        <w:t>年度，新开普大学联合相关部门共组织各类培训</w:t>
      </w:r>
      <w:r>
        <w:rPr>
          <w:rFonts w:ascii="Times New Roman" w:hAnsi="Times New Roman" w:cs="Times New Roman" w:eastAsia="Times New Roman" w:hint="default"/>
        </w:rPr>
        <w:t>82</w:t>
      </w:r>
      <w:r>
        <w:rPr/>
        <w:t>场次，培训</w:t>
      </w:r>
      <w:r>
        <w:rPr>
          <w:rFonts w:ascii="Times New Roman" w:hAnsi="Times New Roman" w:cs="Times New Roman" w:eastAsia="Times New Roman" w:hint="default"/>
        </w:rPr>
        <w:t>256</w:t>
      </w:r>
      <w:r>
        <w:rPr/>
        <w:t>学时，参训人次</w:t>
      </w:r>
      <w:r>
        <w:rPr>
          <w:rFonts w:ascii="Times New Roman" w:hAnsi="Times New Roman" w:cs="Times New Roman" w:eastAsia="Times New Roman" w:hint="default"/>
        </w:rPr>
        <w:t>8057</w:t>
      </w:r>
      <w:r>
        <w:rPr/>
        <w:t>人/次。较</w:t>
      </w:r>
    </w:p>
    <w:p>
      <w:pPr>
        <w:pStyle w:val="BodyText"/>
        <w:spacing w:line="386" w:lineRule="auto" w:before="177"/>
        <w:ind w:left="573" w:right="1113" w:hanging="420"/>
        <w:jc w:val="left"/>
      </w:pPr>
      <w:r>
        <w:rPr>
          <w:rFonts w:ascii="Times New Roman" w:hAnsi="Times New Roman" w:cs="Times New Roman" w:eastAsia="Times New Roman" w:hint="default"/>
        </w:rPr>
        <w:t>2018</w:t>
      </w:r>
      <w:r>
        <w:rPr/>
        <w:t>年度，今年的培训工作重心主要体现在以下三方面： </w:t>
      </w:r>
      <w:r>
        <w:rPr>
          <w:spacing w:val="-1"/>
        </w:rPr>
        <w:t>第一，根据公司的战略和战略差距分析，更加深入业务执行战略项目。为更好地促进销售人员由关系</w:t>
      </w:r>
    </w:p>
    <w:p>
      <w:pPr>
        <w:pStyle w:val="BodyText"/>
        <w:spacing w:line="403" w:lineRule="auto" w:before="65"/>
        <w:ind w:left="153" w:right="1127"/>
        <w:jc w:val="both"/>
      </w:pPr>
      <w:r>
        <w:rPr/>
        <w:t>营销、利益营销向价值营销转型，联合各事业部及解决方案中心向办事处销售人员进行了创新产品/产品</w:t>
      </w:r>
      <w:r>
        <w:rPr>
          <w:spacing w:val="-34"/>
        </w:rPr>
        <w:t> </w:t>
      </w:r>
      <w:r>
        <w:rPr>
          <w:spacing w:val="-34"/>
        </w:rPr>
      </w:r>
      <w:r>
        <w:rPr>
          <w:spacing w:val="20"/>
        </w:rPr>
        <w:t>线的应</w:t>
      </w:r>
      <w:r>
        <w:rPr>
          <w:spacing w:val="-72"/>
        </w:rPr>
        <w:t> </w:t>
      </w:r>
      <w:r>
        <w:rPr>
          <w:spacing w:val="15"/>
        </w:rPr>
        <w:t>用解</w:t>
      </w:r>
      <w:r>
        <w:rPr>
          <w:spacing w:val="-72"/>
        </w:rPr>
        <w:t> </w:t>
      </w:r>
      <w:r>
        <w:rPr>
          <w:spacing w:val="20"/>
        </w:rPr>
        <w:t>决方案</w:t>
      </w:r>
      <w:r>
        <w:rPr>
          <w:spacing w:val="-72"/>
        </w:rPr>
        <w:t> </w:t>
      </w:r>
      <w:r>
        <w:rPr>
          <w:spacing w:val="15"/>
        </w:rPr>
        <w:t>系列</w:t>
      </w:r>
      <w:r>
        <w:rPr>
          <w:spacing w:val="-72"/>
        </w:rPr>
        <w:t> </w:t>
      </w:r>
      <w:r>
        <w:rPr>
          <w:spacing w:val="20"/>
        </w:rPr>
        <w:t>培训，</w:t>
      </w:r>
      <w:r>
        <w:rPr>
          <w:spacing w:val="-72"/>
        </w:rPr>
        <w:t> </w:t>
      </w:r>
      <w:r>
        <w:rPr>
          <w:spacing w:val="15"/>
        </w:rPr>
        <w:t>将业</w:t>
      </w:r>
      <w:r>
        <w:rPr>
          <w:spacing w:val="-72"/>
        </w:rPr>
        <w:t> </w:t>
      </w:r>
      <w:r>
        <w:rPr>
          <w:spacing w:val="20"/>
        </w:rPr>
        <w:t>务部门</w:t>
      </w:r>
      <w:r>
        <w:rPr>
          <w:spacing w:val="-72"/>
        </w:rPr>
        <w:t> </w:t>
      </w:r>
      <w:r>
        <w:rPr>
          <w:spacing w:val="15"/>
        </w:rPr>
        <w:t>的“</w:t>
      </w:r>
      <w:r>
        <w:rPr>
          <w:spacing w:val="-72"/>
        </w:rPr>
        <w:t> </w:t>
      </w:r>
      <w:r>
        <w:rPr>
          <w:spacing w:val="20"/>
        </w:rPr>
        <w:t>弹药”</w:t>
      </w:r>
      <w:r>
        <w:rPr>
          <w:spacing w:val="-72"/>
        </w:rPr>
        <w:t> </w:t>
      </w:r>
      <w:r>
        <w:rPr>
          <w:spacing w:val="15"/>
        </w:rPr>
        <w:t>直接</w:t>
      </w:r>
      <w:r>
        <w:rPr>
          <w:spacing w:val="-72"/>
        </w:rPr>
        <w:t> </w:t>
      </w:r>
      <w:r>
        <w:rPr>
          <w:spacing w:val="20"/>
        </w:rPr>
        <w:t>的传递</w:t>
      </w:r>
      <w:r>
        <w:rPr>
          <w:spacing w:val="-72"/>
        </w:rPr>
        <w:t> </w:t>
      </w:r>
      <w:r>
        <w:rPr>
          <w:spacing w:val="15"/>
        </w:rPr>
        <w:t>给了</w:t>
      </w:r>
      <w:r>
        <w:rPr>
          <w:spacing w:val="-72"/>
        </w:rPr>
        <w:t> </w:t>
      </w:r>
      <w:r>
        <w:rPr>
          <w:spacing w:val="20"/>
        </w:rPr>
        <w:t>一线销</w:t>
      </w:r>
      <w:r>
        <w:rPr>
          <w:spacing w:val="-72"/>
        </w:rPr>
        <w:t> </w:t>
      </w:r>
      <w:r>
        <w:rPr>
          <w:spacing w:val="15"/>
        </w:rPr>
        <w:t>售人</w:t>
      </w:r>
      <w:r>
        <w:rPr>
          <w:spacing w:val="-72"/>
        </w:rPr>
        <w:t> </w:t>
      </w:r>
      <w:r>
        <w:rPr>
          <w:spacing w:val="20"/>
        </w:rPr>
        <w:t>员；为</w:t>
      </w:r>
      <w:r>
        <w:rPr>
          <w:spacing w:val="-72"/>
        </w:rPr>
        <w:t> </w:t>
      </w:r>
      <w:r>
        <w:rPr/>
        <w:t>培</w:t>
      </w:r>
      <w:r>
        <w:rPr>
          <w:spacing w:val="-72"/>
        </w:rPr>
        <w:t> </w:t>
      </w:r>
      <w:r>
        <w:rPr/>
        <w:t>养</w:t>
      </w:r>
      <w:r>
        <w:rPr/>
        <w:t> </w:t>
      </w:r>
      <w:r>
        <w:rPr>
          <w:spacing w:val="-2"/>
        </w:rPr>
        <w:t>Go/Node</w:t>
      </w:r>
      <w:r>
        <w:rPr>
          <w:rFonts w:ascii="Times New Roman" w:hAnsi="Times New Roman" w:cs="Times New Roman" w:eastAsia="Times New Roman" w:hint="default"/>
          <w:spacing w:val="-2"/>
        </w:rPr>
        <w:t>.</w:t>
      </w:r>
      <w:r>
        <w:rPr>
          <w:spacing w:val="-2"/>
        </w:rPr>
        <w:t>js/Docker/K</w:t>
      </w:r>
      <w:r>
        <w:rPr>
          <w:rFonts w:ascii="Times New Roman" w:hAnsi="Times New Roman" w:cs="Times New Roman" w:eastAsia="Times New Roman" w:hint="default"/>
          <w:spacing w:val="-2"/>
        </w:rPr>
        <w:t>8</w:t>
      </w:r>
      <w:r>
        <w:rPr>
          <w:spacing w:val="-2"/>
        </w:rPr>
        <w:t>S新兴开发语言的技术能力，联合软件研发部门组织了内部学习培训项目，通过三个</w:t>
      </w:r>
      <w:r>
        <w:rPr>
          <w:spacing w:val="-79"/>
        </w:rPr>
        <w:t> </w:t>
      </w:r>
      <w:r>
        <w:rPr>
          <w:spacing w:val="-79"/>
        </w:rPr>
      </w:r>
      <w:r>
        <w:rPr>
          <w:spacing w:val="-1"/>
        </w:rPr>
        <w:t>阶段的学习与实战训练，输出了由新语言架构搭建编写完成的项目案例；为富有业务技术能力和成长愿望</w:t>
      </w:r>
      <w:r>
        <w:rPr>
          <w:spacing w:val="-81"/>
        </w:rPr>
        <w:t> </w:t>
      </w:r>
      <w:r>
        <w:rPr>
          <w:spacing w:val="-81"/>
        </w:rPr>
      </w:r>
      <w:r>
        <w:rPr>
          <w:spacing w:val="-1"/>
        </w:rPr>
        <w:t>的客服工程师员工提供职业成长的平台和平等竞争的机会，联合客服、研发相关部分组织了客服技术精英</w:t>
      </w:r>
      <w:r>
        <w:rPr>
          <w:spacing w:val="-81"/>
        </w:rPr>
        <w:t> </w:t>
      </w:r>
      <w:r>
        <w:rPr>
          <w:spacing w:val="-81"/>
        </w:rPr>
      </w:r>
      <w:r>
        <w:rPr/>
        <w:t>训练营项目，通过三个阶段的学习与考核训练，评估出了具备技术高工潜力的储备人才。</w:t>
      </w:r>
    </w:p>
    <w:p>
      <w:pPr>
        <w:pStyle w:val="BodyText"/>
        <w:spacing w:line="408" w:lineRule="auto" w:before="50"/>
        <w:ind w:left="153" w:right="1128" w:firstLine="420"/>
        <w:jc w:val="both"/>
      </w:pPr>
      <w:r>
        <w:rPr>
          <w:spacing w:val="-1"/>
        </w:rPr>
        <w:t>第二，建设优化了相关体系内容。通过钉钉“云课堂”搭建了E-learning平台，主要满足线上课程资</w:t>
      </w:r>
      <w:r>
        <w:rPr/>
        <w:t> </w:t>
      </w:r>
      <w:r>
        <w:rPr>
          <w:spacing w:val="-1"/>
        </w:rPr>
        <w:t>源、考核发布评估、知识库（知识萃取、沉淀、共享）等需求。创建了萌新报道、业务修炼和知识广场三</w:t>
      </w:r>
      <w:r>
        <w:rPr>
          <w:spacing w:val="-85"/>
        </w:rPr>
        <w:t> </w:t>
      </w:r>
      <w:r>
        <w:rPr>
          <w:spacing w:val="-85"/>
        </w:rPr>
      </w:r>
      <w:r>
        <w:rPr>
          <w:spacing w:val="-1"/>
        </w:rPr>
        <w:t>大板块，其中萌新报道是新员工的培训内容，通识类课程是将企业认知、人力资源、行政管理、企业文化</w:t>
      </w:r>
      <w:r>
        <w:rPr>
          <w:spacing w:val="-83"/>
        </w:rPr>
        <w:t> </w:t>
      </w:r>
      <w:r>
        <w:rPr>
          <w:spacing w:val="-83"/>
        </w:rPr>
      </w:r>
      <w:r>
        <w:rPr>
          <w:spacing w:val="-1"/>
        </w:rPr>
        <w:t>等基础课程转化制作的微课，每周及时向新入职员工线上推送学习和考核任务，另外还有研发、客服、销</w:t>
      </w:r>
      <w:r>
        <w:rPr>
          <w:spacing w:val="-82"/>
        </w:rPr>
        <w:t> </w:t>
      </w:r>
      <w:r>
        <w:rPr>
          <w:spacing w:val="-82"/>
        </w:rPr>
      </w:r>
      <w:r>
        <w:rPr/>
        <w:t>售类岗位需要推送学习和考核的相关业务知识内容。</w:t>
      </w:r>
    </w:p>
    <w:p>
      <w:pPr>
        <w:pStyle w:val="BodyText"/>
        <w:spacing w:line="240" w:lineRule="auto"/>
        <w:ind w:left="573" w:right="993"/>
        <w:jc w:val="left"/>
      </w:pPr>
      <w:r>
        <w:rPr/>
        <w:t>第三，推动发布了企业文化。企业文化是企业的信仰与价值观，是保持企业持续健康发展的动力。公</w:t>
      </w:r>
    </w:p>
    <w:p>
      <w:pPr>
        <w:spacing w:after="0" w:line="240"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391" w:lineRule="auto" w:before="35"/>
        <w:ind w:left="153" w:right="993"/>
        <w:jc w:val="left"/>
      </w:pPr>
      <w:r>
        <w:rPr>
          <w:spacing w:val="-3"/>
        </w:rPr>
        <w:t>司在</w:t>
      </w:r>
      <w:r>
        <w:rPr>
          <w:rFonts w:ascii="Times New Roman" w:hAnsi="Times New Roman" w:cs="Times New Roman" w:eastAsia="Times New Roman" w:hint="default"/>
          <w:spacing w:val="-3"/>
        </w:rPr>
        <w:t>20</w:t>
      </w:r>
      <w:r>
        <w:rPr>
          <w:spacing w:val="-3"/>
        </w:rPr>
        <w:t>年来艰苦卓绝的发展过程中，无论面临着什么样的艰难险阻，总是秉持着伟大的梦想、卓越的追求、</w:t>
      </w:r>
      <w:r>
        <w:rPr>
          <w:spacing w:val="-89"/>
        </w:rPr>
        <w:t> </w:t>
      </w:r>
      <w:r>
        <w:rPr>
          <w:spacing w:val="-89"/>
        </w:rPr>
      </w:r>
      <w:r>
        <w:rPr/>
        <w:t>顽强的拼搏、执着的坚守，实现了不断地突破与生存！自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月起，通过意见征集、优秀企业文化鉴</w:t>
      </w:r>
      <w:r>
        <w:rPr>
          <w:spacing w:val="-35"/>
        </w:rPr>
        <w:t> </w:t>
      </w:r>
      <w:r>
        <w:rPr>
          <w:spacing w:val="-35"/>
        </w:rPr>
      </w:r>
      <w:r>
        <w:rPr>
          <w:spacing w:val="-1"/>
        </w:rPr>
        <w:t>赏、多次正式/非正式讨论会议等，逐步完善了公司的文化理念体系，确定了公司的使命、愿景、价值观。</w:t>
      </w:r>
      <w:r>
        <w:rPr>
          <w:spacing w:val="-84"/>
        </w:rPr>
        <w:t> </w:t>
      </w:r>
      <w:r>
        <w:rPr>
          <w:spacing w:val="-84"/>
        </w:rPr>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月，通过企业文化宣传视频、董事长兼总经理杨维国先生宣贯企业文化、企业文化宣传歌曲三 个环节，完成了企业文化的全集团发布和宣贯学习。</w:t>
      </w:r>
    </w:p>
    <w:p>
      <w:pPr>
        <w:pStyle w:val="BodyText"/>
        <w:spacing w:line="408" w:lineRule="auto" w:before="61"/>
        <w:ind w:left="153" w:right="1091" w:firstLine="420"/>
        <w:jc w:val="left"/>
      </w:pPr>
      <w:r>
        <w:rPr/>
        <w:t>通过全年度的培训工作，我们期望：基于问题和需求，面向绩效和目标建立学习活动链，点燃激情、 促进改变，持续提升业绩，打造积极热情、合作分享、持续创新、追求卓越的学习型组织。</w:t>
      </w:r>
    </w:p>
    <w:p>
      <w:pPr>
        <w:spacing w:line="240" w:lineRule="auto" w:before="8"/>
        <w:rPr>
          <w:rFonts w:ascii="宋体" w:hAnsi="宋体" w:cs="宋体" w:eastAsia="宋体" w:hint="default"/>
          <w:sz w:val="20"/>
          <w:szCs w:val="20"/>
        </w:rPr>
      </w:pPr>
    </w:p>
    <w:p>
      <w:pPr>
        <w:pStyle w:val="Heading3"/>
        <w:spacing w:line="240" w:lineRule="auto"/>
        <w:ind w:left="153" w:right="1113"/>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322"/>
        <w:jc w:val="center"/>
        <w:rPr>
          <w:b w:val="0"/>
          <w:bCs w:val="0"/>
        </w:rPr>
      </w:pPr>
      <w:bookmarkStart w:name="_TOC_250003" w:id="10"/>
      <w:r>
        <w:rPr/>
        <w:t>第十节公司治理</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13"/>
        <w:jc w:val="left"/>
        <w:rPr>
          <w:b w:val="0"/>
          <w:bCs w:val="0"/>
        </w:rPr>
      </w:pPr>
      <w:r>
        <w:rPr/>
        <w:t>一、公司治理的基本状况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131" w:firstLine="420"/>
        <w:jc w:val="both"/>
      </w:pPr>
      <w:r>
        <w:rPr>
          <w:spacing w:val="-1"/>
        </w:rPr>
        <w:t>报告期内，公司严格按照《公司法》《证券法》《上市公司治理准则》《深圳证券交易所创业板股票</w:t>
      </w:r>
      <w:r>
        <w:rPr/>
        <w:t> </w:t>
      </w:r>
      <w:r>
        <w:rPr>
          <w:spacing w:val="-1"/>
        </w:rPr>
        <w:t>上市规则》《创业板上市公司规范运作指引》《上市公司章程指引》和其他有关法律法规的要求，不断完</w:t>
      </w:r>
      <w:r>
        <w:rPr>
          <w:spacing w:val="-83"/>
        </w:rPr>
        <w:t> </w:t>
      </w:r>
      <w:r>
        <w:rPr>
          <w:spacing w:val="-83"/>
        </w:rPr>
      </w:r>
      <w:r>
        <w:rPr>
          <w:spacing w:val="-1"/>
        </w:rPr>
        <w:t>善公司法人治理结构，建立健全公司内部管理和控制制度，进一步规范公司运作，提升公司的规范化和透</w:t>
      </w:r>
      <w:r>
        <w:rPr>
          <w:spacing w:val="-83"/>
        </w:rPr>
        <w:t> </w:t>
      </w:r>
      <w:r>
        <w:rPr>
          <w:spacing w:val="-83"/>
        </w:rPr>
      </w:r>
      <w:r>
        <w:rPr>
          <w:spacing w:val="-1"/>
        </w:rPr>
        <w:t>明度，努力做好信息披露工作及投资者关系管理，不断提高公司治理水平。截止报告期末，公司治理结构</w:t>
      </w:r>
      <w:r>
        <w:rPr>
          <w:spacing w:val="-82"/>
        </w:rPr>
        <w:t> </w:t>
      </w:r>
      <w:r>
        <w:rPr>
          <w:spacing w:val="-82"/>
        </w:rPr>
      </w:r>
      <w:r>
        <w:rPr/>
        <w:t>的实际情况符合中国证监会发布的有关上市公司治理的规范性文件的要求。</w:t>
      </w:r>
    </w:p>
    <w:p>
      <w:pPr>
        <w:pStyle w:val="BodyText"/>
        <w:spacing w:line="408" w:lineRule="auto"/>
        <w:ind w:left="574" w:right="1090"/>
        <w:jc w:val="left"/>
      </w:pPr>
      <w:r>
        <w:rPr/>
        <w:t>（一）独立性 公司自成立以来严格按照《公司法》《证券法》等有关法律、法规和《公司章程》的要求规范运作，</w:t>
      </w:r>
    </w:p>
    <w:p>
      <w:pPr>
        <w:pStyle w:val="BodyText"/>
        <w:spacing w:line="408" w:lineRule="auto"/>
        <w:ind w:right="1113"/>
        <w:jc w:val="left"/>
      </w:pPr>
      <w:r>
        <w:rPr>
          <w:spacing w:val="-1"/>
        </w:rPr>
        <w:t>在业务、资产、人员、机构和财务等方面与公司股东相互独立，拥有独立完整的采购、生产、销售、研发</w:t>
      </w:r>
      <w:r>
        <w:rPr>
          <w:spacing w:val="-85"/>
        </w:rPr>
        <w:t> </w:t>
      </w:r>
      <w:r>
        <w:rPr>
          <w:spacing w:val="-85"/>
        </w:rPr>
      </w:r>
      <w:r>
        <w:rPr/>
        <w:t>系统，具备面向市场自主经营的能力。</w:t>
      </w:r>
    </w:p>
    <w:p>
      <w:pPr>
        <w:pStyle w:val="BodyText"/>
        <w:spacing w:line="400" w:lineRule="auto"/>
        <w:ind w:right="1108" w:firstLine="420"/>
        <w:jc w:val="both"/>
      </w:pPr>
      <w:r>
        <w:rPr>
          <w:rFonts w:ascii="Times New Roman" w:hAnsi="Times New Roman" w:cs="Times New Roman" w:eastAsia="Times New Roman" w:hint="default"/>
        </w:rPr>
        <w:t>1</w:t>
      </w:r>
      <w:r>
        <w:rPr/>
        <w:t>、公司的人员独立。公司的董事、监事均严格按照《公司法》《公司章程》的有关规定产生，履行</w:t>
      </w:r>
      <w:r>
        <w:rPr>
          <w:spacing w:val="2"/>
        </w:rPr>
        <w:t> </w:t>
      </w:r>
      <w:r>
        <w:rPr/>
        <w:t>了合法程序；公司的总经理、副总经理、董事会秘书、财务总监、核心技术人员等人员专职在公司工作，</w:t>
      </w:r>
      <w:r>
        <w:rPr/>
        <w:t> </w:t>
      </w:r>
      <w:r>
        <w:rPr>
          <w:spacing w:val="-1"/>
        </w:rPr>
        <w:t>并在公司领取薪酬。公司已建立独立的劳动、人事、社会保障体系及工资管理体系，与员工签订了劳动合</w:t>
      </w:r>
      <w:r>
        <w:rPr>
          <w:spacing w:val="-82"/>
        </w:rPr>
        <w:t> </w:t>
      </w:r>
      <w:r>
        <w:rPr>
          <w:spacing w:val="-82"/>
        </w:rPr>
      </w:r>
      <w:r>
        <w:rPr/>
        <w:t>同，并按国家规定办理了社会保险。</w:t>
      </w:r>
    </w:p>
    <w:p>
      <w:pPr>
        <w:pStyle w:val="BodyText"/>
        <w:spacing w:line="398" w:lineRule="auto" w:before="52"/>
        <w:ind w:right="1108" w:firstLine="420"/>
        <w:jc w:val="both"/>
      </w:pPr>
      <w:r>
        <w:rPr>
          <w:rFonts w:ascii="Times New Roman" w:hAnsi="Times New Roman" w:cs="Times New Roman" w:eastAsia="Times New Roman" w:hint="default"/>
        </w:rPr>
        <w:t>2</w:t>
      </w:r>
      <w:r>
        <w:rPr/>
        <w:t>、公司的资产独立完整、权属清晰。公司具备与生产经营有关的生产系统、辅助生产系统和配套设</w:t>
      </w:r>
      <w:r>
        <w:rPr>
          <w:spacing w:val="2"/>
        </w:rPr>
        <w:t> </w:t>
      </w:r>
      <w:r>
        <w:rPr/>
        <w:t>施，合法拥有与生产经营有关的土地、厂房、机器设备以及商标、专利、非专利技术的所有权和使用权，</w:t>
      </w:r>
      <w:r>
        <w:rPr/>
        <w:t> 具有独立的原料采购和产品销售系统，与发起人及其他关联方间资产相互独立，其资产具有完整性。</w:t>
      </w:r>
    </w:p>
    <w:p>
      <w:pPr>
        <w:pStyle w:val="BodyText"/>
        <w:spacing w:line="398" w:lineRule="auto" w:before="54"/>
        <w:ind w:right="1127" w:firstLine="420"/>
        <w:jc w:val="both"/>
      </w:pPr>
      <w:r>
        <w:rPr>
          <w:rFonts w:ascii="Times New Roman" w:hAnsi="Times New Roman" w:cs="Times New Roman" w:eastAsia="Times New Roman" w:hint="default"/>
        </w:rPr>
        <w:t>3</w:t>
      </w:r>
      <w:r>
        <w:rPr/>
        <w:t>、公司财务独立。公司有独立的财务部门，建立了独立的会计核算体系和财务管理制度；配备了专</w:t>
      </w:r>
      <w:r>
        <w:rPr>
          <w:spacing w:val="2"/>
        </w:rPr>
        <w:t> </w:t>
      </w:r>
      <w:r>
        <w:rPr>
          <w:spacing w:val="-1"/>
        </w:rPr>
        <w:t>职的财务会计人员，独立进行会计核算和财务决策。公司开设有独立的银行帐号，公司并依法独立进行纳</w:t>
      </w:r>
      <w:r>
        <w:rPr>
          <w:spacing w:val="-83"/>
        </w:rPr>
        <w:t> </w:t>
      </w:r>
      <w:r>
        <w:rPr>
          <w:spacing w:val="-83"/>
        </w:rPr>
      </w:r>
      <w:r>
        <w:rPr/>
        <w:t>税申报和履行纳税义务。</w:t>
      </w:r>
    </w:p>
    <w:p>
      <w:pPr>
        <w:pStyle w:val="BodyText"/>
        <w:spacing w:line="240" w:lineRule="auto" w:before="54"/>
        <w:ind w:left="574" w:right="0"/>
        <w:jc w:val="left"/>
      </w:pPr>
      <w:r>
        <w:rPr>
          <w:rFonts w:ascii="Times New Roman" w:hAnsi="Times New Roman" w:cs="Times New Roman" w:eastAsia="Times New Roman" w:hint="default"/>
        </w:rPr>
        <w:t>4</w:t>
      </w:r>
      <w:r>
        <w:rPr/>
        <w:t>、公司建立健全了独立的股东大会、董事会、监事会、经理的法人治理结构。并严格按照《公司法》</w:t>
      </w:r>
    </w:p>
    <w:p>
      <w:pPr>
        <w:pStyle w:val="BodyText"/>
        <w:spacing w:line="408" w:lineRule="auto" w:before="177"/>
        <w:ind w:right="1113"/>
        <w:jc w:val="left"/>
      </w:pPr>
      <w:r>
        <w:rPr>
          <w:spacing w:val="-1"/>
        </w:rPr>
        <w:t>《公司章程》的规定履行各自的职责；建立了独立的、适应自身发展需要的组织结构，制定了完善的岗位</w:t>
      </w:r>
      <w:r>
        <w:rPr>
          <w:spacing w:val="-82"/>
        </w:rPr>
        <w:t> </w:t>
      </w:r>
      <w:r>
        <w:rPr>
          <w:spacing w:val="-82"/>
        </w:rPr>
      </w:r>
      <w:r>
        <w:rPr/>
        <w:t>职责和管理制度，各部门按照规定的职责独立运作。</w:t>
      </w:r>
    </w:p>
    <w:p>
      <w:pPr>
        <w:pStyle w:val="BodyText"/>
        <w:spacing w:line="398" w:lineRule="auto"/>
        <w:ind w:right="1108" w:firstLine="420"/>
        <w:jc w:val="both"/>
      </w:pPr>
      <w:r>
        <w:rPr>
          <w:rFonts w:ascii="Times New Roman" w:hAnsi="Times New Roman" w:cs="Times New Roman" w:eastAsia="Times New Roman" w:hint="default"/>
        </w:rPr>
        <w:t>5</w:t>
      </w:r>
      <w:r>
        <w:rPr/>
        <w:t>、公司业务独立。公司具备独立、完整的产供销系统，拥有独立的决策和执行机构，并拥有独立的</w:t>
      </w:r>
      <w:r>
        <w:rPr>
          <w:spacing w:val="2"/>
        </w:rPr>
        <w:t> </w:t>
      </w:r>
      <w:r>
        <w:rPr/>
        <w:t>业务系统；独立地对外签署合同，独立采购、生产并销售其生产的产品；具有面向市场的自主经营能力；</w:t>
      </w:r>
      <w:r>
        <w:rPr/>
        <w:t> 公司股东及其控制的其他企业没有从事与公司相同或相近的业务。</w:t>
      </w:r>
    </w:p>
    <w:p>
      <w:pPr>
        <w:spacing w:after="0" w:line="398" w:lineRule="auto"/>
        <w:jc w:val="both"/>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left="574" w:right="1113"/>
        <w:jc w:val="left"/>
      </w:pPr>
      <w:r>
        <w:rPr/>
        <w:t>（二）股东与股东大会 </w:t>
      </w:r>
      <w:r>
        <w:rPr>
          <w:spacing w:val="-1"/>
        </w:rPr>
        <w:t>公司严格按照《创业板上市公司规范运作指引》《上市公司股东大会规则》《公司章程》《公司股东</w:t>
      </w:r>
    </w:p>
    <w:p>
      <w:pPr>
        <w:pStyle w:val="BodyText"/>
        <w:spacing w:line="408" w:lineRule="auto"/>
        <w:ind w:right="1129"/>
        <w:jc w:val="both"/>
      </w:pPr>
      <w:r>
        <w:rPr>
          <w:spacing w:val="-1"/>
        </w:rPr>
        <w:t>大会议事规则》等规定的要求，召集、召开股东大会，平等对待所有股东，特别是保证中小股东享有平等</w:t>
      </w:r>
      <w:r>
        <w:rPr>
          <w:spacing w:val="-83"/>
        </w:rPr>
        <w:t> </w:t>
      </w:r>
      <w:r>
        <w:rPr>
          <w:spacing w:val="-83"/>
        </w:rPr>
      </w:r>
      <w:r>
        <w:rPr>
          <w:spacing w:val="-1"/>
        </w:rPr>
        <w:t>地位，并尽可能为股东参加股东大会提供便利，使其充分行使自己的权利。在《公司章程》《股东大会议</w:t>
      </w:r>
      <w:r>
        <w:rPr>
          <w:spacing w:val="-83"/>
        </w:rPr>
        <w:t> </w:t>
      </w:r>
      <w:r>
        <w:rPr>
          <w:spacing w:val="-83"/>
        </w:rPr>
      </w:r>
      <w:r>
        <w:rPr>
          <w:spacing w:val="-1"/>
        </w:rPr>
        <w:t>事规则》中明确规定了股东大会的召集、召开及表决程序、股东的参会资格和对董事会的授权原则等，董</w:t>
      </w:r>
      <w:r>
        <w:rPr>
          <w:spacing w:val="-82"/>
        </w:rPr>
        <w:t> </w:t>
      </w:r>
      <w:r>
        <w:rPr>
          <w:spacing w:val="-82"/>
        </w:rPr>
      </w:r>
      <w:r>
        <w:rPr/>
        <w:t>事会在报告期内做到认真审议并安排股东大会的审议事项等。</w:t>
      </w:r>
    </w:p>
    <w:p>
      <w:pPr>
        <w:pStyle w:val="BodyText"/>
        <w:spacing w:line="408" w:lineRule="auto"/>
        <w:ind w:left="574" w:right="1090"/>
        <w:jc w:val="left"/>
      </w:pPr>
      <w:r>
        <w:rPr/>
        <w:t>（三）公司与控股股东 公司控股股东严格按照《上市公司治理准则》《深圳证券交易所创业板股票上市规则》《公司章程》</w:t>
      </w:r>
    </w:p>
    <w:p>
      <w:pPr>
        <w:pStyle w:val="BodyText"/>
        <w:spacing w:line="408" w:lineRule="auto"/>
        <w:ind w:right="1021"/>
        <w:jc w:val="left"/>
      </w:pPr>
      <w:r>
        <w:rPr/>
        <w:t>规范自己的行为，通过股东大会依法行使出资人的权利，没有采取任何其他方式直接或间接地干预公司的 </w:t>
      </w:r>
      <w:r>
        <w:rPr>
          <w:spacing w:val="-3"/>
        </w:rPr>
        <w:t>决策及依法开展的生产经营活动，没有损害公司及其他股东的利益；公司与控股股东在业务、人员、资产、</w:t>
      </w:r>
      <w:r>
        <w:rPr>
          <w:spacing w:val="-96"/>
        </w:rPr>
        <w:t> </w:t>
      </w:r>
      <w:r>
        <w:rPr>
          <w:spacing w:val="-96"/>
        </w:rPr>
      </w:r>
      <w:r>
        <w:rPr/>
        <w:t>机构和财务方面做到相互独立；公司的重大决策能按照规范的程序由股东大会和董事会作出。控股股东与</w:t>
      </w:r>
      <w:r>
        <w:rPr/>
        <w:t> 公司之间无关联交易，公司没有为控股股东及其下属企业提供担保。</w:t>
      </w:r>
    </w:p>
    <w:p>
      <w:pPr>
        <w:pStyle w:val="BodyText"/>
        <w:spacing w:line="408" w:lineRule="auto"/>
        <w:ind w:left="574" w:right="1113"/>
        <w:jc w:val="left"/>
      </w:pPr>
      <w:r>
        <w:rPr/>
        <w:t>（四）董事与董事会 </w:t>
      </w:r>
      <w:r>
        <w:rPr>
          <w:spacing w:val="-1"/>
        </w:rPr>
        <w:t>公司在《公司章程》《董事会议事规则》中规定规范、透明的董事选聘程序，并严格执行。公司董事</w:t>
      </w:r>
    </w:p>
    <w:p>
      <w:pPr>
        <w:pStyle w:val="BodyText"/>
        <w:spacing w:line="403" w:lineRule="auto"/>
        <w:ind w:right="1108"/>
        <w:jc w:val="both"/>
      </w:pPr>
      <w:r>
        <w:rPr>
          <w:spacing w:val="-1"/>
        </w:rPr>
        <w:t>会设董事</w:t>
      </w:r>
      <w:r>
        <w:rPr>
          <w:rFonts w:ascii="Times New Roman" w:hAnsi="Times New Roman" w:cs="Times New Roman" w:eastAsia="Times New Roman" w:hint="default"/>
          <w:spacing w:val="-1"/>
        </w:rPr>
        <w:t>9</w:t>
      </w:r>
      <w:r>
        <w:rPr>
          <w:spacing w:val="-1"/>
        </w:rPr>
        <w:t>名，其中独立董事</w:t>
      </w:r>
      <w:r>
        <w:rPr>
          <w:rFonts w:ascii="Times New Roman" w:hAnsi="Times New Roman" w:cs="Times New Roman" w:eastAsia="Times New Roman" w:hint="default"/>
          <w:spacing w:val="-1"/>
        </w:rPr>
        <w:t>4</w:t>
      </w:r>
      <w:r>
        <w:rPr>
          <w:spacing w:val="-1"/>
        </w:rPr>
        <w:t>名，董事会的人数及人员构成符合法律、法规和《公司章程》的要求。各位</w:t>
      </w:r>
      <w:r>
        <w:rPr>
          <w:spacing w:val="-87"/>
        </w:rPr>
        <w:t> </w:t>
      </w:r>
      <w:r>
        <w:rPr>
          <w:spacing w:val="-87"/>
        </w:rPr>
      </w:r>
      <w:r>
        <w:rPr>
          <w:spacing w:val="-1"/>
        </w:rPr>
        <w:t>董事能够依据《公司法》《创业板上市公司规范运作指引》《公司章程》《董事会议事规则》等相关法律</w:t>
      </w:r>
      <w:r>
        <w:rPr>
          <w:spacing w:val="-86"/>
        </w:rPr>
        <w:t> </w:t>
      </w:r>
      <w:r>
        <w:rPr>
          <w:spacing w:val="-86"/>
        </w:rPr>
      </w:r>
      <w:r>
        <w:rPr>
          <w:spacing w:val="-1"/>
        </w:rPr>
        <w:t>法规制度开展工作，按时参加会议，勤勉尽责地履行职责和义务，同时积极参加相关培训，熟悉相关法律</w:t>
      </w:r>
      <w:r>
        <w:rPr>
          <w:spacing w:val="-82"/>
        </w:rPr>
        <w:t> </w:t>
      </w:r>
      <w:r>
        <w:rPr>
          <w:spacing w:val="-82"/>
        </w:rPr>
      </w:r>
      <w:r>
        <w:rPr/>
        <w:t>法规。独立董事能够不受公司主要股东、实际控制人以及其他与公司存在利害关系的单位或个人的影响， 独立履行职责，对公司的重大事项均能发表独立意见。</w:t>
      </w:r>
    </w:p>
    <w:p>
      <w:pPr>
        <w:pStyle w:val="BodyText"/>
        <w:spacing w:line="408" w:lineRule="auto" w:before="50"/>
        <w:ind w:left="574" w:right="1113"/>
        <w:jc w:val="left"/>
      </w:pPr>
      <w:r>
        <w:rPr/>
        <w:t>（五）监事与监事会 </w:t>
      </w:r>
      <w:r>
        <w:rPr>
          <w:spacing w:val="-1"/>
        </w:rPr>
        <w:t>公司监事会严格按照《公司法》《公司章程》和《监事会议事规则》的有关规定，认真履行职责，对</w:t>
      </w:r>
    </w:p>
    <w:p>
      <w:pPr>
        <w:pStyle w:val="BodyText"/>
        <w:spacing w:line="400" w:lineRule="auto"/>
        <w:ind w:left="153" w:right="1130"/>
        <w:jc w:val="both"/>
      </w:pPr>
      <w:r>
        <w:rPr>
          <w:spacing w:val="-1"/>
        </w:rPr>
        <w:t>公司财务状况、重大事项以及公司董事、经理和其他高级管理人员履行职责的合法合规性进行监督，维护</w:t>
      </w:r>
      <w:r>
        <w:rPr>
          <w:spacing w:val="-83"/>
        </w:rPr>
        <w:t> </w:t>
      </w:r>
      <w:r>
        <w:rPr>
          <w:spacing w:val="-83"/>
        </w:rPr>
      </w:r>
      <w:r>
        <w:rPr>
          <w:spacing w:val="-1"/>
        </w:rPr>
        <w:t>公司及股东的合法权益。公司监事会设监事</w:t>
      </w:r>
      <w:r>
        <w:rPr>
          <w:rFonts w:ascii="Times New Roman" w:hAnsi="Times New Roman" w:cs="Times New Roman" w:eastAsia="Times New Roman" w:hint="default"/>
          <w:spacing w:val="-1"/>
        </w:rPr>
        <w:t>3</w:t>
      </w:r>
      <w:r>
        <w:rPr>
          <w:spacing w:val="-1"/>
        </w:rPr>
        <w:t>名，其中职工代表监事</w:t>
      </w:r>
      <w:r>
        <w:rPr>
          <w:rFonts w:ascii="Times New Roman" w:hAnsi="Times New Roman" w:cs="Times New Roman" w:eastAsia="Times New Roman" w:hint="default"/>
          <w:spacing w:val="-1"/>
        </w:rPr>
        <w:t>1</w:t>
      </w:r>
      <w:r>
        <w:rPr>
          <w:spacing w:val="-1"/>
        </w:rPr>
        <w:t>名，公司监事会的人数、成员构成及</w:t>
      </w:r>
      <w:r>
        <w:rPr>
          <w:spacing w:val="-84"/>
        </w:rPr>
        <w:t> </w:t>
      </w:r>
      <w:r>
        <w:rPr>
          <w:spacing w:val="-84"/>
        </w:rPr>
      </w:r>
      <w:r>
        <w:rPr>
          <w:spacing w:val="-1"/>
        </w:rPr>
        <w:t>监事的任职资格符合相关法律、法规的要求。监事会能够严格按照《监事会议事规则》的要求召集、召开</w:t>
      </w:r>
      <w:r>
        <w:rPr>
          <w:spacing w:val="-83"/>
        </w:rPr>
        <w:t> </w:t>
      </w:r>
      <w:r>
        <w:rPr>
          <w:spacing w:val="-83"/>
        </w:rPr>
      </w:r>
      <w:r>
        <w:rPr/>
        <w:t>监事会，表决程序符合法律、法规的要求。</w:t>
      </w:r>
    </w:p>
    <w:p>
      <w:pPr>
        <w:pStyle w:val="BodyText"/>
        <w:spacing w:line="408" w:lineRule="auto" w:before="52"/>
        <w:ind w:left="573" w:right="1113"/>
        <w:jc w:val="left"/>
      </w:pPr>
      <w:r>
        <w:rPr/>
        <w:t>（六）绩效评价与激励约束机制 </w:t>
      </w:r>
      <w:r>
        <w:rPr>
          <w:spacing w:val="-1"/>
        </w:rPr>
        <w:t>董事会薪酬与考核委员会负责对公司的董事、监事、高级管理人员进行绩效考核，建立并逐步完善公</w:t>
      </w:r>
    </w:p>
    <w:p>
      <w:pPr>
        <w:pStyle w:val="BodyText"/>
        <w:spacing w:line="408" w:lineRule="auto"/>
        <w:ind w:left="153" w:right="1131"/>
        <w:jc w:val="both"/>
      </w:pPr>
      <w:r>
        <w:rPr>
          <w:spacing w:val="-1"/>
        </w:rPr>
        <w:t>正、透明的绩效评价标准和激励约束机制。《公司章程》明确规定了高级管理人员的履职行为、权限和职</w:t>
      </w:r>
      <w:r>
        <w:rPr>
          <w:spacing w:val="-83"/>
        </w:rPr>
        <w:t> </w:t>
      </w:r>
      <w:r>
        <w:rPr>
          <w:spacing w:val="-83"/>
        </w:rPr>
      </w:r>
      <w:r>
        <w:rPr>
          <w:spacing w:val="-1"/>
        </w:rPr>
        <w:t>责，高级管理人员的聘任公开、透明，符合有关法律、法规的规定，现有的考核及激励约束机制符合公司</w:t>
      </w:r>
      <w:r>
        <w:rPr>
          <w:spacing w:val="-83"/>
        </w:rPr>
        <w:t> </w:t>
      </w:r>
      <w:r>
        <w:rPr>
          <w:spacing w:val="-83"/>
        </w:rPr>
      </w:r>
      <w:r>
        <w:rPr/>
        <w:t>的发展情况。</w:t>
      </w:r>
    </w:p>
    <w:p>
      <w:pPr>
        <w:spacing w:after="0" w:line="408" w:lineRule="auto"/>
        <w:jc w:val="both"/>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left="574" w:right="1113"/>
        <w:jc w:val="left"/>
      </w:pPr>
      <w:r>
        <w:rPr/>
        <w:t>（七）独立董事履职情况 </w:t>
      </w:r>
      <w:r>
        <w:rPr>
          <w:spacing w:val="-1"/>
        </w:rPr>
        <w:t>公司独立董事按照《公司章程》和《独立董事工作制度》等规定，独立、客观、公正地履行职责，出</w:t>
      </w:r>
    </w:p>
    <w:p>
      <w:pPr>
        <w:pStyle w:val="BodyText"/>
        <w:spacing w:line="398" w:lineRule="auto"/>
        <w:ind w:right="1131"/>
        <w:jc w:val="both"/>
      </w:pPr>
      <w:r>
        <w:rPr>
          <w:spacing w:val="-1"/>
        </w:rPr>
        <w:t>席和列席了报告期内历次董事会和股东大会，对董事会议案行认真审议，根据相关规定对公司的重大事项</w:t>
      </w:r>
      <w:r>
        <w:rPr>
          <w:spacing w:val="-81"/>
        </w:rPr>
        <w:t> </w:t>
      </w:r>
      <w:r>
        <w:rPr>
          <w:spacing w:val="-81"/>
        </w:rPr>
      </w:r>
      <w:r>
        <w:rPr>
          <w:spacing w:val="-1"/>
        </w:rPr>
        <w:t>发表独立意见。</w:t>
      </w:r>
      <w:r>
        <w:rPr>
          <w:rFonts w:ascii="Times New Roman" w:hAnsi="Times New Roman" w:cs="Times New Roman" w:eastAsia="Times New Roman" w:hint="default"/>
          <w:spacing w:val="-1"/>
        </w:rPr>
        <w:t>2019</w:t>
      </w:r>
      <w:r>
        <w:rPr>
          <w:spacing w:val="-1"/>
        </w:rPr>
        <w:t>年度，独立董事未对董事会审议的各项议案及其他相关事项提出异议。独立董事通过</w:t>
      </w:r>
      <w:r>
        <w:rPr>
          <w:spacing w:val="-84"/>
        </w:rPr>
        <w:t> </w:t>
      </w:r>
      <w:r>
        <w:rPr>
          <w:spacing w:val="-84"/>
        </w:rPr>
      </w:r>
      <w:r>
        <w:rPr/>
        <w:t>实地考察和内外调研，运用其专业知识和经验特长，为公司经营和发展提出合理化意见和建议。</w:t>
      </w:r>
    </w:p>
    <w:p>
      <w:pPr>
        <w:pStyle w:val="BodyText"/>
        <w:spacing w:line="408" w:lineRule="auto" w:before="54"/>
        <w:ind w:left="574" w:right="1113"/>
        <w:jc w:val="left"/>
      </w:pPr>
      <w:r>
        <w:rPr/>
        <w:t>（八）相关利益者 </w:t>
      </w:r>
      <w:r>
        <w:rPr>
          <w:spacing w:val="-1"/>
        </w:rPr>
        <w:t>公司能够充分尊重银行及其他债权人、员工、消费者、供应商、经销商等利益相关者的合法权利，与</w:t>
      </w:r>
    </w:p>
    <w:p>
      <w:pPr>
        <w:pStyle w:val="BodyText"/>
        <w:spacing w:line="240" w:lineRule="auto"/>
        <w:ind w:right="0"/>
        <w:jc w:val="both"/>
      </w:pPr>
      <w:r>
        <w:rPr/>
        <w:t>利益相关者积极合作，共同推动公司持续、健康地发展。</w:t>
      </w:r>
    </w:p>
    <w:p>
      <w:pPr>
        <w:spacing w:line="240" w:lineRule="auto" w:before="10"/>
        <w:rPr>
          <w:rFonts w:ascii="宋体" w:hAnsi="宋体" w:cs="宋体" w:eastAsia="宋体" w:hint="default"/>
          <w:sz w:val="14"/>
          <w:szCs w:val="14"/>
        </w:rPr>
      </w:pPr>
    </w:p>
    <w:p>
      <w:pPr>
        <w:pStyle w:val="BodyText"/>
        <w:spacing w:line="408" w:lineRule="auto" w:before="0"/>
        <w:ind w:left="574" w:right="1113"/>
        <w:jc w:val="left"/>
      </w:pPr>
      <w:r>
        <w:rPr/>
        <w:t>（九）关于信息披露与透明度 </w:t>
      </w:r>
      <w:r>
        <w:rPr>
          <w:spacing w:val="-1"/>
        </w:rPr>
        <w:t>公司根据《深圳证券交易所创业板股票上市规则》《上市公司信息披露管理办法》《公司章程》以及</w:t>
      </w:r>
    </w:p>
    <w:p>
      <w:pPr>
        <w:pStyle w:val="BodyText"/>
        <w:spacing w:line="403" w:lineRule="auto"/>
        <w:ind w:left="153" w:right="993"/>
        <w:jc w:val="left"/>
      </w:pPr>
      <w:r>
        <w:rPr/>
        <w:t>公司《信息披露管理制度》等相关法规制度的规定，认真履行信息披露义务。公司指定《证券时报》《中 </w:t>
      </w:r>
      <w:r>
        <w:rPr>
          <w:spacing w:val="-4"/>
        </w:rPr>
        <w:t>国证券报》《上海证券报》和巨潮资讯网</w:t>
      </w:r>
      <w:hyperlink r:id="rId20">
        <w:r>
          <w:rPr>
            <w:spacing w:val="-4"/>
          </w:rPr>
          <w:t>（http://www</w:t>
        </w:r>
      </w:hyperlink>
      <w:r>
        <w:rPr>
          <w:rFonts w:ascii="Times New Roman" w:hAnsi="Times New Roman" w:cs="Times New Roman" w:eastAsia="Times New Roman" w:hint="default"/>
          <w:spacing w:val="-4"/>
        </w:rPr>
        <w:t>.</w:t>
      </w:r>
      <w:hyperlink r:id="rId20">
        <w:r>
          <w:rPr>
            <w:spacing w:val="-4"/>
          </w:rPr>
          <w:t>cninfo</w:t>
        </w:r>
        <w:r>
          <w:rPr>
            <w:rFonts w:ascii="Times New Roman" w:hAnsi="Times New Roman" w:cs="Times New Roman" w:eastAsia="Times New Roman" w:hint="default"/>
            <w:spacing w:val="-4"/>
          </w:rPr>
          <w:t>.</w:t>
        </w:r>
        <w:r>
          <w:rPr>
            <w:spacing w:val="-4"/>
          </w:rPr>
          <w:t>com</w:t>
        </w:r>
        <w:r>
          <w:rPr>
            <w:rFonts w:ascii="Times New Roman" w:hAnsi="Times New Roman" w:cs="Times New Roman" w:eastAsia="Times New Roman" w:hint="default"/>
            <w:spacing w:val="-4"/>
          </w:rPr>
          <w:t>.</w:t>
        </w:r>
        <w:r>
          <w:rPr>
            <w:spacing w:val="-4"/>
          </w:rPr>
          <w:t>cn</w:t>
        </w:r>
      </w:hyperlink>
      <w:r>
        <w:rPr>
          <w:spacing w:val="-4"/>
        </w:rPr>
        <w:t>）为公司信息披露的指定报纸和网站。</w:t>
      </w:r>
      <w:r>
        <w:rPr>
          <w:spacing w:val="-52"/>
        </w:rPr>
        <w:t> </w:t>
      </w:r>
      <w:r>
        <w:rPr>
          <w:spacing w:val="-52"/>
        </w:rPr>
      </w:r>
      <w:r>
        <w:rPr/>
        <w:t>公司指定董事会秘书负责信息披露工作，并负责投资者关系管理，接待投资者的来访和咨询，设立专门机</w:t>
      </w:r>
      <w:r>
        <w:rPr/>
        <w:t> 构并配备了相应人员，真实、准确、及时、公平、完整地披露有关信息，确保公司所有股东能够以平等的 机会获得信息。</w:t>
      </w:r>
      <w:r>
        <w:rPr>
          <w:rFonts w:ascii="Times New Roman" w:hAnsi="Times New Roman" w:cs="Times New Roman" w:eastAsia="Times New Roman" w:hint="default"/>
        </w:rPr>
        <w:t>2019</w:t>
      </w:r>
      <w:r>
        <w:rPr/>
        <w:t>年度公司信息披露的内部控制得到了有效执行。</w:t>
      </w:r>
    </w:p>
    <w:p>
      <w:pPr>
        <w:pStyle w:val="BodyText"/>
        <w:spacing w:line="408" w:lineRule="auto" w:before="19"/>
        <w:ind w:left="573" w:right="1113"/>
        <w:jc w:val="left"/>
      </w:pPr>
      <w:r>
        <w:rPr/>
        <w:t>（十）投资者关系管理情况 </w:t>
      </w:r>
      <w:r>
        <w:rPr>
          <w:spacing w:val="-1"/>
        </w:rPr>
        <w:t>投资者关系工作是一项长期、持续的重要工作，公司不断学习先进投资者关系管理经验，以更好的方</w:t>
      </w:r>
    </w:p>
    <w:p>
      <w:pPr>
        <w:pStyle w:val="BodyText"/>
        <w:spacing w:line="408" w:lineRule="auto"/>
        <w:ind w:left="153" w:right="1108"/>
        <w:jc w:val="both"/>
      </w:pPr>
      <w:r>
        <w:rPr/>
        <w:t>式和途径使广大投资者能够平等地获取公司经营管理、未来发展等信息，构建与投资者的良好互动关系， </w:t>
      </w:r>
      <w:r>
        <w:rPr>
          <w:spacing w:val="-1"/>
        </w:rPr>
        <w:t>树立公司在资本市场的规范形象。报告期内，公司严格执行《投资者关系管理制度》，认真做好投资者关</w:t>
      </w:r>
      <w:r>
        <w:rPr>
          <w:spacing w:val="-83"/>
        </w:rPr>
        <w:t> </w:t>
      </w:r>
      <w:r>
        <w:rPr>
          <w:spacing w:val="-83"/>
        </w:rPr>
      </w:r>
      <w:r>
        <w:rPr/>
        <w:t>系管理工作：</w:t>
      </w:r>
    </w:p>
    <w:p>
      <w:pPr>
        <w:pStyle w:val="BodyText"/>
        <w:spacing w:line="240" w:lineRule="auto"/>
        <w:ind w:left="573" w:right="1113"/>
        <w:jc w:val="left"/>
      </w:pPr>
      <w:r>
        <w:rPr>
          <w:rFonts w:ascii="Times New Roman" w:hAnsi="Times New Roman" w:cs="Times New Roman" w:eastAsia="Times New Roman" w:hint="default"/>
        </w:rPr>
        <w:t>1</w:t>
      </w:r>
      <w:r>
        <w:rPr/>
        <w:t>、日常工作</w:t>
      </w:r>
    </w:p>
    <w:p>
      <w:pPr>
        <w:pStyle w:val="BodyText"/>
        <w:spacing w:line="398" w:lineRule="auto" w:before="177"/>
        <w:ind w:left="153" w:right="1127" w:firstLine="420"/>
        <w:jc w:val="both"/>
      </w:pPr>
      <w:r>
        <w:rPr/>
        <w:t>（</w:t>
      </w:r>
      <w:r>
        <w:rPr>
          <w:rFonts w:ascii="Times New Roman" w:hAnsi="Times New Roman" w:cs="Times New Roman" w:eastAsia="Times New Roman" w:hint="default"/>
        </w:rPr>
        <w:t>1</w:t>
      </w:r>
      <w:r>
        <w:rPr/>
        <w:t>）指定董事会秘书作为投资者关系管理负责人，安排专人负责投资者来访接待工作，积极做好投</w:t>
      </w:r>
      <w:r>
        <w:rPr>
          <w:spacing w:val="2"/>
        </w:rPr>
        <w:t> </w:t>
      </w:r>
      <w:r>
        <w:rPr>
          <w:spacing w:val="-1"/>
        </w:rPr>
        <w:t>资者关系管理工作档案的建立和保管，合理、妥善地安排个人投资者、机构投资者、行业分析师等相关人</w:t>
      </w:r>
      <w:r>
        <w:rPr>
          <w:spacing w:val="-82"/>
        </w:rPr>
        <w:t> </w:t>
      </w:r>
      <w:r>
        <w:rPr>
          <w:spacing w:val="-82"/>
        </w:rPr>
      </w:r>
      <w:r>
        <w:rPr/>
        <w:t>员到公司进行调研，并切实做好相关信息的保密工作。</w:t>
      </w:r>
    </w:p>
    <w:p>
      <w:pPr>
        <w:pStyle w:val="BodyText"/>
        <w:spacing w:line="386" w:lineRule="auto" w:before="54"/>
        <w:ind w:left="153" w:right="1127" w:firstLine="420"/>
        <w:jc w:val="both"/>
      </w:pPr>
      <w:r>
        <w:rPr/>
        <w:t>（</w:t>
      </w:r>
      <w:r>
        <w:rPr>
          <w:rFonts w:ascii="Times New Roman" w:hAnsi="Times New Roman" w:cs="Times New Roman" w:eastAsia="Times New Roman" w:hint="default"/>
        </w:rPr>
        <w:t>2</w:t>
      </w:r>
      <w:r>
        <w:rPr/>
        <w:t>）通过公司网站、投资者关系管理电话、电子信箱、互动平台等多种渠道与投资者加强沟通，尽</w:t>
      </w:r>
      <w:r>
        <w:rPr>
          <w:spacing w:val="2"/>
        </w:rPr>
        <w:t> </w:t>
      </w:r>
      <w:r>
        <w:rPr/>
        <w:t>可能解答投资者的疑问。</w:t>
      </w:r>
    </w:p>
    <w:p>
      <w:pPr>
        <w:pStyle w:val="BodyText"/>
        <w:spacing w:line="240" w:lineRule="auto" w:before="65"/>
        <w:ind w:left="573" w:right="1113"/>
        <w:jc w:val="left"/>
      </w:pPr>
      <w:r>
        <w:rPr>
          <w:rFonts w:ascii="Times New Roman" w:hAnsi="Times New Roman" w:cs="Times New Roman" w:eastAsia="Times New Roman" w:hint="default"/>
        </w:rPr>
        <w:t>2</w:t>
      </w:r>
      <w:r>
        <w:rPr/>
        <w:t>、互动交流</w:t>
      </w:r>
    </w:p>
    <w:p>
      <w:pPr>
        <w:pStyle w:val="BodyText"/>
        <w:spacing w:line="386" w:lineRule="auto" w:before="177"/>
        <w:ind w:right="1131" w:firstLine="419"/>
        <w:jc w:val="both"/>
      </w:pPr>
      <w:r>
        <w:rPr>
          <w:spacing w:val="-1"/>
        </w:rPr>
        <w:t>（</w:t>
      </w:r>
      <w:r>
        <w:rPr>
          <w:rFonts w:ascii="Times New Roman" w:hAnsi="Times New Roman" w:cs="Times New Roman" w:eastAsia="Times New Roman" w:hint="default"/>
          <w:spacing w:val="-1"/>
        </w:rPr>
        <w:t>1</w:t>
      </w:r>
      <w:r>
        <w:rPr>
          <w:spacing w:val="-1"/>
        </w:rPr>
        <w:t>）报告期内，公司召开了</w:t>
      </w:r>
      <w:r>
        <w:rPr>
          <w:rFonts w:ascii="Times New Roman" w:hAnsi="Times New Roman" w:cs="Times New Roman" w:eastAsia="Times New Roman" w:hint="default"/>
          <w:spacing w:val="-1"/>
        </w:rPr>
        <w:t>7</w:t>
      </w:r>
      <w:r>
        <w:rPr>
          <w:spacing w:val="-1"/>
        </w:rPr>
        <w:t>次股东大会，举行了</w:t>
      </w:r>
      <w:r>
        <w:rPr>
          <w:rFonts w:ascii="Times New Roman" w:hAnsi="Times New Roman" w:cs="Times New Roman" w:eastAsia="Times New Roman" w:hint="default"/>
          <w:spacing w:val="-1"/>
        </w:rPr>
        <w:t>2018</w:t>
      </w:r>
      <w:r>
        <w:rPr>
          <w:spacing w:val="-1"/>
        </w:rPr>
        <w:t>年度网上业绩说明会。在会上，公司认真听取</w:t>
      </w:r>
      <w:r>
        <w:rPr/>
        <w:t> 了投资者的建议和意见，并就公司经营以及未来发展等问题与投资者进行了深入的沟通和交流。</w:t>
      </w:r>
    </w:p>
    <w:p>
      <w:pPr>
        <w:pStyle w:val="BodyText"/>
        <w:spacing w:line="240" w:lineRule="auto" w:before="65"/>
        <w:ind w:left="574" w:right="1113"/>
        <w:jc w:val="left"/>
      </w:pPr>
      <w:r>
        <w:rPr/>
        <w:t>（</w:t>
      </w:r>
      <w:r>
        <w:rPr>
          <w:rFonts w:ascii="Times New Roman" w:hAnsi="Times New Roman" w:cs="Times New Roman" w:eastAsia="Times New Roman" w:hint="default"/>
        </w:rPr>
        <w:t>2</w:t>
      </w:r>
      <w:r>
        <w:rPr/>
        <w:t>）报告期内，公司通过“投资者关系互动平台”及“深交所互动易”，就投资者关心的问题进行</w:t>
      </w:r>
    </w:p>
    <w:p>
      <w:pPr>
        <w:spacing w:after="0" w:line="240"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spacing w:line="403" w:lineRule="auto" w:before="35"/>
        <w:ind w:left="154" w:right="1021" w:firstLine="0"/>
        <w:jc w:val="left"/>
        <w:rPr>
          <w:rFonts w:ascii="宋体" w:hAnsi="宋体" w:cs="宋体" w:eastAsia="宋体" w:hint="default"/>
          <w:sz w:val="18"/>
          <w:szCs w:val="18"/>
        </w:rPr>
      </w:pPr>
      <w:r>
        <w:rPr>
          <w:rFonts w:ascii="宋体" w:hAnsi="宋体" w:cs="宋体" w:eastAsia="宋体" w:hint="default"/>
          <w:spacing w:val="-3"/>
          <w:sz w:val="21"/>
          <w:szCs w:val="21"/>
        </w:rPr>
        <w:t>了充分、深入、详细的分析、说明和答复，建立了投资者与公司之间规范、直接、快速的交流与沟通渠道，</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提高了公司规范运作水平，更好的保护了投资者特别是中小投资者的合法权益。 </w:t>
      </w: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0"/>
        <w:ind w:left="154" w:right="35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1113"/>
        <w:jc w:val="left"/>
        <w:rPr>
          <w:b w:val="0"/>
          <w:bCs w:val="0"/>
        </w:rPr>
      </w:pP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28" w:firstLine="420"/>
        <w:jc w:val="both"/>
      </w:pPr>
      <w:r>
        <w:rPr>
          <w:spacing w:val="-1"/>
        </w:rPr>
        <w:t>公司严格按照《公司法》《证券法》等有关法律法规、部门规章、规范性文件和《公司章程》的要求</w:t>
      </w:r>
      <w:r>
        <w:rPr/>
        <w:t> </w:t>
      </w:r>
      <w:r>
        <w:rPr>
          <w:spacing w:val="-1"/>
        </w:rPr>
        <w:t>规范运作，与控股股东、实际控制人在业务、人员、资产、机构和财务等方面完全分开，具有独立完整的</w:t>
      </w:r>
      <w:r>
        <w:rPr>
          <w:spacing w:val="-83"/>
        </w:rPr>
        <w:t> </w:t>
      </w:r>
      <w:r>
        <w:rPr>
          <w:spacing w:val="-83"/>
        </w:rPr>
      </w:r>
      <w:r>
        <w:rPr/>
        <w:t>业务及自主经营能力。</w:t>
      </w:r>
    </w:p>
    <w:p>
      <w:pPr>
        <w:pStyle w:val="BodyText"/>
        <w:spacing w:line="386" w:lineRule="auto"/>
        <w:ind w:right="1127" w:firstLine="420"/>
        <w:jc w:val="both"/>
      </w:pPr>
      <w:r>
        <w:rPr>
          <w:rFonts w:ascii="Times New Roman" w:hAnsi="Times New Roman" w:cs="Times New Roman" w:eastAsia="Times New Roman" w:hint="default"/>
        </w:rPr>
        <w:t>1</w:t>
      </w:r>
      <w:r>
        <w:rPr/>
        <w:t>、业务独立性：公司具有独立的业务体系，能够独立制定、执行和完成经营目标，具有独立面向市</w:t>
      </w:r>
      <w:r>
        <w:rPr>
          <w:spacing w:val="2"/>
        </w:rPr>
        <w:t> </w:t>
      </w:r>
      <w:r>
        <w:rPr/>
        <w:t>场的经营能力，不受控股股东及其他关联方的控制和影响，不存在对股东及其他关联方的依赖。</w:t>
      </w:r>
    </w:p>
    <w:p>
      <w:pPr>
        <w:pStyle w:val="BodyText"/>
        <w:spacing w:line="400" w:lineRule="auto" w:before="65"/>
        <w:ind w:right="1127" w:firstLine="420"/>
        <w:jc w:val="both"/>
      </w:pPr>
      <w:r>
        <w:rPr>
          <w:rFonts w:ascii="Times New Roman" w:hAnsi="Times New Roman" w:cs="Times New Roman" w:eastAsia="Times New Roman" w:hint="default"/>
        </w:rPr>
        <w:t>2</w:t>
      </w:r>
      <w:r>
        <w:rPr/>
        <w:t>、人员独立性：公司在劳动、人事、工资管理等方面完全独立。公司董事、监事及高级管理人员的</w:t>
      </w:r>
      <w:r>
        <w:rPr>
          <w:spacing w:val="2"/>
        </w:rPr>
        <w:t> </w:t>
      </w:r>
      <w:r>
        <w:rPr>
          <w:spacing w:val="-1"/>
        </w:rPr>
        <w:t>产生严格依据法定程序执行，不存在实际控制人超越公司董事会和股东大会权限作出人事任免之情形。公</w:t>
      </w:r>
      <w:r>
        <w:rPr>
          <w:spacing w:val="-81"/>
        </w:rPr>
        <w:t> </w:t>
      </w:r>
      <w:r>
        <w:rPr>
          <w:spacing w:val="-81"/>
        </w:rPr>
      </w:r>
      <w:r>
        <w:rPr>
          <w:spacing w:val="-1"/>
        </w:rPr>
        <w:t>司高级管理人员均在本公司领取薪酬，未在实际控制人及其他股东控制的其他企业中担任职务，也没有在</w:t>
      </w:r>
      <w:r>
        <w:rPr>
          <w:spacing w:val="-81"/>
        </w:rPr>
        <w:t> </w:t>
      </w:r>
      <w:r>
        <w:rPr>
          <w:spacing w:val="-81"/>
        </w:rPr>
      </w:r>
      <w:r>
        <w:rPr/>
        <w:t>与本公司业务相同或相似、或存在其他利益冲突的企业任职或领取薪酬。</w:t>
      </w:r>
    </w:p>
    <w:p>
      <w:pPr>
        <w:pStyle w:val="BodyText"/>
        <w:spacing w:line="386" w:lineRule="auto" w:before="52"/>
        <w:ind w:right="1127" w:firstLine="420"/>
        <w:jc w:val="both"/>
      </w:pPr>
      <w:r>
        <w:rPr>
          <w:rFonts w:ascii="Times New Roman" w:hAnsi="Times New Roman" w:cs="Times New Roman" w:eastAsia="Times New Roman" w:hint="default"/>
        </w:rPr>
        <w:t>3</w:t>
      </w:r>
      <w:r>
        <w:rPr/>
        <w:t>、资产独立性：公司现有资产产权明晰，拥有经营所需的技术、专利、商标、设备等，资产完整，</w:t>
      </w:r>
      <w:r>
        <w:rPr>
          <w:spacing w:val="2"/>
        </w:rPr>
        <w:t> </w:t>
      </w:r>
      <w:r>
        <w:rPr/>
        <w:t>不存在股东或其关联方占用公司资产之情形。</w:t>
      </w:r>
    </w:p>
    <w:p>
      <w:pPr>
        <w:pStyle w:val="BodyText"/>
        <w:spacing w:line="400" w:lineRule="auto" w:before="65"/>
        <w:ind w:right="1108" w:firstLine="420"/>
        <w:jc w:val="both"/>
      </w:pPr>
      <w:r>
        <w:rPr>
          <w:rFonts w:ascii="Times New Roman" w:hAnsi="Times New Roman" w:cs="Times New Roman" w:eastAsia="Times New Roman" w:hint="default"/>
        </w:rPr>
        <w:t>4</w:t>
      </w:r>
      <w:r>
        <w:rPr/>
        <w:t>、机构独立性：公司通过股东大会、董事会、监事会、独立董事及各专门委员会制度，强化权力制</w:t>
      </w:r>
      <w:r>
        <w:rPr>
          <w:spacing w:val="2"/>
        </w:rPr>
        <w:t> </w:t>
      </w:r>
      <w:r>
        <w:rPr>
          <w:spacing w:val="-1"/>
        </w:rPr>
        <w:t>衡机制，形成了有效的法人治理结构。在内部机构设置上，公司建立了适应自身发展需要的组织机构，明</w:t>
      </w:r>
      <w:r>
        <w:rPr>
          <w:spacing w:val="-82"/>
        </w:rPr>
        <w:t> </w:t>
      </w:r>
      <w:r>
        <w:rPr>
          <w:spacing w:val="-82"/>
        </w:rPr>
      </w:r>
      <w:r>
        <w:rPr/>
        <w:t>确了各机构职能，定员定岗，并制定了相应的内部管理与控制制度。公司各职能部门均独立履行其职能， 独立开展生产经营活动，不存在受实际控制人、控股股东或关联方干预之情形。</w:t>
      </w:r>
    </w:p>
    <w:p>
      <w:pPr>
        <w:pStyle w:val="BodyText"/>
        <w:spacing w:line="398" w:lineRule="auto" w:before="52"/>
        <w:ind w:right="1021" w:firstLine="420"/>
        <w:jc w:val="left"/>
      </w:pPr>
      <w:r>
        <w:rPr>
          <w:rFonts w:ascii="Times New Roman" w:hAnsi="Times New Roman" w:cs="Times New Roman" w:eastAsia="Times New Roman" w:hint="default"/>
        </w:rPr>
        <w:t>5</w:t>
      </w:r>
      <w:r>
        <w:rPr/>
        <w:t>、财务独立性：公司设有独立的财务部门，配置有独立的财务人员，并建立了独立的会计核算体系</w:t>
      </w:r>
      <w:r>
        <w:rPr>
          <w:spacing w:val="2"/>
        </w:rPr>
        <w:t> </w:t>
      </w:r>
      <w:r>
        <w:rPr>
          <w:spacing w:val="-3"/>
        </w:rPr>
        <w:t>和财务管理制度，独立管理公司财务档案，能够根据《公司章程》规定的程序和权限，独立作出财务决策。</w:t>
      </w:r>
      <w:r>
        <w:rPr>
          <w:spacing w:val="-94"/>
        </w:rPr>
        <w:t> </w:t>
      </w:r>
      <w:r>
        <w:rPr>
          <w:spacing w:val="-94"/>
        </w:rPr>
      </w:r>
      <w:r>
        <w:rPr/>
        <w:t>公司及子公司均为独立核算主体，独立在银行开户，资金使用亦不受控股股东、实际控制人干预。</w:t>
      </w:r>
    </w:p>
    <w:p>
      <w:pPr>
        <w:spacing w:line="240" w:lineRule="auto" w:before="6"/>
        <w:rPr>
          <w:rFonts w:ascii="宋体" w:hAnsi="宋体" w:cs="宋体" w:eastAsia="宋体" w:hint="default"/>
          <w:sz w:val="19"/>
          <w:szCs w:val="19"/>
        </w:rPr>
      </w:pPr>
    </w:p>
    <w:p>
      <w:pPr>
        <w:pStyle w:val="Heading2"/>
        <w:spacing w:line="240" w:lineRule="auto"/>
        <w:ind w:right="1113"/>
        <w:jc w:val="left"/>
        <w:rPr>
          <w:b w:val="0"/>
          <w:bCs w:val="0"/>
        </w:rPr>
      </w:pPr>
      <w:r>
        <w:rPr/>
        <w:t>三、同业竞争情况</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1113"/>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49.52%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0">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2019-014</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44.73%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0">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2019-029</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43.21%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0">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2019-057</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43.18%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0">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2019-085</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49.46%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0">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2019-090</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0">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2019-128</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44.38%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0">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2019-142</w:t>
            </w:r>
          </w:p>
        </w:tc>
      </w:tr>
    </w:tbl>
    <w:p>
      <w:pPr>
        <w:spacing w:line="240" w:lineRule="auto" w:before="2"/>
        <w:rPr>
          <w:rFonts w:ascii="宋体" w:hAnsi="宋体" w:cs="宋体" w:eastAsia="宋体" w:hint="default"/>
          <w:b/>
          <w:bCs/>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2"/>
        <w:spacing w:line="240" w:lineRule="auto" w:before="155"/>
        <w:ind w:right="1113"/>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6"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6"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刘汴生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张英瑶</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王玉辉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毕会静</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金香爱</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6"/>
        <w:rPr>
          <w:rFonts w:ascii="宋体" w:hAnsi="宋体" w:cs="宋体" w:eastAsia="宋体" w:hint="default"/>
          <w:b/>
          <w:bCs/>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111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240" w:lineRule="auto" w:before="10"/>
        <w:rPr>
          <w:rFonts w:ascii="宋体" w:hAnsi="宋体" w:cs="宋体" w:eastAsia="宋体" w:hint="default"/>
          <w:sz w:val="20"/>
          <w:szCs w:val="20"/>
        </w:rPr>
      </w:pPr>
    </w:p>
    <w:p>
      <w:pPr>
        <w:spacing w:line="489" w:lineRule="auto" w:before="0"/>
        <w:ind w:left="154" w:right="69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6"/>
        <w:rPr>
          <w:rFonts w:ascii="宋体" w:hAnsi="宋体" w:cs="宋体" w:eastAsia="宋体" w:hint="default"/>
          <w:sz w:val="18"/>
          <w:szCs w:val="18"/>
        </w:rPr>
      </w:pPr>
    </w:p>
    <w:p>
      <w:pPr>
        <w:pStyle w:val="Heading3"/>
        <w:spacing w:line="240" w:lineRule="auto"/>
        <w:ind w:right="111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240" w:lineRule="auto" w:before="12"/>
        <w:rPr>
          <w:rFonts w:ascii="宋体" w:hAnsi="宋体" w:cs="宋体" w:eastAsia="宋体" w:hint="default"/>
          <w:sz w:val="20"/>
          <w:szCs w:val="20"/>
        </w:rPr>
      </w:pPr>
    </w:p>
    <w:p>
      <w:pPr>
        <w:spacing w:line="489" w:lineRule="auto" w:before="0"/>
        <w:ind w:left="154" w:right="67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398" w:lineRule="auto" w:before="58"/>
        <w:ind w:left="153" w:right="1126" w:firstLine="420"/>
        <w:jc w:val="both"/>
      </w:pPr>
      <w:r>
        <w:rPr/>
        <w:t>（</w:t>
      </w:r>
      <w:r>
        <w:rPr>
          <w:rFonts w:ascii="Times New Roman" w:hAnsi="Times New Roman" w:cs="Times New Roman" w:eastAsia="Times New Roman" w:hint="default"/>
        </w:rPr>
        <w:t>1</w:t>
      </w:r>
      <w:r>
        <w:rPr/>
        <w:t>）在</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日召开的第四届董事会第十八次会议前，对关于上海云鑫创业投资有限公司增资</w:t>
      </w:r>
      <w:r>
        <w:rPr>
          <w:spacing w:val="2"/>
        </w:rPr>
        <w:t> </w:t>
      </w:r>
      <w:r>
        <w:rPr>
          <w:spacing w:val="-1"/>
        </w:rPr>
        <w:t>完美数联（杭州）科技有限公司暨关联交易事项发表了事前认可意见，并在会上就该事项发表了独立意见</w:t>
      </w:r>
      <w:r>
        <w:rPr>
          <w:spacing w:val="-83"/>
        </w:rPr>
        <w:t> </w:t>
      </w:r>
      <w:r>
        <w:rPr>
          <w:spacing w:val="-83"/>
        </w:rPr>
      </w:r>
      <w:r>
        <w:rPr/>
        <w:t>并被采纳；</w:t>
      </w:r>
    </w:p>
    <w:p>
      <w:pPr>
        <w:pStyle w:val="BodyText"/>
        <w:spacing w:line="386" w:lineRule="auto" w:before="54"/>
        <w:ind w:right="1131" w:firstLine="419"/>
        <w:jc w:val="both"/>
      </w:pPr>
      <w:r>
        <w:rPr>
          <w:spacing w:val="-1"/>
        </w:rPr>
        <w:t>（</w:t>
      </w:r>
      <w:r>
        <w:rPr>
          <w:rFonts w:ascii="Times New Roman" w:hAnsi="Times New Roman" w:cs="Times New Roman" w:eastAsia="Times New Roman" w:hint="default"/>
          <w:spacing w:val="-1"/>
        </w:rPr>
        <w:t>2</w:t>
      </w:r>
      <w:r>
        <w:rPr>
          <w:spacing w:val="-1"/>
        </w:rPr>
        <w:t>）在</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31</w:t>
      </w:r>
      <w:r>
        <w:rPr>
          <w:spacing w:val="-1"/>
        </w:rPr>
        <w:t>日召开的第四届董事会第十九次会议前，对关于收购控股子公司股权暨关联交易</w:t>
      </w:r>
      <w:r>
        <w:rPr/>
        <w:t> 事项发表了事前认可意见，并在会上就该事项发表了独立意见并被采纳；</w:t>
      </w:r>
    </w:p>
    <w:p>
      <w:pPr>
        <w:pStyle w:val="BodyText"/>
        <w:spacing w:line="386" w:lineRule="auto" w:before="65"/>
        <w:ind w:right="1131" w:firstLine="419"/>
        <w:jc w:val="both"/>
      </w:pPr>
      <w:r>
        <w:rPr>
          <w:spacing w:val="-1"/>
        </w:rPr>
        <w:t>（</w:t>
      </w:r>
      <w:r>
        <w:rPr>
          <w:rFonts w:ascii="Times New Roman" w:hAnsi="Times New Roman" w:cs="Times New Roman" w:eastAsia="Times New Roman" w:hint="default"/>
          <w:spacing w:val="-1"/>
        </w:rPr>
        <w:t>3</w:t>
      </w:r>
      <w:r>
        <w:rPr>
          <w:spacing w:val="-1"/>
        </w:rPr>
        <w:t>）在</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14</w:t>
      </w:r>
      <w:r>
        <w:rPr>
          <w:spacing w:val="-1"/>
        </w:rPr>
        <w:t>日召开的第四届董事会第二十次会议上，就关于聘任新开普电子股份有限公司高</w:t>
      </w:r>
      <w:r>
        <w:rPr/>
        <w:t> 级管理人员的事项发表了独立意见并被采纳；</w:t>
      </w:r>
    </w:p>
    <w:p>
      <w:pPr>
        <w:pStyle w:val="BodyText"/>
        <w:spacing w:line="386" w:lineRule="auto" w:before="65"/>
        <w:ind w:right="1126" w:firstLine="420"/>
        <w:jc w:val="both"/>
      </w:pPr>
      <w:r>
        <w:rPr/>
        <w:t>（</w:t>
      </w:r>
      <w:r>
        <w:rPr>
          <w:rFonts w:ascii="Times New Roman" w:hAnsi="Times New Roman" w:cs="Times New Roman" w:eastAsia="Times New Roman" w:hint="default"/>
        </w:rPr>
        <w:t>4</w:t>
      </w:r>
      <w:r>
        <w:rPr/>
        <w:t>）在</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日召开的第四届董事会第二十一次会议前，对关于公司对外投资设立控股子公司</w:t>
      </w:r>
      <w:r>
        <w:rPr>
          <w:spacing w:val="2"/>
        </w:rPr>
        <w:t> </w:t>
      </w:r>
      <w:r>
        <w:rPr/>
        <w:t>暨关联交易事项发表了事前认可意见，并在会上就该事项发表了独立意见并被采纳；</w:t>
      </w:r>
    </w:p>
    <w:p>
      <w:pPr>
        <w:pStyle w:val="BodyText"/>
        <w:spacing w:line="391" w:lineRule="auto" w:before="65"/>
        <w:ind w:right="1125" w:firstLine="419"/>
        <w:jc w:val="both"/>
      </w:pPr>
      <w:r>
        <w:rPr>
          <w:spacing w:val="-1"/>
        </w:rPr>
        <w:t>（</w:t>
      </w:r>
      <w:r>
        <w:rPr>
          <w:rFonts w:ascii="Times New Roman" w:hAnsi="Times New Roman" w:cs="Times New Roman" w:eastAsia="Times New Roman" w:hint="default"/>
          <w:spacing w:val="-1"/>
        </w:rPr>
        <w:t>5</w:t>
      </w:r>
      <w:r>
        <w:rPr>
          <w:spacing w:val="-1"/>
        </w:rPr>
        <w:t>）在</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28</w:t>
      </w:r>
      <w:r>
        <w:rPr>
          <w:spacing w:val="-1"/>
        </w:rPr>
        <w:t>日召开的第四届董事会第二十二次会议上，就关于</w:t>
      </w:r>
      <w:r>
        <w:rPr>
          <w:rFonts w:ascii="Times New Roman" w:hAnsi="Times New Roman" w:cs="Times New Roman" w:eastAsia="Times New Roman" w:hint="default"/>
          <w:spacing w:val="-1"/>
        </w:rPr>
        <w:t>2018</w:t>
      </w:r>
      <w:r>
        <w:rPr>
          <w:spacing w:val="-1"/>
        </w:rPr>
        <w:t>年度募集资金存放与实际</w:t>
      </w:r>
      <w:r>
        <w:rPr/>
        <w:t> </w:t>
      </w:r>
      <w:r>
        <w:rPr>
          <w:spacing w:val="-1"/>
        </w:rPr>
        <w:t>使用情况、关于公司</w:t>
      </w:r>
      <w:r>
        <w:rPr>
          <w:rFonts w:ascii="Times New Roman" w:hAnsi="Times New Roman" w:cs="Times New Roman" w:eastAsia="Times New Roman" w:hint="default"/>
          <w:spacing w:val="-1"/>
        </w:rPr>
        <w:t>2018</w:t>
      </w:r>
      <w:r>
        <w:rPr>
          <w:spacing w:val="-1"/>
        </w:rPr>
        <w:t>年度内部控制自我评价报告、关于公司</w:t>
      </w:r>
      <w:r>
        <w:rPr>
          <w:rFonts w:ascii="Times New Roman" w:hAnsi="Times New Roman" w:cs="Times New Roman" w:eastAsia="Times New Roman" w:hint="default"/>
          <w:spacing w:val="-1"/>
        </w:rPr>
        <w:t>2018</w:t>
      </w:r>
      <w:r>
        <w:rPr>
          <w:spacing w:val="-1"/>
        </w:rPr>
        <w:t>年度利润分配预案、关于公司</w:t>
      </w:r>
      <w:r>
        <w:rPr>
          <w:rFonts w:ascii="Times New Roman" w:hAnsi="Times New Roman" w:cs="Times New Roman" w:eastAsia="Times New Roman" w:hint="default"/>
          <w:spacing w:val="-1"/>
        </w:rPr>
        <w:t>2019</w:t>
      </w:r>
      <w:r>
        <w:rPr>
          <w:spacing w:val="-1"/>
        </w:rPr>
        <w:t>年</w:t>
      </w:r>
      <w:r>
        <w:rPr>
          <w:spacing w:val="-85"/>
        </w:rPr>
        <w:t> </w:t>
      </w:r>
      <w:r>
        <w:rPr>
          <w:spacing w:val="-1"/>
        </w:rPr>
        <w:t>董事及高级管理人员薪酬政策、关于公司聘任</w:t>
      </w:r>
      <w:r>
        <w:rPr>
          <w:rFonts w:ascii="Times New Roman" w:hAnsi="Times New Roman" w:cs="Times New Roman" w:eastAsia="Times New Roman" w:hint="default"/>
          <w:spacing w:val="-1"/>
        </w:rPr>
        <w:t>2019</w:t>
      </w:r>
      <w:r>
        <w:rPr>
          <w:spacing w:val="-1"/>
        </w:rPr>
        <w:t>年度审计机构的独立意见、关于计提资产减值准备、关</w:t>
      </w:r>
      <w:r>
        <w:rPr>
          <w:spacing w:val="-85"/>
        </w:rPr>
        <w:t> </w:t>
      </w:r>
      <w:r>
        <w:rPr>
          <w:spacing w:val="-85"/>
        </w:rPr>
      </w:r>
      <w:r>
        <w:rPr>
          <w:spacing w:val="-1"/>
        </w:rPr>
        <w:t>于公司会计政策变更、关于公司使用暂时闲置募集资金进行现金管理、关于公司使用部分闲置自有资金进</w:t>
      </w:r>
      <w:r>
        <w:rPr>
          <w:spacing w:val="-81"/>
        </w:rPr>
        <w:t> </w:t>
      </w:r>
      <w:r>
        <w:rPr>
          <w:spacing w:val="-81"/>
        </w:rPr>
      </w:r>
      <w:r>
        <w:rPr>
          <w:spacing w:val="3"/>
        </w:rPr>
        <w:t>行现金管理、关于</w:t>
      </w:r>
      <w:r>
        <w:rPr>
          <w:rFonts w:ascii="Times New Roman" w:hAnsi="Times New Roman" w:cs="Times New Roman" w:eastAsia="Times New Roman" w:hint="default"/>
          <w:spacing w:val="3"/>
        </w:rPr>
        <w:t>2018</w:t>
      </w:r>
      <w:r>
        <w:rPr>
          <w:spacing w:val="3"/>
        </w:rPr>
        <w:t>年度公司控股股东及其他关联方资金占用和对外担保情况发表了独立意见并被采</w:t>
      </w:r>
      <w:r>
        <w:rPr>
          <w:spacing w:val="-87"/>
        </w:rPr>
        <w:t> </w:t>
      </w:r>
      <w:r>
        <w:rPr>
          <w:spacing w:val="-87"/>
        </w:rPr>
      </w:r>
      <w:r>
        <w:rPr/>
        <w:t>纳；</w:t>
      </w:r>
    </w:p>
    <w:p>
      <w:pPr>
        <w:spacing w:after="0" w:line="391" w:lineRule="auto"/>
        <w:jc w:val="both"/>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386" w:lineRule="auto" w:before="35"/>
        <w:ind w:right="1131" w:firstLine="419"/>
        <w:jc w:val="both"/>
      </w:pPr>
      <w:r>
        <w:rPr>
          <w:spacing w:val="-1"/>
        </w:rPr>
        <w:t>（</w:t>
      </w:r>
      <w:r>
        <w:rPr>
          <w:rFonts w:ascii="Times New Roman" w:hAnsi="Times New Roman" w:cs="Times New Roman" w:eastAsia="Times New Roman" w:hint="default"/>
          <w:spacing w:val="-1"/>
        </w:rPr>
        <w:t>6</w:t>
      </w:r>
      <w:r>
        <w:rPr>
          <w:spacing w:val="-1"/>
        </w:rPr>
        <w:t>）在</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25</w:t>
      </w:r>
      <w:r>
        <w:rPr>
          <w:spacing w:val="-1"/>
        </w:rPr>
        <w:t>日召开的第四届董事会第二十三次会议上，就关于公司会计政策变更事项发表了</w:t>
      </w:r>
      <w:r>
        <w:rPr/>
        <w:t> 独立意见并被采纳；</w:t>
      </w:r>
    </w:p>
    <w:p>
      <w:pPr>
        <w:pStyle w:val="BodyText"/>
        <w:spacing w:line="398" w:lineRule="auto" w:before="65"/>
        <w:ind w:right="1129" w:firstLine="419"/>
        <w:jc w:val="both"/>
      </w:pPr>
      <w:r>
        <w:rPr>
          <w:spacing w:val="-1"/>
        </w:rPr>
        <w:t>（</w:t>
      </w:r>
      <w:r>
        <w:rPr>
          <w:rFonts w:ascii="Times New Roman" w:hAnsi="Times New Roman" w:cs="Times New Roman" w:eastAsia="Times New Roman" w:hint="default"/>
          <w:spacing w:val="-1"/>
        </w:rPr>
        <w:t>7</w:t>
      </w:r>
      <w:r>
        <w:rPr>
          <w:spacing w:val="-1"/>
        </w:rPr>
        <w:t>）在</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16</w:t>
      </w:r>
      <w:r>
        <w:rPr>
          <w:spacing w:val="-1"/>
        </w:rPr>
        <w:t>日召开的第四届董事会第二十四次会议前，对关于公司对参股子公司增资暨关联</w:t>
      </w:r>
      <w:r>
        <w:rPr/>
        <w:t> </w:t>
      </w:r>
      <w:r>
        <w:rPr>
          <w:spacing w:val="-1"/>
        </w:rPr>
        <w:t>交易事项、关于追认希嘉教育向关联方借款暨关联交易事项发表了事前认可意见，并在会上就该事项发表</w:t>
      </w:r>
      <w:r>
        <w:rPr>
          <w:spacing w:val="-81"/>
        </w:rPr>
        <w:t> </w:t>
      </w:r>
      <w:r>
        <w:rPr>
          <w:spacing w:val="-81"/>
        </w:rPr>
      </w:r>
      <w:r>
        <w:rPr/>
        <w:t>了独立意见并被采纳；</w:t>
      </w:r>
    </w:p>
    <w:p>
      <w:pPr>
        <w:pStyle w:val="BodyText"/>
        <w:spacing w:line="386" w:lineRule="auto" w:before="54"/>
        <w:ind w:right="1131" w:firstLine="419"/>
        <w:jc w:val="both"/>
      </w:pPr>
      <w:r>
        <w:rPr>
          <w:spacing w:val="-1"/>
        </w:rPr>
        <w:t>（</w:t>
      </w:r>
      <w:r>
        <w:rPr>
          <w:rFonts w:ascii="Times New Roman" w:hAnsi="Times New Roman" w:cs="Times New Roman" w:eastAsia="Times New Roman" w:hint="default"/>
          <w:spacing w:val="-1"/>
        </w:rPr>
        <w:t>8</w:t>
      </w:r>
      <w:r>
        <w:rPr>
          <w:spacing w:val="-1"/>
        </w:rPr>
        <w:t>）在</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10</w:t>
      </w:r>
      <w:r>
        <w:rPr>
          <w:spacing w:val="-1"/>
        </w:rPr>
        <w:t>日召开的第四届董事会第二十五次会议上，就关于提名增补新开普电子股份有限</w:t>
      </w:r>
      <w:r>
        <w:rPr/>
        <w:t> 公司非独立董事候选人事项发表了独立意见并被采纳；</w:t>
      </w:r>
    </w:p>
    <w:p>
      <w:pPr>
        <w:pStyle w:val="BodyText"/>
        <w:spacing w:line="398" w:lineRule="auto" w:before="65"/>
        <w:ind w:right="1126" w:firstLine="420"/>
        <w:jc w:val="both"/>
      </w:pPr>
      <w:r>
        <w:rPr/>
        <w:t>（</w:t>
      </w:r>
      <w:r>
        <w:rPr>
          <w:rFonts w:ascii="Times New Roman" w:hAnsi="Times New Roman" w:cs="Times New Roman" w:eastAsia="Times New Roman" w:hint="default"/>
        </w:rPr>
        <w:t>9</w:t>
      </w:r>
      <w:r>
        <w:rPr/>
        <w:t>）在</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日召开的第四届董事会第二十七次会议前，对关于为全资子公司向银行申请授信</w:t>
      </w:r>
      <w:r>
        <w:rPr>
          <w:spacing w:val="2"/>
        </w:rPr>
        <w:t> </w:t>
      </w:r>
      <w:r>
        <w:rPr>
          <w:spacing w:val="-1"/>
        </w:rPr>
        <w:t>额度提供最高额担保事项发表了事前认可意见，并在会上就关于为全资子公司向银行申请授信额度提供最</w:t>
      </w:r>
      <w:r>
        <w:rPr>
          <w:spacing w:val="-81"/>
        </w:rPr>
        <w:t> </w:t>
      </w:r>
      <w:r>
        <w:rPr>
          <w:spacing w:val="-81"/>
        </w:rPr>
      </w:r>
      <w:r>
        <w:rPr/>
        <w:t>高额担保、关于注销控股子公司的事项发表了独立意见并被采纳；</w:t>
      </w:r>
    </w:p>
    <w:p>
      <w:pPr>
        <w:pStyle w:val="BodyText"/>
        <w:spacing w:line="386" w:lineRule="auto" w:before="54"/>
        <w:ind w:right="1130" w:firstLine="420"/>
        <w:jc w:val="both"/>
      </w:pPr>
      <w:r>
        <w:rPr/>
        <w:t>（</w:t>
      </w:r>
      <w:r>
        <w:rPr>
          <w:rFonts w:ascii="Times New Roman" w:hAnsi="Times New Roman" w:cs="Times New Roman" w:eastAsia="Times New Roman" w:hint="default"/>
        </w:rPr>
        <w:t>10</w:t>
      </w:r>
      <w:r>
        <w:rPr/>
        <w:t>）在</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日召开的第四届董事会第二十八次会议上，就关于</w:t>
      </w:r>
      <w:r>
        <w:rPr>
          <w:rFonts w:ascii="Times New Roman" w:hAnsi="Times New Roman" w:cs="Times New Roman" w:eastAsia="Times New Roman" w:hint="default"/>
        </w:rPr>
        <w:t>2019</w:t>
      </w:r>
      <w:r>
        <w:rPr/>
        <w:t>年半年度公司控股股东 </w:t>
      </w:r>
      <w:r>
        <w:rPr>
          <w:spacing w:val="-1"/>
        </w:rPr>
        <w:t>及其他关联方占用公司资金及公司对外担保情况、关于</w:t>
      </w:r>
      <w:r>
        <w:rPr>
          <w:rFonts w:ascii="Times New Roman" w:hAnsi="Times New Roman" w:cs="Times New Roman" w:eastAsia="Times New Roman" w:hint="default"/>
          <w:spacing w:val="-1"/>
        </w:rPr>
        <w:t>2019</w:t>
      </w:r>
      <w:r>
        <w:rPr>
          <w:spacing w:val="-1"/>
        </w:rPr>
        <w:t>年半年度募集资金存放与实际使用情况、关于</w:t>
      </w:r>
      <w:r>
        <w:rPr>
          <w:spacing w:val="-83"/>
        </w:rPr>
        <w:t> </w:t>
      </w:r>
      <w:r>
        <w:rPr>
          <w:spacing w:val="-83"/>
        </w:rPr>
      </w:r>
      <w:r>
        <w:rPr/>
        <w:t>公司会计政策变更事项发表了独立意见并被采纳；</w:t>
      </w:r>
    </w:p>
    <w:p>
      <w:pPr>
        <w:pStyle w:val="BodyText"/>
        <w:spacing w:line="386" w:lineRule="auto" w:before="65"/>
        <w:ind w:left="153" w:right="1130" w:firstLine="420"/>
        <w:jc w:val="both"/>
      </w:pPr>
      <w:r>
        <w:rPr/>
        <w:t>（</w:t>
      </w:r>
      <w:r>
        <w:rPr>
          <w:rFonts w:ascii="Times New Roman" w:hAnsi="Times New Roman" w:cs="Times New Roman" w:eastAsia="Times New Roman" w:hint="default"/>
        </w:rPr>
        <w:t>11</w:t>
      </w:r>
      <w:r>
        <w:rPr/>
        <w:t>）在</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日召开的第四届董事会第三十次会议上，就关于变更募集资金用途的事项发表 了独立意见并被采纳；</w:t>
      </w:r>
    </w:p>
    <w:p>
      <w:pPr>
        <w:pStyle w:val="BodyText"/>
        <w:spacing w:line="386" w:lineRule="auto" w:before="65"/>
        <w:ind w:left="153" w:right="1131" w:firstLine="420"/>
        <w:jc w:val="both"/>
      </w:pPr>
      <w:r>
        <w:rPr>
          <w:spacing w:val="-1"/>
        </w:rPr>
        <w:t>（</w:t>
      </w:r>
      <w:r>
        <w:rPr>
          <w:rFonts w:ascii="Times New Roman" w:hAnsi="Times New Roman" w:cs="Times New Roman" w:eastAsia="Times New Roman" w:hint="default"/>
          <w:spacing w:val="-1"/>
        </w:rPr>
        <w:t>12</w:t>
      </w:r>
      <w:r>
        <w:rPr>
          <w:spacing w:val="-1"/>
        </w:rPr>
        <w:t>）在</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18</w:t>
      </w:r>
      <w:r>
        <w:rPr>
          <w:spacing w:val="-1"/>
        </w:rPr>
        <w:t>日召开的第四届董事会第三十二次会议上，就关于提名新开普电子股份有限公</w:t>
      </w:r>
      <w:r>
        <w:rPr/>
        <w:t> 司独立董事候选人事项发表了独立意见并被采纳。</w:t>
      </w:r>
    </w:p>
    <w:p>
      <w:pPr>
        <w:spacing w:line="240" w:lineRule="auto" w:before="3"/>
        <w:rPr>
          <w:rFonts w:ascii="宋体" w:hAnsi="宋体" w:cs="宋体" w:eastAsia="宋体" w:hint="default"/>
          <w:sz w:val="20"/>
          <w:szCs w:val="20"/>
        </w:rPr>
      </w:pPr>
    </w:p>
    <w:p>
      <w:pPr>
        <w:pStyle w:val="Heading2"/>
        <w:spacing w:line="240" w:lineRule="auto"/>
        <w:ind w:right="0"/>
        <w:jc w:val="both"/>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574" w:right="1113"/>
        <w:jc w:val="left"/>
      </w:pPr>
      <w:r>
        <w:rPr/>
        <w:t>（一）战略发展委员会履职情况 </w:t>
      </w:r>
      <w:r>
        <w:rPr>
          <w:spacing w:val="-1"/>
        </w:rPr>
        <w:t>报告期内，公司战略发展委员会认真研究国家宏观经济政策、结构调整对公司的影响，跟踪国内外同</w:t>
      </w:r>
    </w:p>
    <w:p>
      <w:pPr>
        <w:pStyle w:val="BodyText"/>
        <w:spacing w:line="405" w:lineRule="auto"/>
        <w:ind w:right="1108"/>
        <w:jc w:val="both"/>
      </w:pPr>
      <w:r>
        <w:rPr>
          <w:spacing w:val="-1"/>
        </w:rPr>
        <w:t>行业发展动向，结合公司战略发展要求，向公司董事会提出有关结构调整、资本运作、长远发展等事项的</w:t>
      </w:r>
      <w:r>
        <w:rPr>
          <w:spacing w:val="-82"/>
        </w:rPr>
        <w:t> </w:t>
      </w:r>
      <w:r>
        <w:rPr>
          <w:spacing w:val="-82"/>
        </w:rPr>
      </w:r>
      <w:r>
        <w:rPr>
          <w:spacing w:val="-1"/>
        </w:rPr>
        <w:t>建议，对促进公司转方式、调结构，规避市场风险，起到积极良好的作用。报告期内，战略委员会召开了</w:t>
      </w:r>
      <w:r>
        <w:rPr>
          <w:spacing w:val="-83"/>
        </w:rPr>
        <w:t> </w:t>
      </w:r>
      <w:r>
        <w:rPr>
          <w:spacing w:val="-83"/>
        </w:rPr>
      </w:r>
      <w:r>
        <w:rPr>
          <w:rFonts w:ascii="Times New Roman" w:hAnsi="Times New Roman" w:cs="Times New Roman" w:eastAsia="Times New Roman" w:hint="default"/>
        </w:rPr>
        <w:t>8</w:t>
      </w:r>
      <w:r>
        <w:rPr/>
        <w:t>次会议，对上海云鑫创业投资有限公司增资完美数联（杭州）科技有限公司暨关联交易事项、收购控股</w:t>
      </w:r>
      <w:r>
        <w:rPr>
          <w:spacing w:val="-34"/>
        </w:rPr>
        <w:t> </w:t>
      </w:r>
      <w:r>
        <w:rPr>
          <w:spacing w:val="-34"/>
        </w:rPr>
      </w:r>
      <w:r>
        <w:rPr>
          <w:spacing w:val="-1"/>
        </w:rPr>
        <w:t>子公司股权暨关联交易事项、修改新开普电子股份有限公司经营范围、公司对外投资设立控股子公司暨关</w:t>
      </w:r>
      <w:r>
        <w:rPr>
          <w:spacing w:val="-81"/>
        </w:rPr>
        <w:t> </w:t>
      </w:r>
      <w:r>
        <w:rPr>
          <w:spacing w:val="-81"/>
        </w:rPr>
      </w:r>
      <w:r>
        <w:rPr>
          <w:spacing w:val="-1"/>
        </w:rPr>
        <w:t>联交易事项、关于对参股子公司增资暨关联交易、注销控股子公司、控股子公司公司名称、注册地址及经</w:t>
      </w:r>
      <w:r>
        <w:rPr>
          <w:spacing w:val="-82"/>
        </w:rPr>
        <w:t> </w:t>
      </w:r>
      <w:r>
        <w:rPr>
          <w:spacing w:val="-82"/>
        </w:rPr>
      </w:r>
      <w:r>
        <w:rPr/>
        <w:t>营范围变更、控股子公司完美数联（杭州）科技有限公司对外投资、变更募集资金用途等事项认真审查， 并提交给董事会审议。</w:t>
      </w:r>
    </w:p>
    <w:p>
      <w:pPr>
        <w:pStyle w:val="BodyText"/>
        <w:spacing w:line="408" w:lineRule="auto" w:before="48"/>
        <w:ind w:left="574" w:right="1113"/>
        <w:jc w:val="left"/>
      </w:pPr>
      <w:r>
        <w:rPr/>
        <w:t>（二）审计委员会履职情况 报告期内，审计委员会积极履行职责，共召开了</w:t>
      </w:r>
      <w:r>
        <w:rPr>
          <w:rFonts w:ascii="Times New Roman" w:hAnsi="Times New Roman" w:cs="Times New Roman" w:eastAsia="Times New Roman" w:hint="default"/>
        </w:rPr>
        <w:t>9</w:t>
      </w:r>
      <w:r>
        <w:rPr/>
        <w:t>次会议，对年度审计计划、各季度内审工作报告、</w:t>
      </w:r>
    </w:p>
    <w:p>
      <w:pPr>
        <w:spacing w:after="0" w:line="408"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08"/>
        <w:jc w:val="both"/>
      </w:pPr>
      <w:r>
        <w:rPr/>
        <w:t>对外投资、年度授信计划、会计政策变更、注销子公司、募集资金使用、定期报告、续聘年度审计机构、 年度利润分配等事项进行了专项审议。</w:t>
      </w:r>
    </w:p>
    <w:p>
      <w:pPr>
        <w:pStyle w:val="BodyText"/>
        <w:spacing w:line="408" w:lineRule="auto"/>
        <w:ind w:left="574" w:right="1113"/>
        <w:jc w:val="left"/>
      </w:pPr>
      <w:r>
        <w:rPr/>
        <w:t>（三）提名委员会履职情况 </w:t>
      </w:r>
      <w:r>
        <w:rPr>
          <w:spacing w:val="-1"/>
        </w:rPr>
        <w:t>报告期内，提名委员会按照《董事会专门委员会工作细则》履行职责，提名委员会认为公司董事会人</w:t>
      </w:r>
    </w:p>
    <w:p>
      <w:pPr>
        <w:pStyle w:val="BodyText"/>
        <w:spacing w:line="398" w:lineRule="auto"/>
        <w:ind w:right="1127"/>
        <w:jc w:val="both"/>
      </w:pPr>
      <w:r>
        <w:rPr>
          <w:spacing w:val="-1"/>
        </w:rPr>
        <w:t>员结构合理，高管团队具有丰富的行业经验和管理经验，完全胜任各自的工作。报告期内，提名委员会召</w:t>
      </w:r>
      <w:r>
        <w:rPr>
          <w:spacing w:val="-82"/>
        </w:rPr>
        <w:t> </w:t>
      </w:r>
      <w:r>
        <w:rPr>
          <w:spacing w:val="-82"/>
        </w:rPr>
      </w:r>
      <w:r>
        <w:rPr/>
        <w:t>开了</w:t>
      </w:r>
      <w:r>
        <w:rPr>
          <w:rFonts w:ascii="Times New Roman" w:hAnsi="Times New Roman" w:cs="Times New Roman" w:eastAsia="Times New Roman" w:hint="default"/>
        </w:rPr>
        <w:t>3</w:t>
      </w:r>
      <w:r>
        <w:rPr/>
        <w:t>次会议，对公司聘任副总经理焦征海先生、非独立董事陈亮先生及独立董事金香爱女士的任职资格</w:t>
      </w:r>
      <w:r>
        <w:rPr>
          <w:spacing w:val="-34"/>
        </w:rPr>
        <w:t> </w:t>
      </w:r>
      <w:r>
        <w:rPr>
          <w:spacing w:val="-34"/>
        </w:rPr>
      </w:r>
      <w:r>
        <w:rPr/>
        <w:t>进行了认真审查，并提交给董事会审议。</w:t>
      </w:r>
    </w:p>
    <w:p>
      <w:pPr>
        <w:pStyle w:val="BodyText"/>
        <w:spacing w:line="408" w:lineRule="auto" w:before="54"/>
        <w:ind w:left="574" w:right="1113"/>
        <w:jc w:val="left"/>
      </w:pPr>
      <w:r>
        <w:rPr/>
        <w:t>（四）薪酬与考核委员会履职情况 </w:t>
      </w:r>
      <w:r>
        <w:rPr>
          <w:spacing w:val="-1"/>
        </w:rPr>
        <w:t>报告期内，薪酬与考核委员会对公司董事、监事和高级管理人员的薪酬情况进行了审核，认为其薪酬</w:t>
      </w:r>
    </w:p>
    <w:p>
      <w:pPr>
        <w:pStyle w:val="BodyText"/>
        <w:spacing w:line="405" w:lineRule="auto"/>
        <w:ind w:right="1126"/>
        <w:jc w:val="both"/>
      </w:pPr>
      <w:r>
        <w:rPr>
          <w:spacing w:val="-1"/>
        </w:rPr>
        <w:t>标准和年度薪酬总额的确定符合公司相关薪酬管理制度的规定。同时，薪酬与考核委员会不断探讨绩效考</w:t>
      </w:r>
      <w:r>
        <w:rPr>
          <w:spacing w:val="-81"/>
        </w:rPr>
        <w:t> </w:t>
      </w:r>
      <w:r>
        <w:rPr>
          <w:spacing w:val="-81"/>
        </w:rPr>
      </w:r>
      <w:r>
        <w:rPr>
          <w:spacing w:val="-1"/>
        </w:rPr>
        <w:t>核体系的进一步完善，为充分调动公司董事、监事、高级管理人员和核心员工的积极性，增强公司管理团</w:t>
      </w:r>
      <w:r>
        <w:rPr>
          <w:spacing w:val="-82"/>
        </w:rPr>
        <w:t> </w:t>
      </w:r>
      <w:r>
        <w:rPr>
          <w:spacing w:val="-82"/>
        </w:rPr>
      </w:r>
      <w:r>
        <w:rPr>
          <w:spacing w:val="-1"/>
        </w:rPr>
        <w:t>队和核心员工对实现公司健康、持续发展的责任感、使命感，有效地将股东利益、公司利益和公司员工利</w:t>
      </w:r>
      <w:r>
        <w:rPr>
          <w:spacing w:val="-82"/>
        </w:rPr>
        <w:t> </w:t>
      </w:r>
      <w:r>
        <w:rPr>
          <w:spacing w:val="-82"/>
        </w:rPr>
      </w:r>
      <w:r>
        <w:rPr>
          <w:spacing w:val="-1"/>
        </w:rPr>
        <w:t>益结合在一起，使各方共同关注公司的长远发展，减少管理者的短期行为。报告期内，薪酬与考核委员会</w:t>
      </w:r>
      <w:r>
        <w:rPr>
          <w:spacing w:val="-82"/>
        </w:rPr>
        <w:t> </w:t>
      </w:r>
      <w:r>
        <w:rPr>
          <w:spacing w:val="-82"/>
        </w:rPr>
      </w:r>
      <w:r>
        <w:rPr>
          <w:spacing w:val="-1"/>
        </w:rPr>
        <w:t>认为，公司董事、监事和高级管理人员根据各自的分工，认真履行了相应的职责，较好的完成了其工作目</w:t>
      </w:r>
      <w:r>
        <w:rPr>
          <w:spacing w:val="-82"/>
        </w:rPr>
        <w:t> </w:t>
      </w:r>
      <w:r>
        <w:rPr>
          <w:spacing w:val="-82"/>
        </w:rPr>
      </w:r>
      <w:r>
        <w:rPr/>
        <w:t>标。报告期内，薪酬与考核委员会召开了</w:t>
      </w:r>
      <w:r>
        <w:rPr>
          <w:rFonts w:ascii="Times New Roman" w:hAnsi="Times New Roman" w:cs="Times New Roman" w:eastAsia="Times New Roman" w:hint="default"/>
        </w:rPr>
        <w:t>2</w:t>
      </w:r>
      <w:r>
        <w:rPr/>
        <w:t>次会议，对公司</w:t>
      </w:r>
      <w:r>
        <w:rPr>
          <w:rFonts w:ascii="Times New Roman" w:hAnsi="Times New Roman" w:cs="Times New Roman" w:eastAsia="Times New Roman" w:hint="default"/>
        </w:rPr>
        <w:t>2019</w:t>
      </w:r>
      <w:r>
        <w:rPr/>
        <w:t>年董事和高级管理人员的薪酬政策事项进</w:t>
      </w:r>
      <w:r>
        <w:rPr>
          <w:spacing w:val="-35"/>
        </w:rPr>
        <w:t> </w:t>
      </w:r>
      <w:r>
        <w:rPr>
          <w:spacing w:val="-35"/>
        </w:rPr>
      </w:r>
      <w:r>
        <w:rPr/>
        <w:t>行了审核，并听取了公司高级管理人员</w:t>
      </w:r>
      <w:r>
        <w:rPr>
          <w:rFonts w:ascii="Times New Roman" w:hAnsi="Times New Roman" w:cs="Times New Roman" w:eastAsia="Times New Roman" w:hint="default"/>
        </w:rPr>
        <w:t>2019</w:t>
      </w:r>
      <w:r>
        <w:rPr/>
        <w:t>年上半年度工作总结报告。</w:t>
      </w:r>
    </w:p>
    <w:p>
      <w:pPr>
        <w:spacing w:line="240" w:lineRule="auto" w:before="8"/>
        <w:rPr>
          <w:rFonts w:ascii="宋体" w:hAnsi="宋体" w:cs="宋体" w:eastAsia="宋体" w:hint="default"/>
          <w:sz w:val="16"/>
          <w:szCs w:val="16"/>
        </w:rPr>
      </w:pPr>
    </w:p>
    <w:p>
      <w:pPr>
        <w:pStyle w:val="Heading2"/>
        <w:spacing w:line="240" w:lineRule="auto"/>
        <w:ind w:right="0"/>
        <w:jc w:val="both"/>
        <w:rPr>
          <w:b w:val="0"/>
          <w:bCs w:val="0"/>
        </w:rPr>
      </w:pPr>
      <w:r>
        <w:rPr/>
        <w:t>七、监事会工作情况</w:t>
      </w:r>
      <w:r>
        <w:rPr>
          <w:b w:val="0"/>
          <w:bCs w:val="0"/>
        </w:rPr>
      </w:r>
    </w:p>
    <w:p>
      <w:pPr>
        <w:spacing w:line="240" w:lineRule="auto" w:before="7"/>
        <w:rPr>
          <w:rFonts w:ascii="宋体" w:hAnsi="宋体" w:cs="宋体" w:eastAsia="宋体" w:hint="default"/>
          <w:b/>
          <w:bCs/>
          <w:sz w:val="32"/>
          <w:szCs w:val="32"/>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240" w:lineRule="auto" w:before="10"/>
        <w:rPr>
          <w:rFonts w:ascii="宋体" w:hAnsi="宋体" w:cs="宋体" w:eastAsia="宋体" w:hint="default"/>
          <w:sz w:val="20"/>
          <w:szCs w:val="20"/>
        </w:rPr>
      </w:pPr>
    </w:p>
    <w:p>
      <w:pPr>
        <w:spacing w:line="489" w:lineRule="auto" w:before="0"/>
        <w:ind w:left="154" w:right="73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公司监事会对报告期内的监督事项无异议。</w:t>
      </w:r>
    </w:p>
    <w:p>
      <w:pPr>
        <w:spacing w:line="240" w:lineRule="auto" w:before="8"/>
        <w:rPr>
          <w:rFonts w:ascii="宋体" w:hAnsi="宋体" w:cs="宋体" w:eastAsia="宋体" w:hint="default"/>
          <w:sz w:val="16"/>
          <w:szCs w:val="16"/>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021" w:firstLine="420"/>
        <w:jc w:val="left"/>
      </w:pPr>
      <w:r>
        <w:rPr/>
        <w:t>公司按照《高级管理人员薪酬制度》，坚持按劳分配与责、权、利相结合，实行收入水平与公司效益 及工作目标挂钩的原则，年度薪酬标准公开、公正、透明等三项基本原则，建立了高级管理人员的薪酬与 公司业绩挂钩的绩效考核与激励约束机制。公司董事会薪酬与考核委员会具体负责对高管人员进行考核以 </w:t>
      </w:r>
      <w:r>
        <w:rPr>
          <w:spacing w:val="-3"/>
        </w:rPr>
        <w:t>及建议、确定年度薪酬分配。公司高管人员年度薪酬由基本薪酬、绩效收入两部分组成。根据职位重要性、</w:t>
      </w:r>
      <w:r>
        <w:rPr>
          <w:spacing w:val="-96"/>
        </w:rPr>
        <w:t> </w:t>
      </w:r>
      <w:r>
        <w:rPr>
          <w:spacing w:val="-96"/>
        </w:rPr>
      </w:r>
      <w:r>
        <w:rPr/>
        <w:t>所承担的责任、具体工作量、工作完成情况及市场薪资行情等因素确定，基本薪酬按月度发放，绩效收入</w:t>
      </w:r>
      <w:r>
        <w:rPr/>
        <w:t> 按年度发放。</w:t>
      </w:r>
    </w:p>
    <w:p>
      <w:pPr>
        <w:spacing w:after="0" w:line="408"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13" w:firstLine="420"/>
        <w:jc w:val="left"/>
      </w:pPr>
      <w:r>
        <w:rPr>
          <w:spacing w:val="-1"/>
        </w:rPr>
        <w:t>公司的各项考核制度较为合理地把高级管理人员的工作业绩与其薪酬进行挂钩，提高了高级管理人员</w:t>
      </w:r>
      <w:r>
        <w:rPr/>
        <w:t> 的积极性，同时高管薪酬的确定符合公司薪酬管理和业绩考评激励等制度的有关规定。</w:t>
      </w:r>
    </w:p>
    <w:p>
      <w:pPr>
        <w:spacing w:line="240" w:lineRule="auto" w:before="11"/>
        <w:rPr>
          <w:rFonts w:ascii="宋体" w:hAnsi="宋体" w:cs="宋体" w:eastAsia="宋体" w:hint="default"/>
          <w:sz w:val="18"/>
          <w:szCs w:val="18"/>
        </w:rPr>
      </w:pPr>
    </w:p>
    <w:p>
      <w:pPr>
        <w:pStyle w:val="Heading2"/>
        <w:spacing w:line="240" w:lineRule="auto"/>
        <w:ind w:right="1113"/>
        <w:jc w:val="left"/>
        <w:rPr>
          <w:b w:val="0"/>
          <w:bCs w:val="0"/>
        </w:rPr>
      </w:pP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1113"/>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3323"/>
        <w:gridCol w:w="3050"/>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70"/>
                <w:sz w:val="18"/>
                <w:szCs w:val="18"/>
              </w:rPr>
              <w:t> </w:t>
            </w:r>
            <w:hyperlink r:id="rId20">
              <w:r>
                <w:rPr>
                  <w:rFonts w:ascii="Times New Roman" w:hAnsi="Times New Roman" w:cs="Times New Roman" w:eastAsia="Times New Roman" w:hint="default"/>
                  <w:sz w:val="18"/>
                  <w:szCs w:val="18"/>
                </w:rPr>
                <w:t>www.cninfo.com.cn</w:t>
              </w:r>
            </w:hyperlink>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3"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3"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15" w:hRule="exact"/>
        </w:trPr>
        <w:tc>
          <w:tcPr>
            <w:tcW w:w="3194" w:type="dxa"/>
            <w:vMerge w:val="restart"/>
            <w:tcBorders>
              <w:top w:val="single" w:sz="4" w:space="0" w:color="000000"/>
              <w:left w:val="single" w:sz="4" w:space="0" w:color="000000"/>
              <w:right w:val="single" w:sz="4" w:space="0" w:color="000000"/>
            </w:tcBorders>
            <w:shd w:val="clear" w:color="auto" w:fill="D3D3D3"/>
          </w:tcPr>
          <w:p>
            <w:pPr/>
          </w:p>
        </w:tc>
        <w:tc>
          <w:tcPr>
            <w:tcW w:w="3323" w:type="dxa"/>
            <w:tcBorders>
              <w:top w:val="single" w:sz="4" w:space="0" w:color="000000"/>
              <w:left w:val="single" w:sz="4" w:space="0" w:color="000000"/>
              <w:bottom w:val="nil" w:sz="6" w:space="0" w:color="auto"/>
              <w:right w:val="single" w:sz="4" w:space="0" w:color="000000"/>
            </w:tcBorders>
          </w:tcPr>
          <w:p>
            <w:pPr/>
          </w:p>
        </w:tc>
        <w:tc>
          <w:tcPr>
            <w:tcW w:w="30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①重大缺陷的认定标准Ⅰ 公司缺乏民</w:t>
            </w:r>
          </w:p>
        </w:tc>
      </w:tr>
      <w:tr>
        <w:trPr>
          <w:trHeight w:val="179"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2" w:right="0"/>
              <w:jc w:val="left"/>
              <w:rPr>
                <w:rFonts w:ascii="宋体" w:hAnsi="宋体" w:cs="宋体" w:eastAsia="宋体" w:hint="default"/>
                <w:sz w:val="18"/>
                <w:szCs w:val="18"/>
              </w:rPr>
            </w:pPr>
            <w:r>
              <w:rPr>
                <w:rFonts w:ascii="宋体" w:hAnsi="宋体" w:cs="宋体" w:eastAsia="宋体" w:hint="default"/>
                <w:sz w:val="18"/>
                <w:szCs w:val="18"/>
              </w:rPr>
              <w:t>①重大缺陷的认定标准Ⅰ 对已经公告的</w:t>
            </w:r>
          </w:p>
        </w:tc>
        <w:tc>
          <w:tcPr>
            <w:tcW w:w="3050" w:type="dxa"/>
            <w:tcBorders>
              <w:top w:val="nil" w:sz="6" w:space="0" w:color="auto"/>
              <w:left w:val="single" w:sz="4" w:space="0" w:color="000000"/>
              <w:bottom w:val="nil" w:sz="6" w:space="0" w:color="auto"/>
              <w:right w:val="single" w:sz="4" w:space="0" w:color="000000"/>
            </w:tcBorders>
          </w:tcPr>
          <w:p>
            <w:pPr/>
          </w:p>
        </w:tc>
      </w:tr>
      <w:tr>
        <w:trPr>
          <w:trHeight w:val="179"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2" w:right="0"/>
              <w:jc w:val="left"/>
              <w:rPr>
                <w:rFonts w:ascii="宋体" w:hAnsi="宋体" w:cs="宋体" w:eastAsia="宋体" w:hint="default"/>
                <w:sz w:val="18"/>
                <w:szCs w:val="18"/>
              </w:rPr>
            </w:pPr>
            <w:r>
              <w:rPr>
                <w:rFonts w:ascii="宋体" w:hAnsi="宋体" w:cs="宋体" w:eastAsia="宋体" w:hint="default"/>
                <w:sz w:val="18"/>
                <w:szCs w:val="18"/>
              </w:rPr>
              <w:t>主决策程序；Ⅱ 公司决策程序导致重</w:t>
            </w:r>
          </w:p>
        </w:tc>
      </w:tr>
      <w:tr>
        <w:trPr>
          <w:trHeight w:val="179"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2" w:right="0"/>
              <w:jc w:val="left"/>
              <w:rPr>
                <w:rFonts w:ascii="宋体" w:hAnsi="宋体" w:cs="宋体" w:eastAsia="宋体" w:hint="default"/>
                <w:sz w:val="18"/>
                <w:szCs w:val="18"/>
              </w:rPr>
            </w:pPr>
            <w:r>
              <w:rPr>
                <w:rFonts w:ascii="宋体" w:hAnsi="宋体" w:cs="宋体" w:eastAsia="宋体" w:hint="default"/>
                <w:sz w:val="18"/>
                <w:szCs w:val="18"/>
              </w:rPr>
              <w:t>财务报告出现的重大差错进行错报更正；</w:t>
            </w:r>
          </w:p>
        </w:tc>
        <w:tc>
          <w:tcPr>
            <w:tcW w:w="3050" w:type="dxa"/>
            <w:tcBorders>
              <w:top w:val="nil" w:sz="6" w:space="0" w:color="auto"/>
              <w:left w:val="single" w:sz="4" w:space="0" w:color="000000"/>
              <w:bottom w:val="nil" w:sz="6" w:space="0" w:color="auto"/>
              <w:right w:val="single" w:sz="4" w:space="0" w:color="000000"/>
            </w:tcBorders>
          </w:tcPr>
          <w:p>
            <w:pPr/>
          </w:p>
        </w:tc>
      </w:tr>
      <w:tr>
        <w:trPr>
          <w:trHeight w:val="179"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22" w:right="0"/>
              <w:jc w:val="left"/>
              <w:rPr>
                <w:rFonts w:ascii="宋体" w:hAnsi="宋体" w:cs="宋体" w:eastAsia="宋体" w:hint="default"/>
                <w:sz w:val="18"/>
                <w:szCs w:val="18"/>
              </w:rPr>
            </w:pPr>
            <w:r>
              <w:rPr>
                <w:rFonts w:ascii="宋体" w:hAnsi="宋体" w:cs="宋体" w:eastAsia="宋体" w:hint="default"/>
                <w:sz w:val="18"/>
                <w:szCs w:val="18"/>
              </w:rPr>
              <w:t>大失误；Ⅲ 公司重要业务缺乏制度控</w:t>
            </w:r>
          </w:p>
        </w:tc>
      </w:tr>
      <w:tr>
        <w:trPr>
          <w:trHeight w:val="179"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2" w:right="0"/>
              <w:jc w:val="left"/>
              <w:rPr>
                <w:rFonts w:ascii="宋体" w:hAnsi="宋体" w:cs="宋体" w:eastAsia="宋体" w:hint="default"/>
                <w:sz w:val="18"/>
                <w:szCs w:val="18"/>
              </w:rPr>
            </w:pPr>
            <w:r>
              <w:rPr>
                <w:rFonts w:ascii="宋体" w:hAnsi="宋体" w:cs="宋体" w:eastAsia="宋体" w:hint="default"/>
                <w:sz w:val="18"/>
                <w:szCs w:val="18"/>
              </w:rPr>
              <w:t>Ⅱ</w:t>
            </w:r>
            <w:r>
              <w:rPr>
                <w:rFonts w:ascii="宋体" w:hAnsi="宋体" w:cs="宋体" w:eastAsia="宋体" w:hint="default"/>
                <w:spacing w:val="5"/>
                <w:sz w:val="18"/>
                <w:szCs w:val="18"/>
              </w:rPr>
              <w:t> </w:t>
            </w:r>
            <w:r>
              <w:rPr>
                <w:rFonts w:ascii="宋体" w:hAnsi="宋体" w:cs="宋体" w:eastAsia="宋体" w:hint="default"/>
                <w:spacing w:val="-4"/>
                <w:sz w:val="18"/>
                <w:szCs w:val="18"/>
              </w:rPr>
              <w:t>当期财务报告存在重大错报，而内部控</w:t>
            </w:r>
          </w:p>
        </w:tc>
        <w:tc>
          <w:tcPr>
            <w:tcW w:w="3050" w:type="dxa"/>
            <w:tcBorders>
              <w:top w:val="nil" w:sz="6" w:space="0" w:color="auto"/>
              <w:left w:val="single" w:sz="4" w:space="0" w:color="000000"/>
              <w:bottom w:val="nil" w:sz="6" w:space="0" w:color="auto"/>
              <w:right w:val="single" w:sz="4" w:space="0" w:color="000000"/>
            </w:tcBorders>
          </w:tcPr>
          <w:p>
            <w:pPr/>
          </w:p>
        </w:tc>
      </w:tr>
      <w:tr>
        <w:trPr>
          <w:trHeight w:val="179"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22" w:right="0"/>
              <w:jc w:val="left"/>
              <w:rPr>
                <w:rFonts w:ascii="宋体" w:hAnsi="宋体" w:cs="宋体" w:eastAsia="宋体" w:hint="default"/>
                <w:sz w:val="18"/>
                <w:szCs w:val="18"/>
              </w:rPr>
            </w:pPr>
            <w:r>
              <w:rPr>
                <w:rFonts w:ascii="宋体" w:hAnsi="宋体" w:cs="宋体" w:eastAsia="宋体" w:hint="default"/>
                <w:sz w:val="18"/>
                <w:szCs w:val="18"/>
              </w:rPr>
              <w:t>制或制度体系失效；Ⅳ 公司内部控制</w:t>
            </w:r>
          </w:p>
        </w:tc>
      </w:tr>
      <w:tr>
        <w:trPr>
          <w:trHeight w:val="180"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2" w:right="0"/>
              <w:jc w:val="left"/>
              <w:rPr>
                <w:rFonts w:ascii="宋体" w:hAnsi="宋体" w:cs="宋体" w:eastAsia="宋体" w:hint="default"/>
                <w:sz w:val="18"/>
                <w:szCs w:val="18"/>
              </w:rPr>
            </w:pPr>
            <w:r>
              <w:rPr>
                <w:rFonts w:ascii="宋体" w:hAnsi="宋体" w:cs="宋体" w:eastAsia="宋体" w:hint="default"/>
                <w:spacing w:val="-4"/>
                <w:sz w:val="18"/>
                <w:szCs w:val="18"/>
              </w:rPr>
              <w:t>制在运行过程中未能发现该错报；Ⅲ</w:t>
            </w:r>
            <w:r>
              <w:rPr>
                <w:rFonts w:ascii="宋体" w:hAnsi="宋体" w:cs="宋体" w:eastAsia="宋体" w:hint="default"/>
                <w:spacing w:val="1"/>
                <w:sz w:val="18"/>
                <w:szCs w:val="18"/>
              </w:rPr>
              <w:t> </w:t>
            </w:r>
            <w:r>
              <w:rPr>
                <w:rFonts w:ascii="宋体" w:hAnsi="宋体" w:cs="宋体" w:eastAsia="宋体" w:hint="default"/>
                <w:sz w:val="18"/>
                <w:szCs w:val="18"/>
              </w:rPr>
              <w:t>审计</w:t>
            </w:r>
          </w:p>
        </w:tc>
        <w:tc>
          <w:tcPr>
            <w:tcW w:w="3050" w:type="dxa"/>
            <w:tcBorders>
              <w:top w:val="nil" w:sz="6" w:space="0" w:color="auto"/>
              <w:left w:val="single" w:sz="4" w:space="0" w:color="000000"/>
              <w:bottom w:val="nil" w:sz="6" w:space="0" w:color="auto"/>
              <w:right w:val="single" w:sz="4" w:space="0" w:color="000000"/>
            </w:tcBorders>
          </w:tcPr>
          <w:p>
            <w:pPr/>
          </w:p>
        </w:tc>
      </w:tr>
      <w:tr>
        <w:trPr>
          <w:trHeight w:val="179"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181" w:lineRule="exact"/>
              <w:ind w:left="22" w:right="0"/>
              <w:jc w:val="left"/>
              <w:rPr>
                <w:rFonts w:ascii="宋体" w:hAnsi="宋体" w:cs="宋体" w:eastAsia="宋体" w:hint="default"/>
                <w:sz w:val="18"/>
                <w:szCs w:val="18"/>
              </w:rPr>
            </w:pPr>
            <w:r>
              <w:rPr>
                <w:rFonts w:ascii="宋体" w:hAnsi="宋体" w:cs="宋体" w:eastAsia="宋体" w:hint="default"/>
                <w:sz w:val="18"/>
                <w:szCs w:val="18"/>
              </w:rPr>
              <w:t>重大或重要缺陷未得到整改。</w:t>
            </w:r>
          </w:p>
        </w:tc>
      </w:tr>
      <w:tr>
        <w:trPr>
          <w:trHeight w:val="199"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2" w:right="0"/>
              <w:jc w:val="left"/>
              <w:rPr>
                <w:rFonts w:ascii="宋体" w:hAnsi="宋体" w:cs="宋体" w:eastAsia="宋体" w:hint="default"/>
                <w:sz w:val="18"/>
                <w:szCs w:val="18"/>
              </w:rPr>
            </w:pPr>
            <w:r>
              <w:rPr>
                <w:rFonts w:ascii="宋体" w:hAnsi="宋体" w:cs="宋体" w:eastAsia="宋体" w:hint="default"/>
                <w:sz w:val="18"/>
                <w:szCs w:val="18"/>
              </w:rPr>
              <w:t>委员会以及内部审计部门对财务报告内部</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59"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控制监督无效。</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00" w:lineRule="exact"/>
              <w:ind w:left="22" w:right="0"/>
              <w:jc w:val="left"/>
              <w:rPr>
                <w:rFonts w:ascii="宋体" w:hAnsi="宋体" w:cs="宋体" w:eastAsia="宋体" w:hint="default"/>
                <w:sz w:val="18"/>
                <w:szCs w:val="18"/>
              </w:rPr>
            </w:pPr>
            <w:r>
              <w:rPr>
                <w:rFonts w:ascii="宋体" w:hAnsi="宋体" w:cs="宋体" w:eastAsia="宋体" w:hint="default"/>
                <w:sz w:val="18"/>
                <w:szCs w:val="18"/>
              </w:rPr>
              <w:t>②重要缺陷的认定标准Ⅰ 公司民主决</w:t>
            </w:r>
          </w:p>
        </w:tc>
      </w:tr>
      <w:tr>
        <w:trPr>
          <w:trHeight w:val="199"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z w:val="18"/>
                <w:szCs w:val="18"/>
              </w:rPr>
              <w:t>策程序存在但不够完善；Ⅱ 公司决策</w:t>
            </w:r>
          </w:p>
        </w:tc>
      </w:tr>
      <w:tr>
        <w:trPr>
          <w:trHeight w:val="179"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22" w:right="0"/>
              <w:jc w:val="left"/>
              <w:rPr>
                <w:rFonts w:ascii="宋体" w:hAnsi="宋体" w:cs="宋体" w:eastAsia="宋体" w:hint="default"/>
                <w:sz w:val="18"/>
                <w:szCs w:val="18"/>
              </w:rPr>
            </w:pPr>
            <w:r>
              <w:rPr>
                <w:rFonts w:ascii="宋体" w:hAnsi="宋体" w:cs="宋体" w:eastAsia="宋体" w:hint="default"/>
                <w:sz w:val="18"/>
                <w:szCs w:val="18"/>
              </w:rPr>
              <w:t>②重要缺陷的认定标准Ⅰ 未依照公认会</w:t>
            </w:r>
          </w:p>
        </w:tc>
        <w:tc>
          <w:tcPr>
            <w:tcW w:w="3050" w:type="dxa"/>
            <w:tcBorders>
              <w:top w:val="nil" w:sz="6" w:space="0" w:color="auto"/>
              <w:left w:val="single" w:sz="4" w:space="0" w:color="000000"/>
              <w:bottom w:val="nil" w:sz="6" w:space="0" w:color="auto"/>
              <w:right w:val="single" w:sz="4" w:space="0" w:color="000000"/>
            </w:tcBorders>
          </w:tcPr>
          <w:p>
            <w:pPr/>
          </w:p>
        </w:tc>
      </w:tr>
      <w:tr>
        <w:trPr>
          <w:trHeight w:val="74" w:hRule="exact"/>
        </w:trPr>
        <w:tc>
          <w:tcPr>
            <w:tcW w:w="3194" w:type="dxa"/>
            <w:vMerge/>
            <w:tcBorders>
              <w:left w:val="single" w:sz="4" w:space="0" w:color="000000"/>
              <w:bottom w:val="nil" w:sz="6" w:space="0" w:color="auto"/>
              <w:right w:val="single" w:sz="4" w:space="0" w:color="000000"/>
            </w:tcBorders>
            <w:shd w:val="clear" w:color="auto" w:fill="D3D3D3"/>
          </w:tcPr>
          <w:p>
            <w:pPr/>
          </w:p>
        </w:tc>
        <w:tc>
          <w:tcPr>
            <w:tcW w:w="3323" w:type="dxa"/>
            <w:vMerge w:val="restart"/>
            <w:tcBorders>
              <w:top w:val="nil" w:sz="6" w:space="0" w:color="auto"/>
              <w:left w:val="single" w:sz="4" w:space="0" w:color="000000"/>
              <w:right w:val="single" w:sz="4" w:space="0" w:color="000000"/>
            </w:tcBorders>
          </w:tcPr>
          <w:p>
            <w:pPr/>
          </w:p>
        </w:tc>
        <w:tc>
          <w:tcPr>
            <w:tcW w:w="3050" w:type="dxa"/>
            <w:vMerge w:val="restart"/>
            <w:tcBorders>
              <w:top w:val="nil" w:sz="6" w:space="0" w:color="auto"/>
              <w:left w:val="single" w:sz="4" w:space="0" w:color="000000"/>
              <w:right w:val="single" w:sz="4" w:space="0" w:color="000000"/>
            </w:tcBorders>
          </w:tcPr>
          <w:p>
            <w:pPr>
              <w:pStyle w:val="TableParagraph"/>
              <w:spacing w:line="179" w:lineRule="exact"/>
              <w:ind w:left="22" w:right="0"/>
              <w:jc w:val="left"/>
              <w:rPr>
                <w:rFonts w:ascii="宋体" w:hAnsi="宋体" w:cs="宋体" w:eastAsia="宋体" w:hint="default"/>
                <w:sz w:val="18"/>
                <w:szCs w:val="18"/>
              </w:rPr>
            </w:pPr>
            <w:r>
              <w:rPr>
                <w:rFonts w:ascii="宋体" w:hAnsi="宋体" w:cs="宋体" w:eastAsia="宋体" w:hint="default"/>
                <w:sz w:val="18"/>
                <w:szCs w:val="18"/>
              </w:rPr>
              <w:t>程序导致出现一般失误；Ⅲ 公司违反</w:t>
            </w:r>
          </w:p>
        </w:tc>
      </w:tr>
      <w:tr>
        <w:trPr>
          <w:trHeight w:val="106" w:hRule="exact"/>
        </w:trPr>
        <w:tc>
          <w:tcPr>
            <w:tcW w:w="31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vMerge/>
            <w:tcBorders>
              <w:left w:val="single" w:sz="4" w:space="0" w:color="000000"/>
              <w:bottom w:val="nil" w:sz="6" w:space="0" w:color="auto"/>
              <w:right w:val="single" w:sz="4" w:space="0" w:color="000000"/>
            </w:tcBorders>
          </w:tcPr>
          <w:p>
            <w:pPr/>
          </w:p>
        </w:tc>
        <w:tc>
          <w:tcPr>
            <w:tcW w:w="3050" w:type="dxa"/>
            <w:vMerge/>
            <w:tcBorders>
              <w:left w:val="single" w:sz="4" w:space="0" w:color="000000"/>
              <w:bottom w:val="nil" w:sz="6" w:space="0" w:color="auto"/>
              <w:right w:val="single" w:sz="4" w:space="0" w:color="000000"/>
            </w:tcBorders>
          </w:tcPr>
          <w:p>
            <w:pPr/>
          </w:p>
        </w:tc>
      </w:tr>
      <w:tr>
        <w:trPr>
          <w:trHeight w:val="179"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22" w:right="0"/>
              <w:jc w:val="left"/>
              <w:rPr>
                <w:rFonts w:ascii="宋体" w:hAnsi="宋体" w:cs="宋体" w:eastAsia="宋体" w:hint="default"/>
                <w:sz w:val="18"/>
                <w:szCs w:val="18"/>
              </w:rPr>
            </w:pPr>
            <w:r>
              <w:rPr>
                <w:rFonts w:ascii="宋体" w:hAnsi="宋体" w:cs="宋体" w:eastAsia="宋体" w:hint="default"/>
                <w:spacing w:val="-5"/>
                <w:sz w:val="18"/>
                <w:szCs w:val="18"/>
              </w:rPr>
              <w:t>计准则选择和应用会计政策；Ⅱ</w:t>
            </w:r>
            <w:r>
              <w:rPr>
                <w:rFonts w:ascii="宋体" w:hAnsi="宋体" w:cs="宋体" w:eastAsia="宋体" w:hint="default"/>
                <w:spacing w:val="6"/>
                <w:sz w:val="18"/>
                <w:szCs w:val="18"/>
              </w:rPr>
              <w:t> </w:t>
            </w:r>
            <w:r>
              <w:rPr>
                <w:rFonts w:ascii="宋体" w:hAnsi="宋体" w:cs="宋体" w:eastAsia="宋体" w:hint="default"/>
                <w:sz w:val="18"/>
                <w:szCs w:val="18"/>
              </w:rPr>
              <w:t>对于非常</w:t>
            </w:r>
          </w:p>
        </w:tc>
        <w:tc>
          <w:tcPr>
            <w:tcW w:w="3050" w:type="dxa"/>
            <w:tcBorders>
              <w:top w:val="nil" w:sz="6" w:space="0" w:color="auto"/>
              <w:left w:val="single" w:sz="4" w:space="0" w:color="000000"/>
              <w:bottom w:val="nil" w:sz="6" w:space="0" w:color="auto"/>
              <w:right w:val="single" w:sz="4" w:space="0" w:color="000000"/>
            </w:tcBorders>
          </w:tcPr>
          <w:p>
            <w:pPr/>
          </w:p>
        </w:tc>
      </w:tr>
      <w:tr>
        <w:trPr>
          <w:trHeight w:val="106" w:hRule="exact"/>
        </w:trPr>
        <w:tc>
          <w:tcPr>
            <w:tcW w:w="3194" w:type="dxa"/>
            <w:vMerge/>
            <w:tcBorders>
              <w:left w:val="single" w:sz="4" w:space="0" w:color="000000"/>
              <w:bottom w:val="nil" w:sz="6" w:space="0" w:color="auto"/>
              <w:right w:val="single" w:sz="4" w:space="0" w:color="000000"/>
            </w:tcBorders>
            <w:shd w:val="clear" w:color="auto" w:fill="D3D3D3"/>
          </w:tcPr>
          <w:p>
            <w:pPr/>
          </w:p>
        </w:tc>
        <w:tc>
          <w:tcPr>
            <w:tcW w:w="3323" w:type="dxa"/>
            <w:vMerge w:val="restart"/>
            <w:tcBorders>
              <w:top w:val="nil" w:sz="6" w:space="0" w:color="auto"/>
              <w:left w:val="single" w:sz="4" w:space="0" w:color="000000"/>
              <w:right w:val="single" w:sz="4" w:space="0" w:color="000000"/>
            </w:tcBorders>
          </w:tcPr>
          <w:p>
            <w:pPr/>
          </w:p>
        </w:tc>
        <w:tc>
          <w:tcPr>
            <w:tcW w:w="3050" w:type="dxa"/>
            <w:vMerge w:val="restart"/>
            <w:tcBorders>
              <w:top w:val="nil" w:sz="6" w:space="0" w:color="auto"/>
              <w:left w:val="single" w:sz="4" w:space="0" w:color="000000"/>
              <w:right w:val="single" w:sz="4" w:space="0" w:color="000000"/>
            </w:tcBorders>
          </w:tcPr>
          <w:p>
            <w:pPr>
              <w:pStyle w:val="TableParagraph"/>
              <w:spacing w:line="179" w:lineRule="exact"/>
              <w:ind w:left="22" w:right="0"/>
              <w:jc w:val="left"/>
              <w:rPr>
                <w:rFonts w:ascii="宋体" w:hAnsi="宋体" w:cs="宋体" w:eastAsia="宋体" w:hint="default"/>
                <w:sz w:val="18"/>
                <w:szCs w:val="18"/>
              </w:rPr>
            </w:pPr>
            <w:r>
              <w:rPr>
                <w:rFonts w:ascii="宋体" w:hAnsi="宋体" w:cs="宋体" w:eastAsia="宋体" w:hint="default"/>
                <w:sz w:val="18"/>
                <w:szCs w:val="18"/>
              </w:rPr>
              <w:t>企业内部规章，形成损失；Ⅳ 公司内</w:t>
            </w:r>
          </w:p>
        </w:tc>
      </w:tr>
      <w:tr>
        <w:trPr>
          <w:trHeight w:val="73" w:hRule="exact"/>
        </w:trPr>
        <w:tc>
          <w:tcPr>
            <w:tcW w:w="3194" w:type="dxa"/>
            <w:vMerge w:val="restart"/>
            <w:tcBorders>
              <w:top w:val="nil" w:sz="6" w:space="0" w:color="auto"/>
              <w:left w:val="single" w:sz="4" w:space="0" w:color="000000"/>
              <w:right w:val="single" w:sz="4" w:space="0" w:color="000000"/>
            </w:tcBorders>
            <w:shd w:val="clear" w:color="auto" w:fill="D3D3D3"/>
          </w:tcPr>
          <w:p>
            <w:pPr/>
          </w:p>
        </w:tc>
        <w:tc>
          <w:tcPr>
            <w:tcW w:w="3323" w:type="dxa"/>
            <w:vMerge/>
            <w:tcBorders>
              <w:left w:val="single" w:sz="4" w:space="0" w:color="000000"/>
              <w:bottom w:val="nil" w:sz="6" w:space="0" w:color="auto"/>
              <w:right w:val="single" w:sz="4" w:space="0" w:color="000000"/>
            </w:tcBorders>
          </w:tcPr>
          <w:p>
            <w:pPr/>
          </w:p>
        </w:tc>
        <w:tc>
          <w:tcPr>
            <w:tcW w:w="3050" w:type="dxa"/>
            <w:vMerge/>
            <w:tcBorders>
              <w:left w:val="single" w:sz="4" w:space="0" w:color="000000"/>
              <w:bottom w:val="nil" w:sz="6" w:space="0" w:color="auto"/>
              <w:right w:val="single" w:sz="4" w:space="0" w:color="000000"/>
            </w:tcBorders>
          </w:tcPr>
          <w:p>
            <w:pPr/>
          </w:p>
        </w:tc>
      </w:tr>
      <w:tr>
        <w:trPr>
          <w:trHeight w:val="180"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22" w:right="0"/>
              <w:jc w:val="left"/>
              <w:rPr>
                <w:rFonts w:ascii="宋体" w:hAnsi="宋体" w:cs="宋体" w:eastAsia="宋体" w:hint="default"/>
                <w:sz w:val="18"/>
                <w:szCs w:val="18"/>
              </w:rPr>
            </w:pPr>
            <w:r>
              <w:rPr>
                <w:rFonts w:ascii="宋体" w:hAnsi="宋体" w:cs="宋体" w:eastAsia="宋体" w:hint="default"/>
                <w:sz w:val="18"/>
                <w:szCs w:val="18"/>
              </w:rPr>
              <w:t>规或特殊交易的账务处理没有建立相应的</w:t>
            </w:r>
          </w:p>
        </w:tc>
        <w:tc>
          <w:tcPr>
            <w:tcW w:w="3050" w:type="dxa"/>
            <w:tcBorders>
              <w:top w:val="nil" w:sz="6" w:space="0" w:color="auto"/>
              <w:left w:val="single" w:sz="4" w:space="0" w:color="000000"/>
              <w:bottom w:val="nil" w:sz="6" w:space="0" w:color="auto"/>
              <w:right w:val="single" w:sz="4" w:space="0" w:color="000000"/>
            </w:tcBorders>
          </w:tcPr>
          <w:p>
            <w:pPr/>
          </w:p>
        </w:tc>
      </w:tr>
      <w:tr>
        <w:trPr>
          <w:trHeight w:val="179"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22" w:right="0"/>
              <w:jc w:val="left"/>
              <w:rPr>
                <w:rFonts w:ascii="宋体" w:hAnsi="宋体" w:cs="宋体" w:eastAsia="宋体" w:hint="default"/>
                <w:sz w:val="18"/>
                <w:szCs w:val="18"/>
              </w:rPr>
            </w:pPr>
            <w:r>
              <w:rPr>
                <w:rFonts w:ascii="宋体" w:hAnsi="宋体" w:cs="宋体" w:eastAsia="宋体" w:hint="default"/>
                <w:sz w:val="18"/>
                <w:szCs w:val="18"/>
              </w:rPr>
              <w:t>部控制重要或一般缺陷未得到整改。</w:t>
            </w:r>
          </w:p>
        </w:tc>
      </w:tr>
      <w:tr>
        <w:trPr>
          <w:trHeight w:val="199"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2" w:right="0"/>
              <w:jc w:val="left"/>
              <w:rPr>
                <w:rFonts w:ascii="宋体" w:hAnsi="宋体" w:cs="宋体" w:eastAsia="宋体" w:hint="default"/>
                <w:sz w:val="18"/>
                <w:szCs w:val="18"/>
              </w:rPr>
            </w:pPr>
            <w:r>
              <w:rPr>
                <w:rFonts w:ascii="宋体" w:hAnsi="宋体" w:cs="宋体" w:eastAsia="宋体" w:hint="default"/>
                <w:sz w:val="18"/>
                <w:szCs w:val="18"/>
              </w:rPr>
              <w:t>控制机制或没有实施且没有相应的补偿性</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59"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pacing w:val="-16"/>
                <w:sz w:val="18"/>
                <w:szCs w:val="18"/>
              </w:rPr>
              <w:t>控制；Ⅲ</w:t>
            </w:r>
            <w:r>
              <w:rPr>
                <w:rFonts w:ascii="宋体" w:hAnsi="宋体" w:cs="宋体" w:eastAsia="宋体" w:hint="default"/>
                <w:spacing w:val="-1"/>
                <w:sz w:val="18"/>
                <w:szCs w:val="18"/>
              </w:rPr>
              <w:t> </w:t>
            </w:r>
            <w:r>
              <w:rPr>
                <w:rFonts w:ascii="宋体" w:hAnsi="宋体" w:cs="宋体" w:eastAsia="宋体" w:hint="default"/>
                <w:sz w:val="18"/>
                <w:szCs w:val="18"/>
              </w:rPr>
              <w:t>对于期末财务报告过程的控制存</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z w:val="18"/>
                <w:szCs w:val="18"/>
              </w:rPr>
              <w:t>③一般缺陷的认定标准Ⅰ 公司决策程</w:t>
            </w:r>
          </w:p>
        </w:tc>
      </w:tr>
      <w:tr>
        <w:trPr>
          <w:trHeight w:val="359"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在一项或多项缺陷且不能合理保证编制的</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z w:val="18"/>
                <w:szCs w:val="18"/>
              </w:rPr>
              <w:t>序效率不高；Ⅱ 公司一般岗位业务人</w:t>
            </w:r>
          </w:p>
        </w:tc>
      </w:tr>
      <w:tr>
        <w:trPr>
          <w:trHeight w:val="359"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财务报表达到真实、准确的目标。</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z w:val="18"/>
                <w:szCs w:val="18"/>
              </w:rPr>
              <w:t>员流失严重；Ⅲ 媒体出现负面新闻，</w:t>
            </w:r>
          </w:p>
        </w:tc>
      </w:tr>
      <w:tr>
        <w:trPr>
          <w:trHeight w:val="199"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z w:val="18"/>
                <w:szCs w:val="18"/>
              </w:rPr>
              <w:t>但影响不大；Ⅳ 公司一般业务制度或</w:t>
            </w:r>
          </w:p>
        </w:tc>
      </w:tr>
      <w:tr>
        <w:trPr>
          <w:trHeight w:val="179"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22" w:right="0"/>
              <w:jc w:val="left"/>
              <w:rPr>
                <w:rFonts w:ascii="宋体" w:hAnsi="宋体" w:cs="宋体" w:eastAsia="宋体" w:hint="default"/>
                <w:sz w:val="18"/>
                <w:szCs w:val="18"/>
              </w:rPr>
            </w:pPr>
            <w:r>
              <w:rPr>
                <w:rFonts w:ascii="宋体" w:hAnsi="宋体" w:cs="宋体" w:eastAsia="宋体" w:hint="default"/>
                <w:sz w:val="18"/>
                <w:szCs w:val="18"/>
              </w:rPr>
              <w:t>③一般缺陷的认定标准：一般缺陷指上述</w:t>
            </w:r>
          </w:p>
        </w:tc>
        <w:tc>
          <w:tcPr>
            <w:tcW w:w="3050" w:type="dxa"/>
            <w:tcBorders>
              <w:top w:val="nil" w:sz="6" w:space="0" w:color="auto"/>
              <w:left w:val="single" w:sz="4" w:space="0" w:color="000000"/>
              <w:bottom w:val="nil" w:sz="6" w:space="0" w:color="auto"/>
              <w:right w:val="single" w:sz="4" w:space="0" w:color="000000"/>
            </w:tcBorders>
          </w:tcPr>
          <w:p>
            <w:pPr/>
          </w:p>
        </w:tc>
      </w:tr>
      <w:tr>
        <w:trPr>
          <w:trHeight w:val="180"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2" w:right="0"/>
              <w:jc w:val="left"/>
              <w:rPr>
                <w:rFonts w:ascii="宋体" w:hAnsi="宋体" w:cs="宋体" w:eastAsia="宋体" w:hint="default"/>
                <w:sz w:val="18"/>
                <w:szCs w:val="18"/>
              </w:rPr>
            </w:pPr>
            <w:r>
              <w:rPr>
                <w:rFonts w:ascii="宋体" w:hAnsi="宋体" w:cs="宋体" w:eastAsia="宋体" w:hint="default"/>
                <w:sz w:val="18"/>
                <w:szCs w:val="18"/>
              </w:rPr>
              <w:t>系统存在缺陷；Ⅴ 公司一般缺陷未得</w:t>
            </w:r>
          </w:p>
        </w:tc>
      </w:tr>
      <w:tr>
        <w:trPr>
          <w:trHeight w:val="180"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181" w:lineRule="exact"/>
              <w:ind w:left="22" w:right="0"/>
              <w:jc w:val="left"/>
              <w:rPr>
                <w:rFonts w:ascii="宋体" w:hAnsi="宋体" w:cs="宋体" w:eastAsia="宋体" w:hint="default"/>
                <w:sz w:val="18"/>
                <w:szCs w:val="18"/>
              </w:rPr>
            </w:pPr>
            <w:r>
              <w:rPr>
                <w:rFonts w:ascii="宋体" w:hAnsi="宋体" w:cs="宋体" w:eastAsia="宋体" w:hint="default"/>
                <w:sz w:val="18"/>
                <w:szCs w:val="18"/>
              </w:rPr>
              <w:t>重大缺陷和重要缺陷外的其它缺陷。</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3194" w:type="dxa"/>
            <w:vMerge/>
            <w:tcBorders>
              <w:left w:val="single" w:sz="4" w:space="0" w:color="000000"/>
              <w:bottom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single" w:sz="4" w:space="0" w:color="000000"/>
              <w:right w:val="single" w:sz="4" w:space="0" w:color="000000"/>
            </w:tcBorders>
          </w:tcPr>
          <w:p>
            <w:pPr/>
          </w:p>
        </w:tc>
        <w:tc>
          <w:tcPr>
            <w:tcW w:w="3050" w:type="dxa"/>
            <w:tcBorders>
              <w:top w:val="nil" w:sz="6" w:space="0" w:color="auto"/>
              <w:left w:val="single" w:sz="4" w:space="0" w:color="000000"/>
              <w:bottom w:val="single" w:sz="4" w:space="0" w:color="000000"/>
              <w:right w:val="single" w:sz="4" w:space="0" w:color="000000"/>
            </w:tcBorders>
          </w:tcPr>
          <w:p>
            <w:pPr>
              <w:pStyle w:val="TableParagraph"/>
              <w:spacing w:line="179" w:lineRule="exact"/>
              <w:ind w:left="22" w:right="0"/>
              <w:jc w:val="left"/>
              <w:rPr>
                <w:rFonts w:ascii="宋体" w:hAnsi="宋体" w:cs="宋体" w:eastAsia="宋体" w:hint="default"/>
                <w:sz w:val="18"/>
                <w:szCs w:val="18"/>
              </w:rPr>
            </w:pPr>
            <w:r>
              <w:rPr>
                <w:rFonts w:ascii="宋体" w:hAnsi="宋体" w:cs="宋体" w:eastAsia="宋体" w:hint="default"/>
                <w:sz w:val="18"/>
                <w:szCs w:val="18"/>
              </w:rPr>
              <w:t>到整改；Ⅵ 公司存在其他缺陷。</w:t>
            </w:r>
          </w:p>
        </w:tc>
      </w:tr>
    </w:tbl>
    <w:p>
      <w:pPr>
        <w:spacing w:after="0" w:line="179" w:lineRule="exact"/>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b/>
          <w:bCs/>
          <w:sz w:val="24"/>
          <w:szCs w:val="24"/>
        </w:rPr>
      </w:pPr>
      <w:r>
        <w:rPr/>
        <w:pict>
          <v:group style="position:absolute;margin-left:382.799988pt;margin-top:72.480003pt;width:152.050pt;height:46.8pt;mso-position-horizontal-relative:page;mso-position-vertical-relative:page;z-index:-1597456" coordorigin="7656,1450" coordsize="3041,936">
            <v:shape style="position:absolute;left:7656;top:1450;width:3041;height:936" coordorigin="7656,1450" coordsize="3041,936" path="m7656,2386l10697,2386,10697,1450,7656,1450,7656,2386xe" filled="true" fillcolor="#ffffff" stroked="false">
              <v:path arrowok="t"/>
              <v:fill type="solid"/>
            </v:shape>
            <w10:wrap type="none"/>
          </v:group>
        </w:pict>
      </w:r>
      <w:r>
        <w:rPr/>
        <w:pict>
          <v:group style="position:absolute;margin-left:383.940002pt;margin-top:136.919998pt;width:149.8pt;height:15.6pt;mso-position-horizontal-relative:page;mso-position-vertical-relative:page;z-index:-1597408" coordorigin="7679,2738" coordsize="2996,312">
            <v:shape style="position:absolute;left:7679;top:2738;width:2996;height:312" coordorigin="7679,2738" coordsize="2996,312" path="m7679,3050l10674,3050,10674,2738,7679,2738,7679,3050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3194"/>
        <w:gridCol w:w="3323"/>
        <w:gridCol w:w="3050"/>
      </w:tblGrid>
      <w:tr>
        <w:trPr>
          <w:trHeight w:val="358" w:hRule="exact"/>
        </w:trPr>
        <w:tc>
          <w:tcPr>
            <w:tcW w:w="3194"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定量标准以营业收入、资产总额作为衡量</w:t>
            </w:r>
          </w:p>
        </w:tc>
        <w:tc>
          <w:tcPr>
            <w:tcW w:w="305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指标。内部控制缺陷可能导致或导致的损</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失与利润表相关的，以营业收</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如果该缺陷单独或连同其他缺陷可能导致</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定量标准以直接财产损失金额作为衡</w:t>
            </w:r>
          </w:p>
        </w:tc>
      </w:tr>
      <w:tr>
        <w:trPr>
          <w:trHeight w:val="317"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33"/>
              <w:jc w:val="left"/>
              <w:rPr>
                <w:rFonts w:ascii="宋体" w:hAnsi="宋体" w:cs="宋体" w:eastAsia="宋体" w:hint="default"/>
                <w:sz w:val="18"/>
                <w:szCs w:val="18"/>
              </w:rPr>
            </w:pPr>
            <w:r>
              <w:rPr>
                <w:rFonts w:ascii="宋体" w:hAnsi="宋体" w:cs="宋体" w:eastAsia="宋体" w:hint="default"/>
                <w:sz w:val="18"/>
                <w:szCs w:val="18"/>
              </w:rPr>
              <w:t>的财务报告错报金额小于营业收入的</w:t>
            </w:r>
            <w:r>
              <w:rPr>
                <w:rFonts w:ascii="宋体" w:hAnsi="宋体" w:cs="宋体" w:eastAsia="宋体" w:hint="default"/>
                <w:spacing w:val="-44"/>
                <w:sz w:val="18"/>
                <w:szCs w:val="18"/>
              </w:rPr>
              <w:t> </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w:t>
            </w:r>
            <w:r>
              <w:rPr>
                <w:rFonts w:ascii="宋体" w:hAnsi="宋体" w:cs="宋体" w:eastAsia="宋体" w:hint="default"/>
                <w:sz w:val="18"/>
                <w:szCs w:val="18"/>
              </w:rPr>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量指标。内部控制缺陷可能导致或导致</w:t>
            </w:r>
          </w:p>
        </w:tc>
      </w:tr>
      <w:tr>
        <w:trPr>
          <w:trHeight w:val="307"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则认定为一般缺陷；如果超过营业收入的</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的损失与利润表相关的，以直接财产损</w:t>
            </w:r>
          </w:p>
        </w:tc>
      </w:tr>
      <w:tr>
        <w:trPr>
          <w:trHeight w:val="317"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则为重要缺陷；如果超过营</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失金额指标衡量。如果该缺陷单独或连</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业收入的</w:t>
            </w:r>
            <w:r>
              <w:rPr>
                <w:rFonts w:ascii="宋体" w:hAnsi="宋体" w:cs="宋体" w:eastAsia="宋体" w:hint="default"/>
                <w:spacing w:val="-34"/>
                <w:sz w:val="18"/>
                <w:szCs w:val="18"/>
              </w:rPr>
              <w:t> </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，则认定为重大缺陷。内部控</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同其他缺陷可能导致的财务报告错报</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制缺陷可能导致或导致的损失与资产管理</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金额小于资产总额的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，则认定为一</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相关的，以资产总额指标衡量。如果该缺</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般缺陷；如果超过资产总额的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陷单独或连同其他缺陷可能导致的财务报</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则为重要缺陷；如果超过资产总</w:t>
            </w:r>
          </w:p>
        </w:tc>
      </w:tr>
      <w:tr>
        <w:trPr>
          <w:trHeight w:val="313"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告错报金额小于资产总额的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pacing w:val="-78"/>
                <w:sz w:val="18"/>
                <w:szCs w:val="18"/>
              </w:rPr>
              <w:t>，</w:t>
            </w:r>
            <w:r>
              <w:rPr>
                <w:rFonts w:ascii="宋体" w:hAnsi="宋体" w:cs="宋体" w:eastAsia="宋体" w:hint="default"/>
                <w:sz w:val="18"/>
                <w:szCs w:val="18"/>
              </w:rPr>
              <w:t>则认定为</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，则认定为重大缺陷。</w:t>
            </w:r>
          </w:p>
        </w:tc>
      </w:tr>
      <w:tr>
        <w:trPr>
          <w:trHeight w:val="311"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一般缺陷</w:t>
            </w:r>
            <w:r>
              <w:rPr>
                <w:rFonts w:ascii="宋体" w:hAnsi="宋体" w:cs="宋体" w:eastAsia="宋体" w:hint="default"/>
                <w:spacing w:val="-78"/>
                <w:sz w:val="18"/>
                <w:szCs w:val="18"/>
              </w:rPr>
              <w:t>；</w:t>
            </w:r>
            <w:r>
              <w:rPr>
                <w:rFonts w:ascii="宋体" w:hAnsi="宋体" w:cs="宋体" w:eastAsia="宋体" w:hint="default"/>
                <w:sz w:val="18"/>
                <w:szCs w:val="18"/>
              </w:rPr>
              <w:t>如果超过资产总额的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认定为重要缺陷；如果超过资产总额</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51" w:hRule="exact"/>
        </w:trPr>
        <w:tc>
          <w:tcPr>
            <w:tcW w:w="3194"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，则认定为重大缺陷。</w:t>
            </w:r>
          </w:p>
        </w:tc>
        <w:tc>
          <w:tcPr>
            <w:tcW w:w="3050"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1113"/>
        <w:jc w:val="left"/>
        <w:rPr>
          <w:b w:val="0"/>
          <w:bCs w:val="0"/>
        </w:rPr>
      </w:pPr>
      <w:r>
        <w:rPr/>
        <w:pict>
          <v:shape style="position:absolute;margin-left:331.619415pt;margin-top:-330.764069pt;width:203.25pt;height:238.05pt;mso-position-horizontal-relative:page;mso-position-vertical-relative:paragraph;z-index:-159748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入指标衡量。</w:t>
                  </w:r>
                </w:p>
              </w:txbxContent>
            </v:textbox>
            <w10:wrap type="none"/>
          </v:shape>
        </w:pict>
      </w:r>
      <w:r>
        <w:rPr/>
        <w:pict>
          <v:group style="position:absolute;margin-left:382.799988pt;margin-top:-139.544067pt;width:152.050pt;height:46.8pt;mso-position-horizontal-relative:page;mso-position-vertical-relative:paragraph;z-index:-1597432" coordorigin="7656,-2791" coordsize="3041,936">
            <v:shape style="position:absolute;left:7656;top:-2791;width:3041;height:936" coordorigin="7656,-2791" coordsize="3041,936" path="m7656,-1855l10697,-1855,10697,-2791,7656,-2791,7656,-1855xe" filled="true" fillcolor="#ffffff" stroked="false">
              <v:path arrowok="t"/>
              <v:fill type="solid"/>
            </v:shape>
            <w10:wrap type="none"/>
          </v:group>
        </w:pict>
      </w:r>
      <w:r>
        <w:rPr/>
        <w:t>十、内部控制审计报告或鉴证报告</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046" w:right="1113"/>
        <w:jc w:val="left"/>
        <w:rPr>
          <w:b w:val="0"/>
          <w:bCs w:val="0"/>
        </w:rPr>
      </w:pPr>
      <w:bookmarkStart w:name="_TOC_250002" w:id="11"/>
      <w:r>
        <w:rPr/>
        <w:t>第十一节公司债券相关情况</w:t>
      </w:r>
      <w:bookmarkEnd w:id="11"/>
      <w:r>
        <w:rPr>
          <w:b w:val="0"/>
          <w:bCs w:val="0"/>
        </w:rPr>
      </w:r>
    </w:p>
    <w:p>
      <w:pPr>
        <w:spacing w:line="240" w:lineRule="auto" w:before="0"/>
        <w:rPr>
          <w:rFonts w:ascii="宋体" w:hAnsi="宋体" w:cs="宋体" w:eastAsia="宋体" w:hint="default"/>
          <w:b/>
          <w:bCs/>
          <w:sz w:val="32"/>
          <w:szCs w:val="32"/>
        </w:rPr>
      </w:pPr>
    </w:p>
    <w:p>
      <w:pPr>
        <w:spacing w:line="516" w:lineRule="auto" w:before="216"/>
        <w:ind w:left="153" w:right="2111"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516"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322"/>
        <w:jc w:val="center"/>
        <w:rPr>
          <w:b w:val="0"/>
          <w:bCs w:val="0"/>
        </w:rPr>
      </w:pPr>
      <w:bookmarkStart w:name="_TOC_250001" w:id="12"/>
      <w:r>
        <w:rPr/>
        <w:t>第十二节财务报告</w:t>
      </w:r>
      <w:bookmarkEnd w:id="1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1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王娜、王幈</w:t>
            </w:r>
          </w:p>
        </w:tc>
      </w:tr>
    </w:tbl>
    <w:p>
      <w:pPr>
        <w:spacing w:line="240" w:lineRule="auto" w:before="0"/>
        <w:rPr>
          <w:rFonts w:ascii="宋体" w:hAnsi="宋体" w:cs="宋体" w:eastAsia="宋体" w:hint="default"/>
          <w:b/>
          <w:bCs/>
          <w:sz w:val="20"/>
          <w:szCs w:val="20"/>
        </w:rPr>
      </w:pPr>
    </w:p>
    <w:p>
      <w:pPr>
        <w:spacing w:before="150"/>
        <w:ind w:left="346" w:right="1322" w:firstLine="0"/>
        <w:jc w:val="center"/>
        <w:rPr>
          <w:rFonts w:ascii="宋体" w:hAnsi="宋体" w:cs="宋体" w:eastAsia="宋体" w:hint="default"/>
          <w:sz w:val="36"/>
          <w:szCs w:val="36"/>
        </w:rPr>
      </w:pPr>
      <w:r>
        <w:rPr>
          <w:rFonts w:ascii="宋体" w:hAnsi="宋体" w:cs="宋体" w:eastAsia="宋体" w:hint="default"/>
          <w:b/>
          <w:bCs/>
          <w:sz w:val="36"/>
          <w:szCs w:val="36"/>
        </w:rPr>
        <w:t>审计报告</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44"/>
        <w:ind w:left="7272" w:right="993" w:firstLine="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ZG10836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spacing w:line="240" w:lineRule="auto" w:before="6"/>
        <w:rPr>
          <w:rFonts w:ascii="宋体" w:hAnsi="宋体" w:cs="宋体" w:eastAsia="宋体" w:hint="default"/>
          <w:sz w:val="26"/>
          <w:szCs w:val="26"/>
        </w:rPr>
      </w:pPr>
    </w:p>
    <w:p>
      <w:pPr>
        <w:pStyle w:val="Heading3"/>
        <w:spacing w:line="674" w:lineRule="auto" w:before="35"/>
        <w:ind w:left="574" w:right="7377" w:hanging="420"/>
        <w:jc w:val="left"/>
        <w:rPr>
          <w:b w:val="0"/>
          <w:bCs w:val="0"/>
        </w:rPr>
      </w:pPr>
      <w:r>
        <w:rPr/>
        <w:t>新开普电子股份有限公司全体股东：</w:t>
      </w:r>
      <w:r>
        <w:rPr>
          <w:w w:val="99"/>
        </w:rPr>
        <w:t> </w:t>
      </w:r>
      <w:r>
        <w:rPr/>
        <w:t>一、审计意见</w:t>
      </w:r>
      <w:r>
        <w:rPr>
          <w:b w:val="0"/>
          <w:bCs w:val="0"/>
        </w:rPr>
      </w:r>
    </w:p>
    <w:p>
      <w:pPr>
        <w:spacing w:line="240" w:lineRule="auto" w:before="6"/>
        <w:rPr>
          <w:rFonts w:ascii="宋体" w:hAnsi="宋体" w:cs="宋体" w:eastAsia="宋体" w:hint="default"/>
          <w:b/>
          <w:bCs/>
          <w:sz w:val="16"/>
          <w:szCs w:val="16"/>
        </w:rPr>
      </w:pPr>
    </w:p>
    <w:p>
      <w:pPr>
        <w:pStyle w:val="BodyText"/>
        <w:spacing w:line="386" w:lineRule="auto" w:before="0"/>
        <w:ind w:left="153" w:right="1130" w:firstLine="420"/>
        <w:jc w:val="both"/>
      </w:pPr>
      <w:r>
        <w:rPr>
          <w:spacing w:val="-1"/>
        </w:rPr>
        <w:t>我们审计了新开普电子股份有限公司（以下简称新开普）财务报表，包括</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日的合并及母</w:t>
      </w:r>
      <w:r>
        <w:rPr/>
        <w:t> </w:t>
      </w:r>
      <w:r>
        <w:rPr>
          <w:spacing w:val="-1"/>
        </w:rPr>
        <w:t>公司资产负债表，</w:t>
      </w:r>
      <w:r>
        <w:rPr>
          <w:rFonts w:ascii="Times New Roman" w:hAnsi="Times New Roman" w:cs="Times New Roman" w:eastAsia="Times New Roman" w:hint="default"/>
          <w:spacing w:val="-1"/>
        </w:rPr>
        <w:t>2019</w:t>
      </w:r>
      <w:r>
        <w:rPr>
          <w:spacing w:val="-1"/>
        </w:rPr>
        <w:t>年度的合并及母公司利润表、合并及母公司现金流量表、合并及母公司所有者权益</w:t>
      </w:r>
      <w:r>
        <w:rPr>
          <w:spacing w:val="-83"/>
        </w:rPr>
        <w:t> </w:t>
      </w:r>
      <w:r>
        <w:rPr>
          <w:spacing w:val="-83"/>
        </w:rPr>
      </w:r>
      <w:r>
        <w:rPr/>
        <w:t>变动表以及相关财务报表附注。</w:t>
      </w:r>
    </w:p>
    <w:p>
      <w:pPr>
        <w:pStyle w:val="BodyText"/>
        <w:spacing w:line="240" w:lineRule="auto" w:before="65"/>
        <w:ind w:left="573" w:right="993"/>
        <w:jc w:val="left"/>
      </w:pPr>
      <w:r>
        <w:rPr/>
        <w:t>我们认为，后附的财务报表在所有重大方面按照企业会计准则的规定编制，公允反映了新开普</w:t>
      </w:r>
      <w:r>
        <w:rPr>
          <w:rFonts w:ascii="Times New Roman" w:hAnsi="Times New Roman" w:cs="Times New Roman" w:eastAsia="Times New Roman" w:hint="default"/>
        </w:rPr>
        <w:t>2019</w:t>
      </w:r>
      <w:r>
        <w:rPr/>
        <w:t>年</w:t>
      </w:r>
    </w:p>
    <w:p>
      <w:pPr>
        <w:spacing w:line="717" w:lineRule="auto" w:before="177"/>
        <w:ind w:left="574" w:right="1113" w:hanging="421"/>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日的合并及母公司财务状况以及</w:t>
      </w:r>
      <w:r>
        <w:rPr>
          <w:rFonts w:ascii="Times New Roman" w:hAnsi="Times New Roman" w:cs="Times New Roman" w:eastAsia="Times New Roman" w:hint="default"/>
          <w:sz w:val="21"/>
          <w:szCs w:val="21"/>
        </w:rPr>
        <w:t>2019</w:t>
      </w:r>
      <w:r>
        <w:rPr>
          <w:rFonts w:ascii="宋体" w:hAnsi="宋体" w:cs="宋体" w:eastAsia="宋体" w:hint="default"/>
          <w:sz w:val="21"/>
          <w:szCs w:val="21"/>
        </w:rPr>
        <w:t>年度的合并及母公司经营成果和现金流量。 </w:t>
      </w:r>
      <w:r>
        <w:rPr>
          <w:rFonts w:ascii="宋体" w:hAnsi="宋体" w:cs="宋体" w:eastAsia="宋体" w:hint="default"/>
          <w:b/>
          <w:bCs/>
          <w:sz w:val="21"/>
          <w:szCs w:val="21"/>
        </w:rPr>
        <w:t>二、形成审计意见的基础</w:t>
      </w:r>
      <w:r>
        <w:rPr>
          <w:rFonts w:ascii="宋体" w:hAnsi="宋体" w:cs="宋体" w:eastAsia="宋体" w:hint="default"/>
          <w:sz w:val="21"/>
          <w:szCs w:val="21"/>
        </w:rPr>
      </w:r>
    </w:p>
    <w:p>
      <w:pPr>
        <w:pStyle w:val="BodyText"/>
        <w:spacing w:line="408" w:lineRule="auto" w:before="177"/>
        <w:ind w:right="1131" w:firstLine="420"/>
        <w:jc w:val="both"/>
      </w:pPr>
      <w:r>
        <w:rPr>
          <w:spacing w:val="-1"/>
        </w:rPr>
        <w:t>我们按照中国注册会计师审计准则的规定执行了审计工作。审计报告的“注册会计师对财务报表审计</w:t>
      </w:r>
      <w:r>
        <w:rPr/>
        <w:t> </w:t>
      </w:r>
      <w:r>
        <w:rPr>
          <w:spacing w:val="-1"/>
        </w:rPr>
        <w:t>的责任”部分进一步阐述了我们在这些准则下的责任。按照中国注册会计师职业道德守则，我们独立于新</w:t>
      </w:r>
      <w:r>
        <w:rPr>
          <w:spacing w:val="-83"/>
        </w:rPr>
        <w:t> </w:t>
      </w:r>
      <w:r>
        <w:rPr>
          <w:spacing w:val="-83"/>
        </w:rPr>
      </w:r>
      <w:r>
        <w:rPr>
          <w:spacing w:val="-1"/>
        </w:rPr>
        <w:t>开普，并履行了职业道德方面的其他责任。我们相信，我们获取的审计证据是充分、适当的，为发表审计</w:t>
      </w:r>
      <w:r>
        <w:rPr>
          <w:spacing w:val="-83"/>
        </w:rPr>
        <w:t> </w:t>
      </w:r>
      <w:r>
        <w:rPr>
          <w:spacing w:val="-83"/>
        </w:rPr>
      </w:r>
      <w:r>
        <w:rPr/>
        <w:t>意见提供了基础。</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3"/>
        <w:spacing w:line="240" w:lineRule="auto"/>
        <w:ind w:left="574" w:right="1113"/>
        <w:jc w:val="left"/>
        <w:rPr>
          <w:b w:val="0"/>
          <w:bCs w:val="0"/>
        </w:rPr>
      </w:pPr>
      <w:r>
        <w:rPr/>
        <w:t>三、关键审计事项</w:t>
      </w:r>
      <w:r>
        <w:rPr>
          <w:b w:val="0"/>
          <w:bCs w:val="0"/>
        </w:rPr>
      </w:r>
    </w:p>
    <w:p>
      <w:pPr>
        <w:spacing w:after="0" w:line="240" w:lineRule="auto"/>
        <w:jc w:val="left"/>
        <w:sectPr>
          <w:pgSz w:w="11910" w:h="16840"/>
          <w:pgMar w:header="877" w:footer="982" w:top="1100" w:bottom="118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4"/>
          <w:szCs w:val="14"/>
        </w:rPr>
      </w:pPr>
    </w:p>
    <w:p>
      <w:pPr>
        <w:pStyle w:val="BodyText"/>
        <w:spacing w:line="408" w:lineRule="auto" w:before="35"/>
        <w:ind w:right="1131" w:firstLine="420"/>
        <w:jc w:val="both"/>
      </w:pPr>
      <w:r>
        <w:rPr>
          <w:spacing w:val="-1"/>
        </w:rPr>
        <w:t>关键审计事项是我们根据职业判断，认为对本期财务报表审计最为重要的事项。这些事项的应对以对</w:t>
      </w:r>
      <w:r>
        <w:rPr/>
        <w:t> </w:t>
      </w:r>
      <w:r>
        <w:rPr>
          <w:spacing w:val="-1"/>
        </w:rPr>
        <w:t>财务报表整体进行审计并形成审计意见为背景，我们不对这些事项单独发表意见。我们确定下列事项是需</w:t>
      </w:r>
      <w:r>
        <w:rPr>
          <w:spacing w:val="-81"/>
        </w:rPr>
        <w:t> </w:t>
      </w:r>
      <w:r>
        <w:rPr>
          <w:spacing w:val="-81"/>
        </w:rPr>
      </w:r>
      <w:r>
        <w:rPr/>
        <w:t>要在审计报告中沟通的关键审计事项。</w:t>
      </w:r>
    </w:p>
    <w:p>
      <w:pPr>
        <w:spacing w:line="240" w:lineRule="auto" w:before="6"/>
        <w:rPr>
          <w:rFonts w:ascii="宋体" w:hAnsi="宋体" w:cs="宋体" w:eastAsia="宋体" w:hint="default"/>
          <w:sz w:val="29"/>
          <w:szCs w:val="29"/>
        </w:rPr>
      </w:pPr>
    </w:p>
    <w:tbl>
      <w:tblPr>
        <w:tblW w:w="0" w:type="auto"/>
        <w:jc w:val="left"/>
        <w:tblInd w:w="757" w:type="dxa"/>
        <w:tblLayout w:type="fixed"/>
        <w:tblCellMar>
          <w:top w:w="0" w:type="dxa"/>
          <w:left w:w="0" w:type="dxa"/>
          <w:bottom w:w="0" w:type="dxa"/>
          <w:right w:w="0" w:type="dxa"/>
        </w:tblCellMar>
        <w:tblLook w:val="01E0"/>
      </w:tblPr>
      <w:tblGrid>
        <w:gridCol w:w="4153"/>
        <w:gridCol w:w="4068"/>
      </w:tblGrid>
      <w:tr>
        <w:trPr>
          <w:trHeight w:val="368"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740" w:right="0"/>
              <w:jc w:val="left"/>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64"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68" w:hRule="exact"/>
        </w:trPr>
        <w:tc>
          <w:tcPr>
            <w:tcW w:w="82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23" w:right="0"/>
              <w:jc w:val="left"/>
              <w:rPr>
                <w:rFonts w:ascii="宋体" w:hAnsi="宋体" w:cs="宋体" w:eastAsia="宋体" w:hint="default"/>
                <w:sz w:val="18"/>
                <w:szCs w:val="18"/>
              </w:rPr>
            </w:pPr>
            <w:r>
              <w:rPr>
                <w:rFonts w:ascii="宋体" w:hAnsi="宋体" w:cs="宋体" w:eastAsia="宋体" w:hint="default"/>
                <w:b/>
                <w:bCs/>
                <w:sz w:val="18"/>
                <w:szCs w:val="18"/>
              </w:rPr>
              <w:t>（一）收入确认</w:t>
            </w:r>
            <w:r>
              <w:rPr>
                <w:rFonts w:ascii="宋体" w:hAnsi="宋体" w:cs="宋体" w:eastAsia="宋体" w:hint="default"/>
                <w:sz w:val="18"/>
                <w:szCs w:val="18"/>
              </w:rPr>
            </w:r>
          </w:p>
        </w:tc>
      </w:tr>
      <w:tr>
        <w:trPr>
          <w:trHeight w:val="369" w:hRule="exact"/>
        </w:trPr>
        <w:tc>
          <w:tcPr>
            <w:tcW w:w="41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hAnsi="宋体" w:cs="宋体" w:eastAsia="宋体" w:hint="default"/>
                <w:spacing w:val="-4"/>
                <w:w w:val="95"/>
                <w:sz w:val="18"/>
                <w:szCs w:val="18"/>
              </w:rPr>
              <w:t>请参阅合并财务报表附注五、</w:t>
            </w:r>
            <w:r>
              <w:rPr>
                <w:rFonts w:ascii="Times New Roman" w:hAnsi="Times New Roman" w:cs="Times New Roman" w:eastAsia="Times New Roman" w:hint="default"/>
                <w:spacing w:val="-4"/>
                <w:w w:val="95"/>
                <w:sz w:val="18"/>
                <w:szCs w:val="18"/>
              </w:rPr>
              <w:t>28</w:t>
            </w:r>
            <w:r>
              <w:rPr>
                <w:rFonts w:ascii="宋体" w:hAnsi="宋体" w:cs="宋体" w:eastAsia="宋体" w:hint="default"/>
                <w:spacing w:val="-4"/>
                <w:w w:val="95"/>
                <w:sz w:val="18"/>
                <w:szCs w:val="18"/>
              </w:rPr>
              <w:t>、收入所述的</w:t>
            </w:r>
          </w:p>
        </w:tc>
        <w:tc>
          <w:tcPr>
            <w:tcW w:w="40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522" w:right="0"/>
              <w:jc w:val="left"/>
              <w:rPr>
                <w:rFonts w:ascii="宋体" w:hAnsi="宋体" w:cs="宋体" w:eastAsia="宋体" w:hint="default"/>
                <w:sz w:val="18"/>
                <w:szCs w:val="18"/>
              </w:rPr>
            </w:pPr>
            <w:r>
              <w:rPr>
                <w:rFonts w:ascii="宋体" w:hAnsi="宋体" w:cs="宋体" w:eastAsia="宋体" w:hint="default"/>
                <w:sz w:val="18"/>
                <w:szCs w:val="18"/>
              </w:rPr>
              <w:t>我们执行的主要审计程序如下：</w:t>
            </w:r>
          </w:p>
        </w:tc>
      </w:tr>
      <w:tr>
        <w:trPr>
          <w:trHeight w:val="359" w:hRule="exact"/>
        </w:trPr>
        <w:tc>
          <w:tcPr>
            <w:tcW w:w="4153"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会计政策及附注七、</w:t>
            </w:r>
            <w:r>
              <w:rPr>
                <w:rFonts w:ascii="Times New Roman" w:hAnsi="Times New Roman" w:cs="Times New Roman" w:eastAsia="Times New Roman" w:hint="default"/>
                <w:sz w:val="18"/>
                <w:szCs w:val="18"/>
              </w:rPr>
              <w:t>37</w:t>
            </w:r>
            <w:r>
              <w:rPr>
                <w:rFonts w:ascii="宋体" w:hAnsi="宋体" w:cs="宋体" w:eastAsia="宋体" w:hint="default"/>
                <w:sz w:val="18"/>
                <w:szCs w:val="18"/>
              </w:rPr>
              <w:t>、营业收入和营业成本，于</w:t>
            </w:r>
          </w:p>
        </w:tc>
        <w:tc>
          <w:tcPr>
            <w:tcW w:w="406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77"/>
                <w:sz w:val="18"/>
                <w:szCs w:val="18"/>
              </w:rPr>
              <w:t>、</w:t>
            </w:r>
            <w:r>
              <w:rPr>
                <w:rFonts w:ascii="宋体" w:hAnsi="宋体" w:cs="宋体" w:eastAsia="宋体" w:hint="default"/>
                <w:sz w:val="18"/>
                <w:szCs w:val="18"/>
              </w:rPr>
              <w:t>了解和评价管理层与收入确认相关的关键</w:t>
            </w:r>
          </w:p>
        </w:tc>
      </w:tr>
      <w:tr>
        <w:trPr>
          <w:trHeight w:val="359" w:hRule="exact"/>
        </w:trPr>
        <w:tc>
          <w:tcPr>
            <w:tcW w:w="4153"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年度，新开普营业收入为人民币</w:t>
            </w:r>
            <w:r>
              <w:rPr>
                <w:rFonts w:ascii="Times New Roman" w:hAnsi="Times New Roman" w:cs="Times New Roman" w:eastAsia="Times New Roman" w:hint="default"/>
                <w:sz w:val="18"/>
                <w:szCs w:val="18"/>
              </w:rPr>
              <w:t>96</w:t>
            </w:r>
            <w:r>
              <w:rPr>
                <w:rFonts w:ascii="宋体" w:hAnsi="宋体" w:cs="宋体" w:eastAsia="宋体" w:hint="default"/>
                <w:sz w:val="18"/>
                <w:szCs w:val="18"/>
              </w:rPr>
              <w:t>,</w:t>
            </w:r>
            <w:r>
              <w:rPr>
                <w:rFonts w:ascii="Times New Roman" w:hAnsi="Times New Roman" w:cs="Times New Roman" w:eastAsia="Times New Roman" w:hint="default"/>
                <w:sz w:val="18"/>
                <w:szCs w:val="18"/>
              </w:rPr>
              <w:t>402</w:t>
            </w:r>
            <w:r>
              <w:rPr>
                <w:rFonts w:ascii="宋体" w:hAnsi="宋体" w:cs="宋体" w:eastAsia="宋体" w:hint="default"/>
                <w:sz w:val="18"/>
                <w:szCs w:val="18"/>
              </w:rPr>
              <w:t>.</w:t>
            </w:r>
            <w:r>
              <w:rPr>
                <w:rFonts w:ascii="Times New Roman" w:hAnsi="Times New Roman" w:cs="Times New Roman" w:eastAsia="Times New Roman" w:hint="default"/>
                <w:sz w:val="18"/>
                <w:szCs w:val="18"/>
              </w:rPr>
              <w:t>34</w:t>
            </w:r>
            <w:r>
              <w:rPr>
                <w:rFonts w:ascii="宋体" w:hAnsi="宋体" w:cs="宋体" w:eastAsia="宋体" w:hint="default"/>
                <w:sz w:val="18"/>
                <w:szCs w:val="18"/>
              </w:rPr>
              <w:t>万</w:t>
            </w:r>
          </w:p>
        </w:tc>
        <w:tc>
          <w:tcPr>
            <w:tcW w:w="406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1" w:right="0"/>
              <w:jc w:val="left"/>
              <w:rPr>
                <w:rFonts w:ascii="宋体" w:hAnsi="宋体" w:cs="宋体" w:eastAsia="宋体" w:hint="default"/>
                <w:sz w:val="18"/>
                <w:szCs w:val="18"/>
              </w:rPr>
            </w:pPr>
            <w:r>
              <w:rPr>
                <w:rFonts w:ascii="宋体" w:hAnsi="宋体" w:cs="宋体" w:eastAsia="宋体" w:hint="default"/>
                <w:sz w:val="18"/>
                <w:szCs w:val="18"/>
              </w:rPr>
              <w:t>内部控制的设计和运行的有效性；</w:t>
            </w:r>
          </w:p>
        </w:tc>
      </w:tr>
      <w:tr>
        <w:trPr>
          <w:trHeight w:val="359" w:hRule="exact"/>
        </w:trPr>
        <w:tc>
          <w:tcPr>
            <w:tcW w:w="4153"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元，公司属于软件和信息技术服务业，其销售方式</w:t>
            </w:r>
          </w:p>
        </w:tc>
        <w:tc>
          <w:tcPr>
            <w:tcW w:w="406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、针对直销及经销两种不同的销售方式，选</w:t>
            </w:r>
          </w:p>
        </w:tc>
      </w:tr>
      <w:tr>
        <w:trPr>
          <w:trHeight w:val="354" w:hRule="exact"/>
        </w:trPr>
        <w:tc>
          <w:tcPr>
            <w:tcW w:w="4153"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分为直销及经销，在产品交付客户或经销商，经验</w:t>
            </w:r>
          </w:p>
        </w:tc>
        <w:tc>
          <w:tcPr>
            <w:tcW w:w="406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1" w:right="0"/>
              <w:jc w:val="left"/>
              <w:rPr>
                <w:rFonts w:ascii="宋体" w:hAnsi="宋体" w:cs="宋体" w:eastAsia="宋体" w:hint="default"/>
                <w:sz w:val="18"/>
                <w:szCs w:val="18"/>
              </w:rPr>
            </w:pPr>
            <w:r>
              <w:rPr>
                <w:rFonts w:ascii="宋体" w:hAnsi="宋体" w:cs="宋体" w:eastAsia="宋体" w:hint="default"/>
                <w:spacing w:val="3"/>
                <w:sz w:val="18"/>
                <w:szCs w:val="18"/>
              </w:rPr>
              <w:t>取样本检查销售合同，识别与商品所有权上的风</w:t>
            </w:r>
            <w:r>
              <w:rPr>
                <w:rFonts w:ascii="宋体" w:hAnsi="宋体" w:cs="宋体" w:eastAsia="宋体" w:hint="default"/>
                <w:sz w:val="18"/>
                <w:szCs w:val="18"/>
              </w:rPr>
            </w:r>
          </w:p>
        </w:tc>
      </w:tr>
      <w:tr>
        <w:trPr>
          <w:trHeight w:val="359" w:hRule="exact"/>
        </w:trPr>
        <w:tc>
          <w:tcPr>
            <w:tcW w:w="4153"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收合格且开具发票后，公司予以确认收入。</w:t>
            </w:r>
          </w:p>
        </w:tc>
        <w:tc>
          <w:tcPr>
            <w:tcW w:w="4068"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1" w:right="0"/>
              <w:jc w:val="left"/>
              <w:rPr>
                <w:rFonts w:ascii="宋体" w:hAnsi="宋体" w:cs="宋体" w:eastAsia="宋体" w:hint="default"/>
                <w:sz w:val="18"/>
                <w:szCs w:val="18"/>
              </w:rPr>
            </w:pPr>
            <w:r>
              <w:rPr>
                <w:rFonts w:ascii="宋体" w:hAnsi="宋体" w:cs="宋体" w:eastAsia="宋体" w:hint="default"/>
                <w:spacing w:val="3"/>
                <w:sz w:val="18"/>
                <w:szCs w:val="18"/>
              </w:rPr>
              <w:t>险和报酬转移相关的合同条款与条件，评价收入</w:t>
            </w:r>
            <w:r>
              <w:rPr>
                <w:rFonts w:ascii="宋体" w:hAnsi="宋体" w:cs="宋体" w:eastAsia="宋体" w:hint="default"/>
                <w:sz w:val="18"/>
                <w:szCs w:val="18"/>
              </w:rPr>
            </w:r>
          </w:p>
        </w:tc>
      </w:tr>
      <w:tr>
        <w:trPr>
          <w:trHeight w:val="359" w:hRule="exact"/>
        </w:trPr>
        <w:tc>
          <w:tcPr>
            <w:tcW w:w="4153"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hAnsi="宋体" w:cs="宋体" w:eastAsia="宋体" w:hint="default"/>
                <w:sz w:val="18"/>
                <w:szCs w:val="18"/>
              </w:rPr>
              <w:t>由于收入是新开普的关键业绩指标之一</w:t>
            </w:r>
            <w:r>
              <w:rPr>
                <w:rFonts w:ascii="宋体" w:hAnsi="宋体" w:cs="宋体" w:eastAsia="宋体" w:hint="default"/>
                <w:spacing w:val="-83"/>
                <w:sz w:val="18"/>
                <w:szCs w:val="18"/>
              </w:rPr>
              <w:t>，</w:t>
            </w:r>
            <w:r>
              <w:rPr>
                <w:rFonts w:ascii="宋体" w:hAnsi="宋体" w:cs="宋体" w:eastAsia="宋体" w:hint="default"/>
                <w:sz w:val="18"/>
                <w:szCs w:val="18"/>
              </w:rPr>
              <w:t>从而</w:t>
            </w:r>
          </w:p>
        </w:tc>
        <w:tc>
          <w:tcPr>
            <w:tcW w:w="4068"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1" w:right="0"/>
              <w:jc w:val="left"/>
              <w:rPr>
                <w:rFonts w:ascii="宋体" w:hAnsi="宋体" w:cs="宋体" w:eastAsia="宋体" w:hint="default"/>
                <w:sz w:val="18"/>
                <w:szCs w:val="18"/>
              </w:rPr>
            </w:pPr>
            <w:r>
              <w:rPr>
                <w:rFonts w:ascii="宋体" w:hAnsi="宋体" w:cs="宋体" w:eastAsia="宋体" w:hint="default"/>
                <w:sz w:val="18"/>
                <w:szCs w:val="18"/>
              </w:rPr>
              <w:t>确认时点是否符合企业会计准则的要求；</w:t>
            </w:r>
          </w:p>
        </w:tc>
      </w:tr>
      <w:tr>
        <w:trPr>
          <w:trHeight w:val="364" w:hRule="exact"/>
        </w:trPr>
        <w:tc>
          <w:tcPr>
            <w:tcW w:w="4153"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pacing w:val="7"/>
                <w:sz w:val="18"/>
                <w:szCs w:val="18"/>
              </w:rPr>
              <w:t>存在管理层为了达到特定目标或期望而操纵收入</w:t>
            </w:r>
            <w:r>
              <w:rPr>
                <w:rFonts w:ascii="宋体" w:hAnsi="宋体" w:cs="宋体" w:eastAsia="宋体" w:hint="default"/>
                <w:sz w:val="18"/>
                <w:szCs w:val="18"/>
              </w:rPr>
            </w:r>
          </w:p>
        </w:tc>
        <w:tc>
          <w:tcPr>
            <w:tcW w:w="4068"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4"/>
              <w:jc w:val="righ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、结合产品类型对收入及毛利情况执行分</w:t>
            </w:r>
            <w:r>
              <w:rPr>
                <w:rFonts w:ascii="宋体" w:hAnsi="宋体" w:cs="宋体" w:eastAsia="宋体" w:hint="default"/>
                <w:sz w:val="18"/>
                <w:szCs w:val="18"/>
              </w:rPr>
            </w:r>
          </w:p>
        </w:tc>
      </w:tr>
      <w:tr>
        <w:trPr>
          <w:trHeight w:val="354" w:hRule="exact"/>
        </w:trPr>
        <w:tc>
          <w:tcPr>
            <w:tcW w:w="4153"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确认时点的固有风险，因此我们将收入确认识别为</w:t>
            </w:r>
          </w:p>
        </w:tc>
        <w:tc>
          <w:tcPr>
            <w:tcW w:w="406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1" w:right="0"/>
              <w:jc w:val="left"/>
              <w:rPr>
                <w:rFonts w:ascii="宋体" w:hAnsi="宋体" w:cs="宋体" w:eastAsia="宋体" w:hint="default"/>
                <w:sz w:val="18"/>
                <w:szCs w:val="18"/>
              </w:rPr>
            </w:pPr>
            <w:r>
              <w:rPr>
                <w:rFonts w:ascii="宋体" w:hAnsi="宋体" w:cs="宋体" w:eastAsia="宋体" w:hint="default"/>
                <w:sz w:val="18"/>
                <w:szCs w:val="18"/>
              </w:rPr>
              <w:t>析，判断本期收入金额变动趋势；</w:t>
            </w:r>
          </w:p>
        </w:tc>
      </w:tr>
      <w:tr>
        <w:trPr>
          <w:trHeight w:val="364" w:hRule="exact"/>
        </w:trPr>
        <w:tc>
          <w:tcPr>
            <w:tcW w:w="4153"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关键审计事项。</w:t>
            </w:r>
          </w:p>
        </w:tc>
        <w:tc>
          <w:tcPr>
            <w:tcW w:w="4068"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、对本年记录的收入交易选取样本，核对发</w:t>
            </w:r>
          </w:p>
        </w:tc>
      </w:tr>
      <w:tr>
        <w:trPr>
          <w:trHeight w:val="354" w:hRule="exact"/>
        </w:trPr>
        <w:tc>
          <w:tcPr>
            <w:tcW w:w="4153" w:type="dxa"/>
            <w:tcBorders>
              <w:top w:val="nil" w:sz="6" w:space="0" w:color="auto"/>
              <w:left w:val="single" w:sz="4" w:space="0" w:color="000000"/>
              <w:bottom w:val="nil" w:sz="6" w:space="0" w:color="auto"/>
              <w:right w:val="single" w:sz="4" w:space="0" w:color="000000"/>
            </w:tcBorders>
          </w:tcPr>
          <w:p>
            <w:pPr/>
          </w:p>
        </w:tc>
        <w:tc>
          <w:tcPr>
            <w:tcW w:w="406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1" w:right="0"/>
              <w:jc w:val="left"/>
              <w:rPr>
                <w:rFonts w:ascii="宋体" w:hAnsi="宋体" w:cs="宋体" w:eastAsia="宋体" w:hint="default"/>
                <w:sz w:val="18"/>
                <w:szCs w:val="18"/>
              </w:rPr>
            </w:pPr>
            <w:r>
              <w:rPr>
                <w:rFonts w:ascii="宋体" w:hAnsi="宋体" w:cs="宋体" w:eastAsia="宋体" w:hint="default"/>
                <w:spacing w:val="3"/>
                <w:sz w:val="18"/>
                <w:szCs w:val="18"/>
              </w:rPr>
              <w:t>票、销售合同、出库单、验收单，评价相关收入</w:t>
            </w:r>
            <w:r>
              <w:rPr>
                <w:rFonts w:ascii="宋体" w:hAnsi="宋体" w:cs="宋体" w:eastAsia="宋体" w:hint="default"/>
                <w:sz w:val="18"/>
                <w:szCs w:val="18"/>
              </w:rPr>
            </w:r>
          </w:p>
        </w:tc>
      </w:tr>
      <w:tr>
        <w:trPr>
          <w:trHeight w:val="359" w:hRule="exact"/>
        </w:trPr>
        <w:tc>
          <w:tcPr>
            <w:tcW w:w="4153" w:type="dxa"/>
            <w:tcBorders>
              <w:top w:val="nil" w:sz="6" w:space="0" w:color="auto"/>
              <w:left w:val="single" w:sz="4" w:space="0" w:color="000000"/>
              <w:bottom w:val="nil" w:sz="6" w:space="0" w:color="auto"/>
              <w:right w:val="single" w:sz="4" w:space="0" w:color="000000"/>
            </w:tcBorders>
          </w:tcPr>
          <w:p>
            <w:pPr/>
          </w:p>
        </w:tc>
        <w:tc>
          <w:tcPr>
            <w:tcW w:w="4068"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1" w:right="0"/>
              <w:jc w:val="left"/>
              <w:rPr>
                <w:rFonts w:ascii="宋体" w:hAnsi="宋体" w:cs="宋体" w:eastAsia="宋体" w:hint="default"/>
                <w:sz w:val="18"/>
                <w:szCs w:val="18"/>
              </w:rPr>
            </w:pPr>
            <w:r>
              <w:rPr>
                <w:rFonts w:ascii="宋体" w:hAnsi="宋体" w:cs="宋体" w:eastAsia="宋体" w:hint="default"/>
                <w:sz w:val="18"/>
                <w:szCs w:val="18"/>
              </w:rPr>
              <w:t>确认是否符合公司收入确认的会计政策；</w:t>
            </w:r>
          </w:p>
        </w:tc>
      </w:tr>
      <w:tr>
        <w:trPr>
          <w:trHeight w:val="364" w:hRule="exact"/>
        </w:trPr>
        <w:tc>
          <w:tcPr>
            <w:tcW w:w="4153" w:type="dxa"/>
            <w:tcBorders>
              <w:top w:val="nil" w:sz="6" w:space="0" w:color="auto"/>
              <w:left w:val="single" w:sz="4" w:space="0" w:color="000000"/>
              <w:bottom w:val="nil" w:sz="6" w:space="0" w:color="auto"/>
              <w:right w:val="single" w:sz="4" w:space="0" w:color="000000"/>
            </w:tcBorders>
          </w:tcPr>
          <w:p>
            <w:pPr/>
          </w:p>
        </w:tc>
        <w:tc>
          <w:tcPr>
            <w:tcW w:w="4068"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、结合应收账款和发出商品函证程序，判断</w:t>
            </w:r>
          </w:p>
        </w:tc>
      </w:tr>
      <w:tr>
        <w:trPr>
          <w:trHeight w:val="359" w:hRule="exact"/>
        </w:trPr>
        <w:tc>
          <w:tcPr>
            <w:tcW w:w="4153" w:type="dxa"/>
            <w:tcBorders>
              <w:top w:val="nil" w:sz="6" w:space="0" w:color="auto"/>
              <w:left w:val="single" w:sz="4" w:space="0" w:color="000000"/>
              <w:bottom w:val="single" w:sz="4" w:space="0" w:color="000000"/>
              <w:right w:val="single" w:sz="4" w:space="0" w:color="000000"/>
            </w:tcBorders>
          </w:tcPr>
          <w:p>
            <w:pPr/>
          </w:p>
        </w:tc>
        <w:tc>
          <w:tcPr>
            <w:tcW w:w="40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left="101" w:right="0"/>
              <w:jc w:val="left"/>
              <w:rPr>
                <w:rFonts w:ascii="宋体" w:hAnsi="宋体" w:cs="宋体" w:eastAsia="宋体" w:hint="default"/>
                <w:sz w:val="18"/>
                <w:szCs w:val="18"/>
              </w:rPr>
            </w:pPr>
            <w:r>
              <w:rPr>
                <w:rFonts w:ascii="宋体" w:hAnsi="宋体" w:cs="宋体" w:eastAsia="宋体" w:hint="default"/>
                <w:sz w:val="18"/>
                <w:szCs w:val="18"/>
              </w:rPr>
              <w:t>收入的真实性。</w:t>
            </w:r>
          </w:p>
        </w:tc>
      </w:tr>
      <w:tr>
        <w:trPr>
          <w:trHeight w:val="368" w:hRule="exact"/>
        </w:trPr>
        <w:tc>
          <w:tcPr>
            <w:tcW w:w="82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23" w:right="0"/>
              <w:jc w:val="left"/>
              <w:rPr>
                <w:rFonts w:ascii="宋体" w:hAnsi="宋体" w:cs="宋体" w:eastAsia="宋体" w:hint="default"/>
                <w:sz w:val="18"/>
                <w:szCs w:val="18"/>
              </w:rPr>
            </w:pPr>
            <w:r>
              <w:rPr>
                <w:rFonts w:ascii="宋体" w:hAnsi="宋体" w:cs="宋体" w:eastAsia="宋体" w:hint="default"/>
                <w:b/>
                <w:bCs/>
                <w:sz w:val="18"/>
                <w:szCs w:val="18"/>
              </w:rPr>
              <w:t>（二）商誉减值</w:t>
            </w:r>
            <w:r>
              <w:rPr>
                <w:rFonts w:ascii="宋体" w:hAnsi="宋体" w:cs="宋体" w:eastAsia="宋体" w:hint="default"/>
                <w:sz w:val="18"/>
                <w:szCs w:val="18"/>
              </w:rPr>
            </w:r>
          </w:p>
        </w:tc>
      </w:tr>
      <w:tr>
        <w:trPr>
          <w:trHeight w:val="368" w:hRule="exact"/>
        </w:trPr>
        <w:tc>
          <w:tcPr>
            <w:tcW w:w="41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hAnsi="宋体" w:cs="宋体" w:eastAsia="宋体" w:hint="default"/>
                <w:spacing w:val="-4"/>
                <w:sz w:val="18"/>
                <w:szCs w:val="18"/>
              </w:rPr>
              <w:t>请参阅合并财务报表附注七、</w:t>
            </w:r>
            <w:r>
              <w:rPr>
                <w:rFonts w:ascii="Times New Roman" w:hAnsi="Times New Roman" w:cs="Times New Roman" w:eastAsia="Times New Roman" w:hint="default"/>
                <w:spacing w:val="-4"/>
                <w:sz w:val="18"/>
                <w:szCs w:val="18"/>
              </w:rPr>
              <w:t>18</w:t>
            </w:r>
            <w:r>
              <w:rPr>
                <w:rFonts w:ascii="宋体" w:hAnsi="宋体" w:cs="宋体" w:eastAsia="宋体" w:hint="default"/>
                <w:spacing w:val="-4"/>
                <w:sz w:val="18"/>
                <w:szCs w:val="18"/>
              </w:rPr>
              <w:t>、商誉，公司</w:t>
            </w:r>
          </w:p>
        </w:tc>
        <w:tc>
          <w:tcPr>
            <w:tcW w:w="40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522" w:right="0"/>
              <w:jc w:val="left"/>
              <w:rPr>
                <w:rFonts w:ascii="宋体" w:hAnsi="宋体" w:cs="宋体" w:eastAsia="宋体" w:hint="default"/>
                <w:sz w:val="18"/>
                <w:szCs w:val="18"/>
              </w:rPr>
            </w:pPr>
            <w:r>
              <w:rPr>
                <w:rFonts w:ascii="宋体" w:hAnsi="宋体" w:cs="宋体" w:eastAsia="宋体" w:hint="default"/>
                <w:sz w:val="18"/>
                <w:szCs w:val="18"/>
              </w:rPr>
              <w:t>我们执行的主要审计程序如下：</w:t>
            </w:r>
          </w:p>
        </w:tc>
      </w:tr>
      <w:tr>
        <w:trPr>
          <w:trHeight w:val="359" w:hRule="exact"/>
        </w:trPr>
        <w:tc>
          <w:tcPr>
            <w:tcW w:w="4153"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本年新增商誉金额合计</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998</w:t>
            </w:r>
            <w:r>
              <w:rPr>
                <w:rFonts w:ascii="宋体" w:hAnsi="宋体" w:cs="宋体" w:eastAsia="宋体" w:hint="default"/>
                <w:sz w:val="18"/>
                <w:szCs w:val="18"/>
              </w:rPr>
              <w:t>.</w:t>
            </w:r>
            <w:r>
              <w:rPr>
                <w:rFonts w:ascii="Times New Roman" w:hAnsi="Times New Roman" w:cs="Times New Roman" w:eastAsia="Times New Roman" w:hint="default"/>
                <w:sz w:val="18"/>
                <w:szCs w:val="18"/>
              </w:rPr>
              <w:t>31</w:t>
            </w:r>
            <w:r>
              <w:rPr>
                <w:rFonts w:ascii="宋体" w:hAnsi="宋体" w:cs="宋体" w:eastAsia="宋体" w:hint="default"/>
                <w:sz w:val="18"/>
                <w:szCs w:val="18"/>
              </w:rPr>
              <w:t>万元，累计商誉合</w:t>
            </w:r>
          </w:p>
        </w:tc>
        <w:tc>
          <w:tcPr>
            <w:tcW w:w="406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77"/>
                <w:sz w:val="18"/>
                <w:szCs w:val="18"/>
              </w:rPr>
              <w:t>、</w:t>
            </w:r>
            <w:r>
              <w:rPr>
                <w:rFonts w:ascii="宋体" w:hAnsi="宋体" w:cs="宋体" w:eastAsia="宋体" w:hint="default"/>
                <w:sz w:val="18"/>
                <w:szCs w:val="18"/>
              </w:rPr>
              <w:t>了解和评价与商誉减值相关的内部控制的</w:t>
            </w:r>
          </w:p>
        </w:tc>
      </w:tr>
      <w:tr>
        <w:trPr>
          <w:trHeight w:val="359" w:hRule="exact"/>
        </w:trPr>
        <w:tc>
          <w:tcPr>
            <w:tcW w:w="4153"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计金额</w:t>
            </w:r>
            <w:r>
              <w:rPr>
                <w:rFonts w:ascii="Times New Roman" w:hAnsi="Times New Roman" w:cs="Times New Roman" w:eastAsia="Times New Roman" w:hint="default"/>
                <w:sz w:val="18"/>
                <w:szCs w:val="18"/>
              </w:rPr>
              <w:t>48</w:t>
            </w:r>
            <w:r>
              <w:rPr>
                <w:rFonts w:ascii="宋体" w:hAnsi="宋体" w:cs="宋体" w:eastAsia="宋体" w:hint="default"/>
                <w:sz w:val="18"/>
                <w:szCs w:val="18"/>
              </w:rPr>
              <w:t>,</w:t>
            </w:r>
            <w:r>
              <w:rPr>
                <w:rFonts w:ascii="Times New Roman" w:hAnsi="Times New Roman" w:cs="Times New Roman" w:eastAsia="Times New Roman" w:hint="default"/>
                <w:sz w:val="18"/>
                <w:szCs w:val="18"/>
              </w:rPr>
              <w:t>956</w:t>
            </w:r>
            <w:r>
              <w:rPr>
                <w:rFonts w:ascii="宋体" w:hAnsi="宋体" w:cs="宋体" w:eastAsia="宋体" w:hint="default"/>
                <w:sz w:val="18"/>
                <w:szCs w:val="18"/>
              </w:rPr>
              <w:t>.</w:t>
            </w:r>
            <w:r>
              <w:rPr>
                <w:rFonts w:ascii="Times New Roman" w:hAnsi="Times New Roman" w:cs="Times New Roman" w:eastAsia="Times New Roman" w:hint="default"/>
                <w:sz w:val="18"/>
                <w:szCs w:val="18"/>
              </w:rPr>
              <w:t>79</w:t>
            </w:r>
            <w:r>
              <w:rPr>
                <w:rFonts w:ascii="宋体" w:hAnsi="宋体" w:cs="宋体" w:eastAsia="宋体" w:hint="default"/>
                <w:sz w:val="18"/>
                <w:szCs w:val="18"/>
              </w:rPr>
              <w:t>万元，占比资产总额</w:t>
            </w:r>
            <w:r>
              <w:rPr>
                <w:rFonts w:ascii="Times New Roman" w:hAnsi="Times New Roman" w:cs="Times New Roman" w:eastAsia="Times New Roman" w:hint="default"/>
                <w:sz w:val="18"/>
                <w:szCs w:val="18"/>
              </w:rPr>
              <w:t>21</w:t>
            </w:r>
            <w:r>
              <w:rPr>
                <w:rFonts w:ascii="宋体" w:hAnsi="宋体" w:cs="宋体" w:eastAsia="宋体" w:hint="default"/>
                <w:sz w:val="18"/>
                <w:szCs w:val="18"/>
              </w:rPr>
              <w:t>.</w:t>
            </w:r>
            <w:r>
              <w:rPr>
                <w:rFonts w:ascii="Times New Roman" w:hAnsi="Times New Roman" w:cs="Times New Roman" w:eastAsia="Times New Roman" w:hint="default"/>
                <w:sz w:val="18"/>
                <w:szCs w:val="18"/>
              </w:rPr>
              <w:t>23</w:t>
            </w:r>
            <w:r>
              <w:rPr>
                <w:rFonts w:ascii="宋体" w:hAnsi="宋体" w:cs="宋体" w:eastAsia="宋体" w:hint="default"/>
                <w:sz w:val="18"/>
                <w:szCs w:val="18"/>
              </w:rPr>
              <w:t>%，在</w:t>
            </w:r>
          </w:p>
        </w:tc>
        <w:tc>
          <w:tcPr>
            <w:tcW w:w="406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1" w:right="0"/>
              <w:jc w:val="left"/>
              <w:rPr>
                <w:rFonts w:ascii="宋体" w:hAnsi="宋体" w:cs="宋体" w:eastAsia="宋体" w:hint="default"/>
                <w:sz w:val="18"/>
                <w:szCs w:val="18"/>
              </w:rPr>
            </w:pPr>
            <w:r>
              <w:rPr>
                <w:rFonts w:ascii="宋体" w:hAnsi="宋体" w:cs="宋体" w:eastAsia="宋体" w:hint="default"/>
                <w:sz w:val="18"/>
                <w:szCs w:val="18"/>
              </w:rPr>
              <w:t>设计及执行有效性；</w:t>
            </w:r>
          </w:p>
        </w:tc>
      </w:tr>
      <w:tr>
        <w:trPr>
          <w:trHeight w:val="359" w:hRule="exact"/>
        </w:trPr>
        <w:tc>
          <w:tcPr>
            <w:tcW w:w="4153"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对商誉进行减值测试时，需要测算相关资产组未来</w:t>
            </w:r>
          </w:p>
        </w:tc>
        <w:tc>
          <w:tcPr>
            <w:tcW w:w="406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复核管理层对资产组的认定和商誉的分摊</w:t>
            </w:r>
          </w:p>
        </w:tc>
      </w:tr>
      <w:tr>
        <w:trPr>
          <w:trHeight w:val="354" w:hRule="exact"/>
        </w:trPr>
        <w:tc>
          <w:tcPr>
            <w:tcW w:w="4153"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pacing w:val="7"/>
                <w:sz w:val="18"/>
                <w:szCs w:val="18"/>
              </w:rPr>
              <w:t>现金流入以及确定合适的折现率计算其未来现金</w:t>
            </w:r>
            <w:r>
              <w:rPr>
                <w:rFonts w:ascii="宋体" w:hAnsi="宋体" w:cs="宋体" w:eastAsia="宋体" w:hint="default"/>
                <w:sz w:val="18"/>
                <w:szCs w:val="18"/>
              </w:rPr>
            </w:r>
          </w:p>
        </w:tc>
        <w:tc>
          <w:tcPr>
            <w:tcW w:w="406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1" w:right="0"/>
              <w:jc w:val="left"/>
              <w:rPr>
                <w:rFonts w:ascii="宋体" w:hAnsi="宋体" w:cs="宋体" w:eastAsia="宋体" w:hint="default"/>
                <w:sz w:val="18"/>
                <w:szCs w:val="18"/>
              </w:rPr>
            </w:pPr>
            <w:r>
              <w:rPr>
                <w:rFonts w:ascii="宋体" w:hAnsi="宋体" w:cs="宋体" w:eastAsia="宋体" w:hint="default"/>
                <w:spacing w:val="3"/>
                <w:sz w:val="18"/>
                <w:szCs w:val="18"/>
              </w:rPr>
              <w:t>方法，以及计算可回收金额时所依据的基础数据</w:t>
            </w:r>
            <w:r>
              <w:rPr>
                <w:rFonts w:ascii="宋体" w:hAnsi="宋体" w:cs="宋体" w:eastAsia="宋体" w:hint="default"/>
                <w:sz w:val="18"/>
                <w:szCs w:val="18"/>
              </w:rPr>
            </w:r>
          </w:p>
        </w:tc>
      </w:tr>
      <w:tr>
        <w:trPr>
          <w:trHeight w:val="359" w:hRule="exact"/>
        </w:trPr>
        <w:tc>
          <w:tcPr>
            <w:tcW w:w="4153"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流量的现值。若资产组未来现金流量的现值现值低</w:t>
            </w:r>
          </w:p>
        </w:tc>
        <w:tc>
          <w:tcPr>
            <w:tcW w:w="4068"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1" w:right="0"/>
              <w:jc w:val="left"/>
              <w:rPr>
                <w:rFonts w:ascii="宋体" w:hAnsi="宋体" w:cs="宋体" w:eastAsia="宋体" w:hint="default"/>
                <w:sz w:val="18"/>
                <w:szCs w:val="18"/>
              </w:rPr>
            </w:pPr>
            <w:r>
              <w:rPr>
                <w:rFonts w:ascii="宋体" w:hAnsi="宋体" w:cs="宋体" w:eastAsia="宋体" w:hint="default"/>
                <w:sz w:val="18"/>
                <w:szCs w:val="18"/>
              </w:rPr>
              <w:t>和测试时所使用的折现率；</w:t>
            </w:r>
          </w:p>
        </w:tc>
      </w:tr>
      <w:tr>
        <w:trPr>
          <w:trHeight w:val="364" w:hRule="exact"/>
        </w:trPr>
        <w:tc>
          <w:tcPr>
            <w:tcW w:w="4153"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于其包括商誉金额的账面价值，应确认商誉减值损</w:t>
            </w:r>
          </w:p>
        </w:tc>
        <w:tc>
          <w:tcPr>
            <w:tcW w:w="4068"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、评价评估人员专业性及胜任能力；</w:t>
            </w:r>
          </w:p>
        </w:tc>
      </w:tr>
      <w:tr>
        <w:trPr>
          <w:trHeight w:val="359" w:hRule="exact"/>
        </w:trPr>
        <w:tc>
          <w:tcPr>
            <w:tcW w:w="4153"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失。由于商誉减值测试需要管理层作出重大判断，</w:t>
            </w:r>
          </w:p>
        </w:tc>
        <w:tc>
          <w:tcPr>
            <w:tcW w:w="406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pacing w:val="-77"/>
                <w:sz w:val="18"/>
                <w:szCs w:val="18"/>
              </w:rPr>
              <w:t>、</w:t>
            </w:r>
            <w:r>
              <w:rPr>
                <w:rFonts w:ascii="宋体" w:hAnsi="宋体" w:cs="宋体" w:eastAsia="宋体" w:hint="default"/>
                <w:sz w:val="18"/>
                <w:szCs w:val="18"/>
              </w:rPr>
              <w:t>与管理层讨论商誉减值测试过程中所使用</w:t>
            </w:r>
          </w:p>
        </w:tc>
      </w:tr>
      <w:tr>
        <w:trPr>
          <w:trHeight w:val="354" w:hRule="exact"/>
        </w:trPr>
        <w:tc>
          <w:tcPr>
            <w:tcW w:w="4153"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因此我们将商誉减值测试确认为关键审计事项。</w:t>
            </w:r>
          </w:p>
        </w:tc>
        <w:tc>
          <w:tcPr>
            <w:tcW w:w="406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1" w:right="0"/>
              <w:jc w:val="left"/>
              <w:rPr>
                <w:rFonts w:ascii="宋体" w:hAnsi="宋体" w:cs="宋体" w:eastAsia="宋体" w:hint="default"/>
                <w:sz w:val="18"/>
                <w:szCs w:val="18"/>
              </w:rPr>
            </w:pPr>
            <w:r>
              <w:rPr>
                <w:rFonts w:ascii="宋体" w:hAnsi="宋体" w:cs="宋体" w:eastAsia="宋体" w:hint="default"/>
                <w:spacing w:val="3"/>
                <w:sz w:val="18"/>
                <w:szCs w:val="18"/>
              </w:rPr>
              <w:t>的方法、关键评估的假设、参数的选择、预测未</w:t>
            </w:r>
            <w:r>
              <w:rPr>
                <w:rFonts w:ascii="宋体" w:hAnsi="宋体" w:cs="宋体" w:eastAsia="宋体" w:hint="default"/>
                <w:sz w:val="18"/>
                <w:szCs w:val="18"/>
              </w:rPr>
            </w:r>
          </w:p>
        </w:tc>
      </w:tr>
      <w:tr>
        <w:trPr>
          <w:trHeight w:val="359" w:hRule="exact"/>
        </w:trPr>
        <w:tc>
          <w:tcPr>
            <w:tcW w:w="4153" w:type="dxa"/>
            <w:tcBorders>
              <w:top w:val="nil" w:sz="6" w:space="0" w:color="auto"/>
              <w:left w:val="single" w:sz="4" w:space="0" w:color="000000"/>
              <w:bottom w:val="nil" w:sz="6" w:space="0" w:color="auto"/>
              <w:right w:val="single" w:sz="4" w:space="0" w:color="000000"/>
            </w:tcBorders>
          </w:tcPr>
          <w:p>
            <w:pPr/>
          </w:p>
        </w:tc>
        <w:tc>
          <w:tcPr>
            <w:tcW w:w="4068"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1" w:right="0"/>
              <w:jc w:val="left"/>
              <w:rPr>
                <w:rFonts w:ascii="宋体" w:hAnsi="宋体" w:cs="宋体" w:eastAsia="宋体" w:hint="default"/>
                <w:sz w:val="18"/>
                <w:szCs w:val="18"/>
              </w:rPr>
            </w:pPr>
            <w:r>
              <w:rPr>
                <w:rFonts w:ascii="宋体" w:hAnsi="宋体" w:cs="宋体" w:eastAsia="宋体" w:hint="default"/>
                <w:sz w:val="18"/>
                <w:szCs w:val="18"/>
              </w:rPr>
              <w:t>来收入及现金流折现率等的合理性；</w:t>
            </w:r>
          </w:p>
        </w:tc>
      </w:tr>
      <w:tr>
        <w:trPr>
          <w:trHeight w:val="364" w:hRule="exact"/>
        </w:trPr>
        <w:tc>
          <w:tcPr>
            <w:tcW w:w="4153" w:type="dxa"/>
            <w:tcBorders>
              <w:top w:val="nil" w:sz="6" w:space="0" w:color="auto"/>
              <w:left w:val="single" w:sz="4" w:space="0" w:color="000000"/>
              <w:bottom w:val="nil" w:sz="6" w:space="0" w:color="auto"/>
              <w:right w:val="single" w:sz="4" w:space="0" w:color="000000"/>
            </w:tcBorders>
          </w:tcPr>
          <w:p>
            <w:pPr/>
          </w:p>
        </w:tc>
        <w:tc>
          <w:tcPr>
            <w:tcW w:w="4068"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pacing w:val="-77"/>
                <w:sz w:val="18"/>
                <w:szCs w:val="18"/>
              </w:rPr>
              <w:t>、</w:t>
            </w:r>
            <w:r>
              <w:rPr>
                <w:rFonts w:ascii="宋体" w:hAnsi="宋体" w:cs="宋体" w:eastAsia="宋体" w:hint="default"/>
                <w:sz w:val="18"/>
                <w:szCs w:val="18"/>
              </w:rPr>
              <w:t>评估管理层减值测试中所采用关键假设及</w:t>
            </w:r>
          </w:p>
        </w:tc>
      </w:tr>
      <w:tr>
        <w:trPr>
          <w:trHeight w:val="354" w:hRule="exact"/>
        </w:trPr>
        <w:tc>
          <w:tcPr>
            <w:tcW w:w="4153" w:type="dxa"/>
            <w:tcBorders>
              <w:top w:val="nil" w:sz="6" w:space="0" w:color="auto"/>
              <w:left w:val="single" w:sz="4" w:space="0" w:color="000000"/>
              <w:bottom w:val="nil" w:sz="6" w:space="0" w:color="auto"/>
              <w:right w:val="single" w:sz="4" w:space="0" w:color="000000"/>
            </w:tcBorders>
          </w:tcPr>
          <w:p>
            <w:pPr/>
          </w:p>
        </w:tc>
        <w:tc>
          <w:tcPr>
            <w:tcW w:w="406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1" w:right="0"/>
              <w:jc w:val="left"/>
              <w:rPr>
                <w:rFonts w:ascii="宋体" w:hAnsi="宋体" w:cs="宋体" w:eastAsia="宋体" w:hint="default"/>
                <w:sz w:val="18"/>
                <w:szCs w:val="18"/>
              </w:rPr>
            </w:pPr>
            <w:r>
              <w:rPr>
                <w:rFonts w:ascii="宋体" w:hAnsi="宋体" w:cs="宋体" w:eastAsia="宋体" w:hint="default"/>
                <w:spacing w:val="3"/>
                <w:sz w:val="18"/>
                <w:szCs w:val="18"/>
              </w:rPr>
              <w:t>判断的合理性，验证商誉减值测试模型的计算准</w:t>
            </w:r>
            <w:r>
              <w:rPr>
                <w:rFonts w:ascii="宋体" w:hAnsi="宋体" w:cs="宋体" w:eastAsia="宋体" w:hint="default"/>
                <w:sz w:val="18"/>
                <w:szCs w:val="18"/>
              </w:rPr>
            </w:r>
          </w:p>
        </w:tc>
      </w:tr>
      <w:tr>
        <w:trPr>
          <w:trHeight w:val="359" w:hRule="exact"/>
        </w:trPr>
        <w:tc>
          <w:tcPr>
            <w:tcW w:w="4153" w:type="dxa"/>
            <w:tcBorders>
              <w:top w:val="nil" w:sz="6" w:space="0" w:color="auto"/>
              <w:left w:val="single" w:sz="4" w:space="0" w:color="000000"/>
              <w:bottom w:val="nil" w:sz="6" w:space="0" w:color="auto"/>
              <w:right w:val="single" w:sz="4" w:space="0" w:color="000000"/>
            </w:tcBorders>
          </w:tcPr>
          <w:p>
            <w:pPr/>
          </w:p>
        </w:tc>
        <w:tc>
          <w:tcPr>
            <w:tcW w:w="4068"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1" w:right="0"/>
              <w:jc w:val="left"/>
              <w:rPr>
                <w:rFonts w:ascii="宋体" w:hAnsi="宋体" w:cs="宋体" w:eastAsia="宋体" w:hint="default"/>
                <w:sz w:val="18"/>
                <w:szCs w:val="18"/>
              </w:rPr>
            </w:pPr>
            <w:r>
              <w:rPr>
                <w:rFonts w:ascii="宋体" w:hAnsi="宋体" w:cs="宋体" w:eastAsia="宋体" w:hint="default"/>
                <w:sz w:val="18"/>
                <w:szCs w:val="18"/>
              </w:rPr>
              <w:t>确性；</w:t>
            </w:r>
          </w:p>
        </w:tc>
      </w:tr>
      <w:tr>
        <w:trPr>
          <w:trHeight w:val="364" w:hRule="exact"/>
        </w:trPr>
        <w:tc>
          <w:tcPr>
            <w:tcW w:w="4153" w:type="dxa"/>
            <w:tcBorders>
              <w:top w:val="nil" w:sz="6" w:space="0" w:color="auto"/>
              <w:left w:val="single" w:sz="4" w:space="0" w:color="000000"/>
              <w:bottom w:val="nil" w:sz="6" w:space="0" w:color="auto"/>
              <w:right w:val="single" w:sz="4" w:space="0" w:color="000000"/>
            </w:tcBorders>
          </w:tcPr>
          <w:p>
            <w:pPr/>
          </w:p>
        </w:tc>
        <w:tc>
          <w:tcPr>
            <w:tcW w:w="4068"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pacing w:val="-77"/>
                <w:sz w:val="18"/>
                <w:szCs w:val="18"/>
              </w:rPr>
              <w:t>、</w:t>
            </w:r>
            <w:r>
              <w:rPr>
                <w:rFonts w:ascii="宋体" w:hAnsi="宋体" w:cs="宋体" w:eastAsia="宋体" w:hint="default"/>
                <w:sz w:val="18"/>
                <w:szCs w:val="18"/>
              </w:rPr>
              <w:t>评估管理层对于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日对商誉及</w:t>
            </w:r>
          </w:p>
        </w:tc>
      </w:tr>
      <w:tr>
        <w:trPr>
          <w:trHeight w:val="359" w:hRule="exact"/>
        </w:trPr>
        <w:tc>
          <w:tcPr>
            <w:tcW w:w="4153" w:type="dxa"/>
            <w:tcBorders>
              <w:top w:val="nil" w:sz="6" w:space="0" w:color="auto"/>
              <w:left w:val="single" w:sz="4" w:space="0" w:color="000000"/>
              <w:bottom w:val="single" w:sz="4" w:space="0" w:color="000000"/>
              <w:right w:val="single" w:sz="4" w:space="0" w:color="000000"/>
            </w:tcBorders>
          </w:tcPr>
          <w:p>
            <w:pPr/>
          </w:p>
        </w:tc>
        <w:tc>
          <w:tcPr>
            <w:tcW w:w="40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left="101" w:right="0"/>
              <w:jc w:val="left"/>
              <w:rPr>
                <w:rFonts w:ascii="宋体" w:hAnsi="宋体" w:cs="宋体" w:eastAsia="宋体" w:hint="default"/>
                <w:sz w:val="18"/>
                <w:szCs w:val="18"/>
              </w:rPr>
            </w:pPr>
            <w:r>
              <w:rPr>
                <w:rFonts w:ascii="宋体" w:hAnsi="宋体" w:cs="宋体" w:eastAsia="宋体" w:hint="default"/>
                <w:sz w:val="18"/>
                <w:szCs w:val="18"/>
              </w:rPr>
              <w:t>减值评估结果的财务报表披露是否恰当。</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3"/>
        <w:spacing w:line="240" w:lineRule="auto" w:before="35"/>
        <w:ind w:left="574" w:right="1113"/>
        <w:jc w:val="left"/>
        <w:rPr>
          <w:b w:val="0"/>
          <w:bCs w:val="0"/>
        </w:rPr>
      </w:pPr>
      <w:r>
        <w:rPr/>
        <w:t>四、其他信息</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5"/>
          <w:szCs w:val="25"/>
        </w:rPr>
      </w:pPr>
    </w:p>
    <w:p>
      <w:pPr>
        <w:pStyle w:val="BodyText"/>
        <w:spacing w:line="386" w:lineRule="auto" w:before="0"/>
        <w:ind w:left="153" w:right="1113" w:firstLine="420"/>
        <w:jc w:val="left"/>
      </w:pPr>
      <w:r>
        <w:rPr>
          <w:spacing w:val="-1"/>
        </w:rPr>
        <w:t>新开普管理层（以下简称管理层）对其他信息负责。其他信息包括新开普</w:t>
      </w:r>
      <w:r>
        <w:rPr>
          <w:rFonts w:ascii="Times New Roman" w:hAnsi="Times New Roman" w:cs="Times New Roman" w:eastAsia="Times New Roman" w:hint="default"/>
          <w:spacing w:val="-1"/>
        </w:rPr>
        <w:t>2019</w:t>
      </w:r>
      <w:r>
        <w:rPr>
          <w:spacing w:val="-1"/>
        </w:rPr>
        <w:t>年年度报告中涵盖的信</w:t>
      </w:r>
      <w:r>
        <w:rPr/>
        <w:t> 息，但不包括财务报表和我们的审计报告。</w:t>
      </w:r>
    </w:p>
    <w:p>
      <w:pPr>
        <w:pStyle w:val="BodyText"/>
        <w:spacing w:line="408" w:lineRule="auto" w:before="65"/>
        <w:ind w:left="573" w:right="1113"/>
        <w:jc w:val="left"/>
      </w:pPr>
      <w:r>
        <w:rPr/>
        <w:t>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w:t>
      </w:r>
    </w:p>
    <w:p>
      <w:pPr>
        <w:pStyle w:val="BodyText"/>
        <w:spacing w:line="408" w:lineRule="auto"/>
        <w:ind w:left="573" w:right="1113" w:hanging="420"/>
        <w:jc w:val="left"/>
      </w:pPr>
      <w:r>
        <w:rPr/>
        <w:t>表或我们在审计过程中了解到的情况存在重大不一致或者似乎存在重大错报。 </w:t>
      </w:r>
      <w:r>
        <w:rPr>
          <w:spacing w:val="-1"/>
        </w:rPr>
        <w:t>基于我们已执行的工作，如果我们确定其他信息存在重大错报，我们应当报告该事实。在这方面，我</w:t>
      </w:r>
    </w:p>
    <w:p>
      <w:pPr>
        <w:pStyle w:val="BodyText"/>
        <w:spacing w:line="240" w:lineRule="auto"/>
        <w:ind w:left="153" w:right="1113"/>
        <w:jc w:val="left"/>
      </w:pPr>
      <w:r>
        <w:rPr/>
        <w:t>们无任何事项需要报告。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37"/>
        <w:ind w:left="573" w:right="1113"/>
        <w:jc w:val="left"/>
        <w:rPr>
          <w:b w:val="0"/>
          <w:bCs w:val="0"/>
        </w:rPr>
      </w:pPr>
      <w:r>
        <w:rPr/>
        <w:t>五、管理层和治理层对财务报表的责任</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408" w:lineRule="auto" w:before="137"/>
        <w:ind w:left="153" w:right="1113" w:firstLine="420"/>
        <w:jc w:val="left"/>
      </w:pPr>
      <w:r>
        <w:rPr>
          <w:spacing w:val="-1"/>
        </w:rPr>
        <w:t>管理层负责按照企业会计准则的规定编制财务报表，使其实现公允反映，并设计、执行和维护必要的</w:t>
      </w:r>
      <w:r>
        <w:rPr/>
        <w:t> 内部控制，以使财务报表不存在由于舞弊或错误导致的重大错报。</w:t>
      </w:r>
    </w:p>
    <w:p>
      <w:pPr>
        <w:pStyle w:val="BodyText"/>
        <w:spacing w:line="408" w:lineRule="auto"/>
        <w:ind w:left="153" w:right="1016" w:firstLine="420"/>
        <w:jc w:val="left"/>
      </w:pPr>
      <w:r>
        <w:rPr>
          <w:spacing w:val="-3"/>
        </w:rPr>
        <w:t>在编制财务报表时，管理层负责评估新开普的持续经营能力，披露与持续经营相关的事项（如适用），</w:t>
      </w:r>
      <w:r>
        <w:rPr/>
        <w:t> 并运用持续经营假设，除非计划进行清算、终止运营或别无其他现实的选择。</w:t>
      </w:r>
    </w:p>
    <w:p>
      <w:pPr>
        <w:pStyle w:val="BodyText"/>
        <w:spacing w:line="240" w:lineRule="auto"/>
        <w:ind w:left="573" w:right="1113"/>
        <w:jc w:val="left"/>
      </w:pPr>
      <w:r>
        <w:rPr/>
        <w:t>治理层负责监督新开普的财务报告过程。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37"/>
        <w:ind w:left="573" w:right="1113"/>
        <w:jc w:val="left"/>
        <w:rPr>
          <w:b w:val="0"/>
          <w:bCs w:val="0"/>
        </w:rPr>
      </w:pPr>
      <w:r>
        <w:rPr/>
        <w:t>六、注册会计师对财务报表审计的责任</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408" w:lineRule="auto" w:before="137"/>
        <w:ind w:left="153" w:right="1130" w:firstLine="420"/>
        <w:jc w:val="both"/>
      </w:pPr>
      <w:r>
        <w:rPr>
          <w:spacing w:val="-1"/>
        </w:rPr>
        <w:t>我们的目标是对财务报表整体是否不存在由于舞弊或错误导致的重大错报获取合理保证，并出具包含</w:t>
      </w:r>
      <w:r>
        <w:rPr/>
        <w:t> </w:t>
      </w:r>
      <w:r>
        <w:rPr>
          <w:spacing w:val="-1"/>
        </w:rPr>
        <w:t>审计意见的审计报告。合理保证是高水平的保证，但并不能保证按照审计准则执行的审计在某一重大错报</w:t>
      </w:r>
      <w:r>
        <w:rPr>
          <w:spacing w:val="-81"/>
        </w:rPr>
        <w:t> </w:t>
      </w:r>
      <w:r>
        <w:rPr>
          <w:spacing w:val="-81"/>
        </w:rPr>
      </w:r>
      <w:r>
        <w:rPr>
          <w:spacing w:val="-1"/>
        </w:rPr>
        <w:t>存在时总能发现。错报可能由于舞弊或错误导致，如果合理预期错报单独或汇总起来可能影响财务报表使</w:t>
      </w:r>
      <w:r>
        <w:rPr>
          <w:spacing w:val="-81"/>
        </w:rPr>
        <w:t> </w:t>
      </w:r>
      <w:r>
        <w:rPr>
          <w:spacing w:val="-81"/>
        </w:rPr>
      </w:r>
      <w:r>
        <w:rPr/>
        <w:t>用者依据财务报表作出的经济决策，则通常认为错报是重大的。</w:t>
      </w:r>
    </w:p>
    <w:p>
      <w:pPr>
        <w:pStyle w:val="BodyText"/>
        <w:spacing w:line="408" w:lineRule="auto"/>
        <w:ind w:left="153" w:right="1113" w:firstLine="420"/>
        <w:jc w:val="left"/>
      </w:pPr>
      <w:r>
        <w:rPr>
          <w:spacing w:val="-1"/>
        </w:rPr>
        <w:t>在按照审计准则执行审计工作的过程中，我们运用职业判断，并保持职业怀疑。同时，我们也执行以</w:t>
      </w:r>
      <w:r>
        <w:rPr/>
        <w:t> 下工作：</w:t>
      </w:r>
    </w:p>
    <w:p>
      <w:pPr>
        <w:pStyle w:val="BodyText"/>
        <w:spacing w:line="398" w:lineRule="auto"/>
        <w:ind w:left="153" w:right="1022" w:firstLine="42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w:t>
      </w:r>
      <w:r>
        <w:rPr>
          <w:spacing w:val="2"/>
        </w:rPr>
        <w:t> </w:t>
      </w:r>
      <w:r>
        <w:rPr>
          <w:spacing w:val="-3"/>
        </w:rPr>
        <w:t>险，并获取充分、适当的审计证据，作为发表审计意见的基础。由于舞弊可能涉及串通、伪造、故意遗漏、</w:t>
      </w:r>
      <w:r>
        <w:rPr>
          <w:spacing w:val="-94"/>
        </w:rPr>
        <w:t> </w:t>
      </w:r>
      <w:r>
        <w:rPr>
          <w:spacing w:val="-94"/>
        </w:rPr>
      </w:r>
      <w:r>
        <w:rPr/>
        <w:t>虚假陈述或凌驾于内部控制之上，未能发现由于舞弊导致的重大错报的风险高于未能发现由于错误导致的</w:t>
      </w:r>
    </w:p>
    <w:p>
      <w:pPr>
        <w:spacing w:after="0" w:line="398"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240" w:lineRule="auto" w:before="35"/>
        <w:ind w:right="1113"/>
        <w:jc w:val="left"/>
      </w:pPr>
      <w:r>
        <w:rPr/>
        <w:t>重大错报的风险。</w:t>
      </w:r>
    </w:p>
    <w:p>
      <w:pPr>
        <w:spacing w:line="240" w:lineRule="auto" w:before="10"/>
        <w:rPr>
          <w:rFonts w:ascii="宋体" w:hAnsi="宋体" w:cs="宋体" w:eastAsia="宋体" w:hint="default"/>
          <w:sz w:val="14"/>
          <w:szCs w:val="14"/>
        </w:rPr>
      </w:pPr>
    </w:p>
    <w:p>
      <w:pPr>
        <w:pStyle w:val="BodyText"/>
        <w:spacing w:line="386" w:lineRule="auto" w:before="0"/>
        <w:ind w:right="1127" w:firstLine="420"/>
        <w:jc w:val="both"/>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w:t>
      </w:r>
      <w:r>
        <w:rPr>
          <w:spacing w:val="2"/>
        </w:rPr>
        <w:t> </w:t>
      </w:r>
      <w:r>
        <w:rPr/>
        <w:t>见。</w:t>
      </w:r>
    </w:p>
    <w:p>
      <w:pPr>
        <w:pStyle w:val="BodyText"/>
        <w:spacing w:line="240" w:lineRule="auto" w:before="65"/>
        <w:ind w:left="574" w:right="1113"/>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403" w:lineRule="auto" w:before="177"/>
        <w:ind w:right="1127" w:firstLine="42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）对管理层使用持续经营假设的恰当性得出结论。同时，根据获取的审计证据，就可能导致对新</w:t>
      </w:r>
      <w:r>
        <w:rPr>
          <w:spacing w:val="2"/>
        </w:rPr>
        <w:t> </w:t>
      </w:r>
      <w:r>
        <w:rPr>
          <w:spacing w:val="-1"/>
        </w:rPr>
        <w:t>开普持续经营能力产生重大疑虑的事项或情况是否存在重大不确定性得出结论。如果我们得出结论认为存</w:t>
      </w:r>
      <w:r>
        <w:rPr>
          <w:spacing w:val="-81"/>
        </w:rPr>
        <w:t> </w:t>
      </w:r>
      <w:r>
        <w:rPr>
          <w:spacing w:val="-81"/>
        </w:rPr>
      </w:r>
      <w:r>
        <w:rPr>
          <w:spacing w:val="-1"/>
        </w:rPr>
        <w:t>在重大不确定性，审计准则要求我们在审计报告中提请报表使用者注意财务报表中的相关披露；如果披露</w:t>
      </w:r>
      <w:r>
        <w:rPr>
          <w:spacing w:val="-81"/>
        </w:rPr>
        <w:t> </w:t>
      </w:r>
      <w:r>
        <w:rPr>
          <w:spacing w:val="-81"/>
        </w:rPr>
      </w:r>
      <w:r>
        <w:rPr>
          <w:spacing w:val="-1"/>
        </w:rPr>
        <w:t>不充分，我们应当发表非无保留意见。我们的结论基于截至审计报告日可获得的信息。然而，未来的事项</w:t>
      </w:r>
      <w:r>
        <w:rPr>
          <w:spacing w:val="-82"/>
        </w:rPr>
        <w:t> </w:t>
      </w:r>
      <w:r>
        <w:rPr>
          <w:spacing w:val="-82"/>
        </w:rPr>
      </w:r>
      <w:r>
        <w:rPr/>
        <w:t>或情况可能导致新开普不能持续经营。</w:t>
      </w:r>
    </w:p>
    <w:p>
      <w:pPr>
        <w:pStyle w:val="BodyText"/>
        <w:spacing w:line="386" w:lineRule="auto" w:before="50"/>
        <w:ind w:right="1127" w:firstLine="420"/>
        <w:jc w:val="both"/>
      </w:pPr>
      <w:r>
        <w:rPr/>
        <w:t>（</w:t>
      </w:r>
      <w:r>
        <w:rPr>
          <w:rFonts w:ascii="Times New Roman" w:hAnsi="Times New Roman" w:cs="Times New Roman" w:eastAsia="Times New Roman" w:hint="default"/>
        </w:rPr>
        <w:t>5</w:t>
      </w:r>
      <w:r>
        <w:rPr/>
        <w:t>）评价财务报表的总体列报（包括披露）、结构和内容，并评价财务报表是否公允反映相关交易</w:t>
      </w:r>
      <w:r>
        <w:rPr>
          <w:spacing w:val="2"/>
        </w:rPr>
        <w:t> </w:t>
      </w:r>
      <w:r>
        <w:rPr/>
        <w:t>和事项。</w:t>
      </w:r>
    </w:p>
    <w:p>
      <w:pPr>
        <w:pStyle w:val="BodyText"/>
        <w:spacing w:line="386" w:lineRule="auto" w:before="65"/>
        <w:ind w:right="1127" w:firstLine="420"/>
        <w:jc w:val="both"/>
      </w:pPr>
      <w:r>
        <w:rPr/>
        <w:t>（</w:t>
      </w:r>
      <w:r>
        <w:rPr>
          <w:rFonts w:ascii="Times New Roman" w:hAnsi="Times New Roman" w:cs="Times New Roman" w:eastAsia="Times New Roman" w:hint="default"/>
        </w:rPr>
        <w:t>6</w:t>
      </w:r>
      <w:r>
        <w:rPr/>
        <w:t>）就新开普中实体或业务活动的财务信息获取充分、适当的审计证据，以对财务报表发表审计意</w:t>
      </w:r>
      <w:r>
        <w:rPr>
          <w:spacing w:val="2"/>
        </w:rPr>
        <w:t> </w:t>
      </w:r>
      <w:r>
        <w:rPr/>
        <w:t>见。我们负责指导、监督和执行集团审计，并对审计意见承担全部责任。</w:t>
      </w:r>
    </w:p>
    <w:p>
      <w:pPr>
        <w:pStyle w:val="BodyText"/>
        <w:spacing w:line="408" w:lineRule="auto" w:before="65"/>
        <w:ind w:right="1131" w:firstLine="420"/>
        <w:jc w:val="both"/>
      </w:pPr>
      <w:r>
        <w:rPr>
          <w:spacing w:val="-1"/>
        </w:rPr>
        <w:t>我们与治理层就计划的审计范围、时间安排和重大审计发现等事项进行沟通，包括沟通我们在审计中</w:t>
      </w:r>
      <w:r>
        <w:rPr/>
        <w:t> 识别出的值得关注的内部控制缺陷。</w:t>
      </w:r>
    </w:p>
    <w:p>
      <w:pPr>
        <w:pStyle w:val="BodyText"/>
        <w:spacing w:line="408" w:lineRule="auto"/>
        <w:ind w:right="1130" w:firstLine="420"/>
        <w:jc w:val="both"/>
      </w:pPr>
      <w:r>
        <w:rPr>
          <w:spacing w:val="-1"/>
        </w:rPr>
        <w:t>我们还就已遵守与独立性相关的职业道德要求向治理层提供声明，并与治理层沟通可能被合理认为影</w:t>
      </w:r>
      <w:r>
        <w:rPr/>
        <w:t> 响我们独立性的所有关系和其他事项，以及相关的防范措施（如适用）。</w:t>
      </w:r>
    </w:p>
    <w:p>
      <w:pPr>
        <w:pStyle w:val="BodyText"/>
        <w:spacing w:line="408" w:lineRule="auto"/>
        <w:ind w:right="1131" w:firstLine="420"/>
        <w:jc w:val="both"/>
      </w:pPr>
      <w:r>
        <w:rPr>
          <w:spacing w:val="-1"/>
        </w:rPr>
        <w:t>从与治理层沟通过的事项中，我们确定哪些事项对本期财务报表审计最为重要，因而构成关键审计事</w:t>
      </w:r>
      <w:r>
        <w:rPr/>
        <w:t> </w:t>
      </w:r>
      <w:r>
        <w:rPr>
          <w:spacing w:val="-1"/>
        </w:rPr>
        <w:t>项。我们在审计报告中描述这些事项，除非法律法规禁止公开披露这些事项，或在极少数情形下，如果合</w:t>
      </w:r>
      <w:r>
        <w:rPr>
          <w:spacing w:val="-82"/>
        </w:rPr>
        <w:t> </w:t>
      </w:r>
      <w:r>
        <w:rPr>
          <w:spacing w:val="-82"/>
        </w:rPr>
      </w:r>
      <w:r>
        <w:rPr>
          <w:spacing w:val="-1"/>
        </w:rPr>
        <w:t>理预期在审计报告中沟通某事项造成的负面后果超过在公众利益方面产生的益处，我们确定不应在审计报</w:t>
      </w:r>
      <w:r>
        <w:rPr>
          <w:spacing w:val="-81"/>
        </w:rPr>
        <w:t> </w:t>
      </w:r>
      <w:r>
        <w:rPr>
          <w:spacing w:val="-81"/>
        </w:rPr>
      </w:r>
      <w:r>
        <w:rPr/>
        <w:t>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2"/>
        <w:tabs>
          <w:tab w:pos="2913" w:val="left" w:leader="none"/>
        </w:tabs>
        <w:spacing w:line="240" w:lineRule="auto"/>
        <w:ind w:left="390" w:right="1113"/>
        <w:jc w:val="left"/>
        <w:rPr>
          <w:b w:val="0"/>
          <w:bCs w:val="0"/>
        </w:rPr>
      </w:pPr>
      <w:r>
        <w:rPr>
          <w:w w:val="95"/>
        </w:rPr>
        <w:t>立信会计师事务所</w:t>
        <w:tab/>
      </w:r>
      <w:r>
        <w:rPr/>
        <w:t>中国注册会计师：王娜（项目合伙人）</w:t>
      </w:r>
      <w:r>
        <w:rPr>
          <w:b w:val="0"/>
          <w:bCs w:val="0"/>
        </w:rPr>
      </w:r>
    </w:p>
    <w:p>
      <w:pPr>
        <w:pStyle w:val="Heading2"/>
        <w:spacing w:line="240" w:lineRule="auto" w:before="36"/>
        <w:ind w:left="390" w:right="1113"/>
        <w:jc w:val="left"/>
        <w:rPr>
          <w:b w:val="0"/>
          <w:bCs w:val="0"/>
        </w:rPr>
      </w:pPr>
      <w:r>
        <w:rPr/>
        <w:t>（特殊普通合伙）</w:t>
      </w:r>
      <w:r>
        <w:rPr>
          <w:b w:val="0"/>
          <w:bCs w:val="0"/>
        </w:rPr>
      </w: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27"/>
          <w:szCs w:val="27"/>
        </w:rPr>
      </w:pPr>
    </w:p>
    <w:p>
      <w:pPr>
        <w:pStyle w:val="Heading2"/>
        <w:spacing w:line="240" w:lineRule="auto"/>
        <w:ind w:left="346" w:right="3029"/>
        <w:jc w:val="center"/>
        <w:rPr>
          <w:b w:val="0"/>
          <w:bCs w:val="0"/>
        </w:rPr>
      </w:pPr>
      <w:r>
        <w:rPr/>
        <w:t>中国注册会计师：王幈</w:t>
      </w:r>
      <w:r>
        <w:rPr>
          <w:b w:val="0"/>
          <w:bCs w:val="0"/>
        </w:rPr>
      </w:r>
    </w:p>
    <w:p>
      <w:pPr>
        <w:spacing w:line="240" w:lineRule="auto" w:before="0"/>
        <w:rPr>
          <w:rFonts w:ascii="宋体" w:hAnsi="宋体" w:cs="宋体" w:eastAsia="宋体" w:hint="default"/>
          <w:b/>
          <w:bCs/>
          <w:sz w:val="24"/>
          <w:szCs w:val="24"/>
        </w:rPr>
      </w:pPr>
    </w:p>
    <w:p>
      <w:pPr>
        <w:spacing w:line="240" w:lineRule="auto" w:before="1"/>
        <w:rPr>
          <w:rFonts w:ascii="宋体" w:hAnsi="宋体" w:cs="宋体" w:eastAsia="宋体" w:hint="default"/>
          <w:b/>
          <w:bCs/>
          <w:sz w:val="27"/>
          <w:szCs w:val="27"/>
        </w:rPr>
      </w:pPr>
    </w:p>
    <w:p>
      <w:pPr>
        <w:pStyle w:val="Heading2"/>
        <w:tabs>
          <w:tab w:pos="2913" w:val="left" w:leader="none"/>
        </w:tabs>
        <w:spacing w:line="240" w:lineRule="auto"/>
        <w:ind w:left="390" w:right="1113"/>
        <w:jc w:val="left"/>
        <w:rPr>
          <w:b w:val="0"/>
          <w:bCs w:val="0"/>
        </w:rPr>
      </w:pPr>
      <w:r>
        <w:rPr>
          <w:w w:val="95"/>
        </w:rPr>
        <w:t>中国</w:t>
      </w:r>
      <w:r>
        <w:rPr>
          <w:rFonts w:ascii="Times New Roman" w:hAnsi="Times New Roman" w:cs="Times New Roman" w:eastAsia="Times New Roman" w:hint="default"/>
          <w:w w:val="95"/>
        </w:rPr>
        <w:t>•</w:t>
      </w:r>
      <w:r>
        <w:rPr>
          <w:w w:val="95"/>
        </w:rPr>
        <w:t>上海</w:t>
        <w:tab/>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t>日</w:t>
      </w:r>
      <w:r>
        <w:rPr>
          <w:b w:val="0"/>
          <w:bCs w:val="0"/>
        </w:rPr>
      </w:r>
    </w:p>
    <w:p>
      <w:pPr>
        <w:spacing w:after="0" w:line="240" w:lineRule="auto"/>
        <w:jc w:val="left"/>
        <w:sectPr>
          <w:pgSz w:w="11910" w:h="16840"/>
          <w:pgMar w:header="877" w:footer="982" w:top="1100" w:bottom="1180" w:left="980" w:right="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2"/>
          <w:szCs w:val="22"/>
        </w:rPr>
      </w:pPr>
    </w:p>
    <w:p>
      <w:pPr>
        <w:pStyle w:val="Heading2"/>
        <w:spacing w:line="240" w:lineRule="auto" w:before="26"/>
        <w:ind w:right="1113"/>
        <w:jc w:val="left"/>
        <w:rPr>
          <w:b w:val="0"/>
          <w:bCs w:val="0"/>
        </w:rPr>
      </w:pPr>
      <w:r>
        <w:rPr/>
        <w:t>二、财务报表</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财务附注中报表的单位为：元</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right="111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8"/>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宋体" w:hAnsi="宋体" w:cs="宋体" w:eastAsia="宋体" w:hint="default"/>
          <w:sz w:val="18"/>
          <w:szCs w:val="18"/>
        </w:rPr>
        <w:t>编制单位：新开普电子股份有限公司</w:t>
      </w:r>
    </w:p>
    <w:p>
      <w:pPr>
        <w:spacing w:line="240" w:lineRule="auto" w:before="6"/>
        <w:rPr>
          <w:rFonts w:ascii="宋体" w:hAnsi="宋体" w:cs="宋体" w:eastAsia="宋体" w:hint="default"/>
          <w:sz w:val="11"/>
          <w:szCs w:val="11"/>
        </w:rPr>
      </w:pPr>
    </w:p>
    <w:p>
      <w:pPr>
        <w:spacing w:before="44"/>
        <w:ind w:left="346" w:right="1323"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586,283,036.96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391,588,341.93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3,402,000.00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480,397,511.15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417,074,051.07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491,820.00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22,854,663.45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24,666,239.60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89,033,755.99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62,538,708.35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9"/>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237,679,106.07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234,624,298.05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1,221,379.09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166,070,266.19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1,469,961,272.71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1,301,065,905.19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49,376,942.34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87,973,749.69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15,072,108.24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15,759,078.06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137,053,106.06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139,766,959.56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2,236,716.70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67,540,762.12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47,188,086.58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29,819,951.35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7,416,010.95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489,567,925.40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469,584,839.57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2,583,707.27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1,865,329.43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21,059,430.12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18,319,672.16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24,384,000.00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836,517,932.90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808,170,442.70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2,306,479,205.61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2,109,236,347.89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52,854,519.71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46,928,368.15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168,319,237.22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168,650,977.27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115,042,194.75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95,169,282.10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20,806,460.90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14,890,284.36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42,177,192.38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47,764,363.47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38,583,320.05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8,165,131.37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14,611,500.00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25,278,400.00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512,394,425.01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584,846,806.72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43,871,500.00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12,820,416.66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17,452,833.33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42,080,416.66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61,324,333.33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554,474,841.67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646,171,140.05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481,092,495.00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481,092,495.00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557,836,882.22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479,950,978.98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-2,353,610.11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58,882,028.23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45,103,948.56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563,237,327.12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436,431,760.94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1,658,695,122.46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1,442,579,183.48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93,309,241.48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20,486,024.36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1,752,004,363.94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1,463,065,207.84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2,306,479,205.61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2,109,236,347.89</w:t>
            </w:r>
          </w:p>
        </w:tc>
      </w:tr>
    </w:tbl>
    <w:p>
      <w:pPr>
        <w:spacing w:line="240" w:lineRule="auto" w:before="3"/>
        <w:rPr>
          <w:rFonts w:ascii="Times New Roman" w:hAnsi="Times New Roman" w:cs="Times New Roman" w:eastAsia="Times New Roman" w:hint="default"/>
          <w:sz w:val="23"/>
          <w:szCs w:val="23"/>
        </w:rPr>
      </w:pPr>
    </w:p>
    <w:p>
      <w:pPr>
        <w:tabs>
          <w:tab w:pos="3509" w:val="left" w:leader="none"/>
          <w:tab w:pos="7739" w:val="left" w:leader="none"/>
        </w:tabs>
        <w:spacing w:before="44"/>
        <w:ind w:left="0" w:right="1228" w:firstLine="0"/>
        <w:jc w:val="right"/>
        <w:rPr>
          <w:rFonts w:ascii="宋体" w:hAnsi="宋体" w:cs="宋体" w:eastAsia="宋体" w:hint="default"/>
          <w:sz w:val="18"/>
          <w:szCs w:val="18"/>
        </w:rPr>
      </w:pPr>
      <w:r>
        <w:rPr>
          <w:rFonts w:ascii="宋体" w:hAnsi="宋体" w:cs="宋体" w:eastAsia="宋体" w:hint="default"/>
          <w:sz w:val="18"/>
          <w:szCs w:val="18"/>
        </w:rPr>
        <w:t>法定代表人：杨维国</w:t>
        <w:tab/>
        <w:t>主管会计工作负责人：李玉玲</w:t>
        <w:tab/>
        <w:t>会计机构负责人：张翀</w:t>
      </w:r>
    </w:p>
    <w:p>
      <w:pPr>
        <w:spacing w:line="240" w:lineRule="auto" w:before="11"/>
        <w:rPr>
          <w:rFonts w:ascii="宋体" w:hAnsi="宋体" w:cs="宋体" w:eastAsia="宋体" w:hint="default"/>
          <w:sz w:val="26"/>
          <w:szCs w:val="26"/>
        </w:rPr>
      </w:pPr>
    </w:p>
    <w:p>
      <w:pPr>
        <w:pStyle w:val="Heading3"/>
        <w:spacing w:line="240" w:lineRule="auto"/>
        <w:ind w:right="111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345,468,831.84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338,506,068.33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3,402,000.00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317,877,101.49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308,435,199.25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391,820.00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11,957,170.39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15,328,657.92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40,464,396.52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30,093,637.60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32"/>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32"/>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206,472,709.51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224,188,444.91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70,266.19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146,070,266.19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972,702,295.94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1,066,226,274.20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703,756,967.73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644,825,749.69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15,072,108.24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15,759,078.06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109,705,764.66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113,862,863.74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2,236,716.70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26,689,999.41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24,529,767.62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16,701,243.60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4,373,754.04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1,373,778.85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1,865,329.43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13,882,223.21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12,503,236.74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24,384,000.00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911,626,085.70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838,016,496.02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1,884,328,381.64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1,904,242,770.22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52,854,519.71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46,928,368.15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153,869,191.25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171,119,375.99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93,143,488.70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83,765,253.14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120,897.05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102,142.20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16,221,534.35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24,507,191.68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24,165,646.82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3,596,868.04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14,611,500.00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25,278,400.00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404,986,777.88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525,297,599.20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43,871,500.00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12,820,416.66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16,132,833.33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42,080,416.66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60,004,333.33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447,067,194.54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585,301,932.53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481,092,495.00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481,092,495.00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479,950,978.98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479,950,978.98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-2,353,610.11</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58,882,028.23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45,103,948.56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419,689,295.00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312,793,415.15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1,437,261,187.10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1,318,940,837.69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1,884,328,381.64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1,904,242,770.22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1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964,023,443.78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837,627,576.70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964,023,443.78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837,627,576.70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07"/>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838,906,451.56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759,575,276.13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423,262,979.35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375,993,045.58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07"/>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10,680,747.74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11,215,866.20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234,359,113.35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209,201,909.55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62,646,615.00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63,684,221.57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105,853,249.54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87,499,160.98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2,103,746.58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11,981,072.25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07"/>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7,513,107.24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14,355,684.25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07"/>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5,934,976.98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2,610,946.83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66,289,540.15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33,520,686.09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11,206,774.03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10,104,366.95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r>
        <w:rPr/>
        <w:pict>
          <v:shape style="position:absolute;margin-left:177.841202pt;margin-top:402.779999pt;width:193.1pt;height:19.650pt;mso-position-horizontal-relative:page;mso-position-vertical-relative:page;z-index:-159738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r>
        <w:rPr/>
        <w:pict>
          <v:group style="position:absolute;margin-left:210.960007pt;margin-top:143.880005pt;width:160pt;height:19.650pt;mso-position-horizontal-relative:page;mso-position-vertical-relative:page;z-index:-1597360" coordorigin="4219,2878" coordsize="3200,393">
            <v:group style="position:absolute;left:7396;top:2878;width:23;height:393" coordorigin="7396,2878" coordsize="23,393">
              <v:shape style="position:absolute;left:7396;top:2878;width:23;height:393" coordorigin="7396,2878" coordsize="23,393" path="m7396,3270l7418,3270,7418,2878,7396,2878,7396,3270xe" filled="true" fillcolor="#ffffff" stroked="false">
                <v:path arrowok="t"/>
                <v:fill type="solid"/>
              </v:shape>
            </v:group>
            <v:group style="position:absolute;left:4219;top:2878;width:23;height:393" coordorigin="4219,2878" coordsize="23,393">
              <v:shape style="position:absolute;left:4219;top:2878;width:23;height:393" coordorigin="4219,2878" coordsize="23,393" path="m4219,3270l4242,3270,4242,2878,4219,2878,4219,3270xe" filled="true" fillcolor="#ffffff" stroked="false">
                <v:path arrowok="t"/>
                <v:fill type="solid"/>
              </v:shape>
            </v:group>
            <v:group style="position:absolute;left:4242;top:2878;width:3154;height:393" coordorigin="4242,2878" coordsize="3154,393">
              <v:shape style="position:absolute;left:4242;top:2878;width:3154;height:393" coordorigin="4242,2878" coordsize="3154,393" path="m4242,3270l7396,3270,7396,2878,4242,2878,4242,3270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080"/>
        <w:gridCol w:w="3210"/>
        <w:gridCol w:w="3277"/>
      </w:tblGrid>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-4,193,635.96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2,748,983.29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7"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2" w:firstLine="720"/>
              <w:jc w:val="left"/>
              <w:rPr>
                <w:rFonts w:ascii="宋体" w:hAnsi="宋体" w:cs="宋体" w:eastAsia="宋体"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-3,402,000.00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3,402,000.00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6"/>
                <w:sz w:val="18"/>
                <w:szCs w:val="18"/>
              </w:rPr>
              <w:t>失</w:t>
            </w:r>
            <w:r>
              <w:rPr>
                <w:rFonts w:ascii="宋体" w:hAnsi="宋体" w:cs="宋体" w:eastAsia="宋体" w:hint="default"/>
                <w:sz w:val="18"/>
                <w:szCs w:val="18"/>
              </w:rPr>
              <w:t>（损失以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-19,702,192.66</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6"/>
                <w:sz w:val="18"/>
                <w:szCs w:val="18"/>
              </w:rPr>
              <w:t>失</w:t>
            </w:r>
            <w:r>
              <w:rPr>
                <w:rFonts w:ascii="宋体" w:hAnsi="宋体" w:cs="宋体" w:eastAsia="宋体" w:hint="default"/>
                <w:sz w:val="18"/>
                <w:szCs w:val="18"/>
              </w:rPr>
              <w:t>（损失以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-17,642,393.30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-186,254.33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-225,825.93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179,322,859.41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107,211,134.38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74,362.11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3,119,849.54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1,206,116.86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1,013,307.56</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3210" w:type="dxa"/>
            <w:tcBorders>
              <w:top w:val="single" w:sz="4" w:space="0" w:color="000000"/>
              <w:left w:val="single" w:sz="9"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178,191,104.66</w:t>
            </w:r>
          </w:p>
        </w:tc>
        <w:tc>
          <w:tcPr>
            <w:tcW w:w="327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109,317,676.36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20,222,971.55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11,990,487.11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157,968,133.11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97,327,189.25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157,968,133.11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97,327,189.25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157,690,483.05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96,112,608.43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277,650.06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1,214,580.82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firstLine="342"/>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080"/>
        <w:gridCol w:w="3210"/>
        <w:gridCol w:w="3277"/>
      </w:tblGrid>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 他综合收益</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firstLine="342"/>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 值变动损益</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157,968,133.11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97,327,189.25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7"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157,690,483.05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96,112,608.43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277,650.06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1,214,580.82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0.3278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0.1988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0.3278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0.1988</w:t>
            </w:r>
          </w:p>
        </w:tc>
      </w:tr>
    </w:tbl>
    <w:p>
      <w:pPr>
        <w:spacing w:line="240" w:lineRule="auto" w:before="4"/>
        <w:rPr>
          <w:rFonts w:ascii="Times New Roman" w:hAnsi="Times New Roman" w:cs="Times New Roman" w:eastAsia="Times New Roman" w:hint="default"/>
          <w:sz w:val="7"/>
          <w:szCs w:val="7"/>
        </w:rPr>
      </w:pPr>
    </w:p>
    <w:p>
      <w:pPr>
        <w:tabs>
          <w:tab w:pos="3663" w:val="left" w:leader="none"/>
          <w:tab w:pos="7893" w:val="left" w:leader="none"/>
        </w:tabs>
        <w:spacing w:line="518" w:lineRule="auto" w:before="44"/>
        <w:ind w:left="153" w:right="1228"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法定代表人：杨维国</w:t>
        <w:tab/>
        <w:t>主管会计工作负责人：李玉玲</w:t>
        <w:tab/>
        <w:t>会计机构负责人：张翀</w:t>
      </w:r>
    </w:p>
    <w:p>
      <w:pPr>
        <w:spacing w:after="0" w:line="518"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111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714,790,824.99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658,026,471.32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370,713,977.34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337,478,106.04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7,238,056.91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7,906,741.48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197,350,428.19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191,653,653.90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31,541,343.24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32,291,718.88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31,333,630.30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39,414,393.89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4,639,702.88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11,757,672.93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6,951,180.37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14,097,284.91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6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2,788,697.80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2,521,735.10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44,845,333.92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25,230,716.02</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51,272,521.48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8,034,509.04</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-4,193,635.96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2,748,983.29</w:t>
            </w:r>
          </w:p>
        </w:tc>
      </w:tr>
      <w:tr>
        <w:trPr>
          <w:trHeight w:val="1026"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2"/>
              <w:ind w:left="22" w:right="53"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3,402,000.00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-13,950,643.21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-13,764,707.80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1,893,069.22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-209,139.74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152,631,967.54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60,217,561.72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14,575.27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2,453,322.98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675,762.45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136,536.87</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151,970,780.36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62,534,347.83</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14,189,983.64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6,770,534.02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137,780,796.72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55,763,813.81</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137,780,796.72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55,763,813.81</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137,780,796.72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55,763,813.81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1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1,057,878,884.11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870,097,822.47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37,763,035.27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30,451,389.23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34,881,560.72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12,032,125.71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1,130,523,480.10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912,581,337.41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411,719,385.16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375,621,215.06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251,294,085.58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239,891,853.61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111,597,965.67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92,810,053.46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180,634,101.84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173,811,750.76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955,245,538.25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882,134,872.89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175,277,941.85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30,446,464.52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9,286,381.93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7,355,383.66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2,284,693.52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206,393.56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530,071,075.45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376,561,777.22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58,089,449.10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19,577,211.14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406,212,000.00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499,472,000.00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12,948,925.80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477,250,374.90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527,049,211.14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52,820,700.55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-150,487,433.92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153,657,143.00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209,240,000.00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327,657,143.00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209,640,000.00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317,278,400.00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222,293,400.01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26,880,435.80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33,824,049.16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14,333,853.09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69,700,882.38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358,492,688.89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325,818,331.55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-30,835,545.89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-116,178,331.55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197,263,096.51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-236,219,300.95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357,129,306.41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593,348,607.36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554,392,402.92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357,129,306.41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1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722,311,075.16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644,455,210.05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22,064,122.98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23,519,391.64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26,798,018.05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9,811,467.69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771,173,216.19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677,786,069.38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329,515,974.92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294,118,827.77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149,362,536.62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163,416,997.60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76,502,716.51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60,882,896.31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116,255,685.09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138,737,831.19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671,636,913.14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657,156,552.87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99,536,303.05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20,629,516.51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49,122,157.44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7,285,525.75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2,284,693.52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206,081.80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532,406,850.96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376,491,607.55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22,800,000.27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9,006,715.25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428,124,854.00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479,474,000.00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450,924,854.27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496,480,715.25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81,481,996.69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-119,989,107.70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309,278,400.00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221,053,400.01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26,194,880.17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33,565,649.82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13,853.09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69,700,882.38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335,487,133.26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324,319,932.21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-171,487,133.26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-124,319,932.21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9,531,166.48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-223,679,523.40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304,048,993.80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527,728,517.20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313,580,160.28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304,048,993.80</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line="240" w:lineRule="auto" w:before="7"/>
        <w:rPr>
          <w:rFonts w:ascii="宋体" w:hAnsi="宋体" w:cs="宋体" w:eastAsia="宋体" w:hint="default"/>
          <w:sz w:val="11"/>
          <w:szCs w:val="11"/>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53"/>
        <w:gridCol w:w="493"/>
        <w:gridCol w:w="466"/>
        <w:gridCol w:w="468"/>
        <w:gridCol w:w="468"/>
        <w:gridCol w:w="582"/>
        <w:gridCol w:w="584"/>
        <w:gridCol w:w="584"/>
        <w:gridCol w:w="583"/>
        <w:gridCol w:w="583"/>
        <w:gridCol w:w="584"/>
        <w:gridCol w:w="584"/>
        <w:gridCol w:w="583"/>
        <w:gridCol w:w="584"/>
        <w:gridCol w:w="584"/>
        <w:gridCol w:w="577"/>
      </w:tblGrid>
      <w:tr>
        <w:trPr>
          <w:trHeight w:val="402" w:hRule="exact"/>
        </w:trPr>
        <w:tc>
          <w:tcPr>
            <w:tcW w:w="12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0" w:type="dxa"/>
            <w:gridSpan w:val="1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1253" w:type="dxa"/>
            <w:vMerge/>
            <w:tcBorders>
              <w:left w:val="single" w:sz="4" w:space="0" w:color="000000"/>
              <w:right w:val="single" w:sz="4" w:space="0" w:color="000000"/>
            </w:tcBorders>
            <w:shd w:val="clear" w:color="auto" w:fill="D3D3D3"/>
          </w:tcPr>
          <w:p>
            <w:pPr/>
          </w:p>
        </w:tc>
        <w:tc>
          <w:tcPr>
            <w:tcW w:w="7148"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106" w:right="107"/>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141"/>
              <w:ind w:left="103" w:right="102"/>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253" w:type="dxa"/>
            <w:vMerge/>
            <w:tcBorders>
              <w:left w:val="single" w:sz="4" w:space="0" w:color="000000"/>
              <w:right w:val="single" w:sz="4" w:space="0" w:color="000000"/>
            </w:tcBorders>
            <w:shd w:val="clear" w:color="auto" w:fill="D3D3D3"/>
          </w:tcPr>
          <w:p>
            <w:pPr/>
          </w:p>
        </w:tc>
        <w:tc>
          <w:tcPr>
            <w:tcW w:w="4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5" w:right="104"/>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7" w:right="20" w:hanging="84"/>
              <w:jc w:val="left"/>
              <w:rPr>
                <w:rFonts w:ascii="宋体" w:hAnsi="宋体" w:cs="宋体" w:eastAsia="宋体" w:hint="default"/>
                <w:sz w:val="18"/>
                <w:szCs w:val="18"/>
              </w:rPr>
            </w:pPr>
            <w:r>
              <w:rPr>
                <w:rFonts w:ascii="宋体" w:hAnsi="宋体" w:cs="宋体" w:eastAsia="宋体" w:hint="default"/>
                <w:spacing w:val="-4"/>
                <w:sz w:val="18"/>
                <w:szCs w:val="18"/>
              </w:rPr>
              <w:t>减：库</w:t>
            </w:r>
            <w:r>
              <w:rPr>
                <w:rFonts w:ascii="宋体" w:hAnsi="宋体" w:cs="宋体" w:eastAsia="宋体" w:hint="default"/>
                <w:sz w:val="18"/>
                <w:szCs w:val="18"/>
              </w:rPr>
              <w:t> 存股</w:t>
            </w:r>
          </w:p>
        </w:tc>
        <w:tc>
          <w:tcPr>
            <w:tcW w:w="5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06" w:right="107"/>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6" w:right="104"/>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6" w:right="104"/>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06" w:right="107"/>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06"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4" w:type="dxa"/>
            <w:vMerge/>
            <w:tcBorders>
              <w:left w:val="single" w:sz="4" w:space="0" w:color="000000"/>
              <w:right w:val="single" w:sz="4" w:space="0" w:color="000000"/>
            </w:tcBorders>
            <w:shd w:val="clear" w:color="auto" w:fill="D3D3D3"/>
          </w:tcPr>
          <w:p>
            <w:pPr/>
          </w:p>
        </w:tc>
        <w:tc>
          <w:tcPr>
            <w:tcW w:w="577" w:type="dxa"/>
            <w:vMerge/>
            <w:tcBorders>
              <w:left w:val="single" w:sz="4" w:space="0" w:color="000000"/>
              <w:right w:val="single" w:sz="4" w:space="0" w:color="000000"/>
            </w:tcBorders>
            <w:shd w:val="clear" w:color="auto" w:fill="D3D3D3"/>
          </w:tcPr>
          <w:p>
            <w:pPr/>
          </w:p>
        </w:tc>
      </w:tr>
      <w:tr>
        <w:trPr>
          <w:trHeight w:val="714" w:hRule="exact"/>
        </w:trPr>
        <w:tc>
          <w:tcPr>
            <w:tcW w:w="1253" w:type="dxa"/>
            <w:vMerge/>
            <w:tcBorders>
              <w:left w:val="single" w:sz="4" w:space="0" w:color="000000"/>
              <w:bottom w:val="single" w:sz="4" w:space="0" w:color="000000"/>
              <w:right w:val="single" w:sz="4" w:space="0" w:color="000000"/>
            </w:tcBorders>
            <w:shd w:val="clear" w:color="auto" w:fill="D3D3D3"/>
          </w:tcPr>
          <w:p>
            <w:pPr/>
          </w:p>
        </w:tc>
        <w:tc>
          <w:tcPr>
            <w:tcW w:w="493" w:type="dxa"/>
            <w:vMerge/>
            <w:tcBorders>
              <w:left w:val="single" w:sz="4" w:space="0" w:color="000000"/>
              <w:bottom w:val="single" w:sz="4" w:space="0" w:color="000000"/>
              <w:right w:val="single" w:sz="4" w:space="0" w:color="000000"/>
            </w:tcBorders>
            <w:shd w:val="clear" w:color="auto" w:fill="D3D3D3"/>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37" w:right="47"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39" w:right="4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2" w:type="dxa"/>
            <w:vMerge/>
            <w:tcBorders>
              <w:left w:val="single" w:sz="4" w:space="0" w:color="000000"/>
              <w:bottom w:val="single" w:sz="4" w:space="0" w:color="000000"/>
              <w:right w:val="single" w:sz="4" w:space="0" w:color="000000"/>
            </w:tcBorders>
            <w:shd w:val="clear" w:color="auto" w:fill="D3D3D3"/>
          </w:tcPr>
          <w:p>
            <w:pPr/>
          </w:p>
        </w:tc>
        <w:tc>
          <w:tcPr>
            <w:tcW w:w="584" w:type="dxa"/>
            <w:vMerge/>
            <w:tcBorders>
              <w:left w:val="single" w:sz="4" w:space="0" w:color="000000"/>
              <w:bottom w:val="single" w:sz="4" w:space="0" w:color="000000"/>
              <w:right w:val="single" w:sz="4" w:space="0" w:color="000000"/>
            </w:tcBorders>
            <w:shd w:val="clear" w:color="auto" w:fill="D3D3D3"/>
          </w:tcPr>
          <w:p>
            <w:pPr/>
          </w:p>
        </w:tc>
        <w:tc>
          <w:tcPr>
            <w:tcW w:w="584" w:type="dxa"/>
            <w:vMerge/>
            <w:tcBorders>
              <w:left w:val="single" w:sz="4" w:space="0" w:color="000000"/>
              <w:bottom w:val="single" w:sz="4" w:space="0" w:color="000000"/>
              <w:right w:val="single" w:sz="4" w:space="0" w:color="000000"/>
            </w:tcBorders>
            <w:shd w:val="clear" w:color="auto" w:fill="D3D3D3"/>
          </w:tcPr>
          <w:p>
            <w:pPr/>
          </w:p>
        </w:tc>
        <w:tc>
          <w:tcPr>
            <w:tcW w:w="583" w:type="dxa"/>
            <w:vMerge/>
            <w:tcBorders>
              <w:left w:val="single" w:sz="4" w:space="0" w:color="000000"/>
              <w:bottom w:val="single" w:sz="4" w:space="0" w:color="000000"/>
              <w:right w:val="single" w:sz="4" w:space="0" w:color="000000"/>
            </w:tcBorders>
            <w:shd w:val="clear" w:color="auto" w:fill="D3D3D3"/>
          </w:tcPr>
          <w:p>
            <w:pPr/>
          </w:p>
        </w:tc>
        <w:tc>
          <w:tcPr>
            <w:tcW w:w="583" w:type="dxa"/>
            <w:vMerge/>
            <w:tcBorders>
              <w:left w:val="single" w:sz="4" w:space="0" w:color="000000"/>
              <w:bottom w:val="single" w:sz="4" w:space="0" w:color="000000"/>
              <w:right w:val="single" w:sz="4" w:space="0" w:color="000000"/>
            </w:tcBorders>
            <w:shd w:val="clear" w:color="auto" w:fill="D3D3D3"/>
          </w:tcPr>
          <w:p>
            <w:pPr/>
          </w:p>
        </w:tc>
        <w:tc>
          <w:tcPr>
            <w:tcW w:w="584" w:type="dxa"/>
            <w:vMerge/>
            <w:tcBorders>
              <w:left w:val="single" w:sz="4" w:space="0" w:color="000000"/>
              <w:bottom w:val="single" w:sz="4" w:space="0" w:color="000000"/>
              <w:right w:val="single" w:sz="4" w:space="0" w:color="000000"/>
            </w:tcBorders>
            <w:shd w:val="clear" w:color="auto" w:fill="D3D3D3"/>
          </w:tcPr>
          <w:p>
            <w:pPr/>
          </w:p>
        </w:tc>
        <w:tc>
          <w:tcPr>
            <w:tcW w:w="584" w:type="dxa"/>
            <w:vMerge/>
            <w:tcBorders>
              <w:left w:val="single" w:sz="4" w:space="0" w:color="000000"/>
              <w:bottom w:val="single" w:sz="4" w:space="0" w:color="000000"/>
              <w:right w:val="single" w:sz="4" w:space="0" w:color="000000"/>
            </w:tcBorders>
            <w:shd w:val="clear" w:color="auto" w:fill="D3D3D3"/>
          </w:tcPr>
          <w:p>
            <w:pPr/>
          </w:p>
        </w:tc>
        <w:tc>
          <w:tcPr>
            <w:tcW w:w="583" w:type="dxa"/>
            <w:vMerge/>
            <w:tcBorders>
              <w:left w:val="single" w:sz="4" w:space="0" w:color="000000"/>
              <w:bottom w:val="single" w:sz="4" w:space="0" w:color="000000"/>
              <w:right w:val="single" w:sz="4" w:space="0" w:color="000000"/>
            </w:tcBorders>
            <w:shd w:val="clear" w:color="auto" w:fill="D3D3D3"/>
          </w:tcPr>
          <w:p>
            <w:pPr/>
          </w:p>
        </w:tc>
        <w:tc>
          <w:tcPr>
            <w:tcW w:w="584" w:type="dxa"/>
            <w:vMerge/>
            <w:tcBorders>
              <w:left w:val="single" w:sz="4" w:space="0" w:color="000000"/>
              <w:bottom w:val="single" w:sz="4" w:space="0" w:color="000000"/>
              <w:right w:val="single" w:sz="4" w:space="0" w:color="000000"/>
            </w:tcBorders>
            <w:shd w:val="clear" w:color="auto" w:fill="D3D3D3"/>
          </w:tcPr>
          <w:p>
            <w:pPr/>
          </w:p>
        </w:tc>
        <w:tc>
          <w:tcPr>
            <w:tcW w:w="584" w:type="dxa"/>
            <w:vMerge/>
            <w:tcBorders>
              <w:left w:val="single" w:sz="4" w:space="0" w:color="000000"/>
              <w:bottom w:val="single" w:sz="4" w:space="0" w:color="000000"/>
              <w:right w:val="single" w:sz="4" w:space="0" w:color="000000"/>
            </w:tcBorders>
            <w:shd w:val="clear" w:color="auto" w:fill="D3D3D3"/>
          </w:tcPr>
          <w:p>
            <w:pPr/>
          </w:p>
        </w:tc>
        <w:tc>
          <w:tcPr>
            <w:tcW w:w="577"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481,0</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92,49</w:t>
            </w:r>
          </w:p>
          <w:p>
            <w:pPr>
              <w:pStyle w:val="TableParagraph"/>
              <w:spacing w:line="240" w:lineRule="auto" w:before="106"/>
              <w:ind w:left="145" w:right="0"/>
              <w:jc w:val="left"/>
              <w:rPr>
                <w:rFonts w:ascii="Times New Roman" w:hAnsi="Times New Roman" w:cs="Times New Roman" w:eastAsia="Times New Roman" w:hint="default"/>
                <w:sz w:val="18"/>
                <w:szCs w:val="18"/>
              </w:rPr>
            </w:pPr>
            <w:r>
              <w:rPr>
                <w:rFonts w:ascii="Times New Roman"/>
                <w:sz w:val="18"/>
              </w:rPr>
              <w:t>5.00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479,95</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0,978.</w:t>
            </w:r>
          </w:p>
          <w:p>
            <w:pPr>
              <w:pStyle w:val="TableParagraph"/>
              <w:spacing w:line="240" w:lineRule="auto" w:before="106"/>
              <w:ind w:left="369" w:right="0"/>
              <w:jc w:val="left"/>
              <w:rPr>
                <w:rFonts w:ascii="Times New Roman" w:hAnsi="Times New Roman" w:cs="Times New Roman" w:eastAsia="Times New Roman" w:hint="default"/>
                <w:sz w:val="18"/>
                <w:szCs w:val="18"/>
              </w:rPr>
            </w:pPr>
            <w:r>
              <w:rPr>
                <w:rFonts w:ascii="Times New Roman"/>
                <w:sz w:val="18"/>
              </w:rPr>
              <w:t>98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436,43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1,760.</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94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1,442,</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579,18</w:t>
            </w:r>
          </w:p>
          <w:p>
            <w:pPr>
              <w:pStyle w:val="TableParagraph"/>
              <w:spacing w:line="240" w:lineRule="auto" w:before="106"/>
              <w:ind w:left="213" w:right="0"/>
              <w:jc w:val="center"/>
              <w:rPr>
                <w:rFonts w:ascii="Times New Roman" w:hAnsi="Times New Roman" w:cs="Times New Roman" w:eastAsia="Times New Roman" w:hint="default"/>
                <w:sz w:val="18"/>
                <w:szCs w:val="18"/>
              </w:rPr>
            </w:pPr>
            <w:r>
              <w:rPr>
                <w:rFonts w:ascii="Times New Roman"/>
                <w:sz w:val="18"/>
              </w:rPr>
              <w:t>3.48</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1,463,</w:t>
            </w:r>
          </w:p>
          <w:p>
            <w:pPr>
              <w:pStyle w:val="TableParagraph"/>
              <w:spacing w:line="240" w:lineRule="auto" w:before="105"/>
              <w:ind w:left="28" w:right="0"/>
              <w:jc w:val="center"/>
              <w:rPr>
                <w:rFonts w:ascii="Times New Roman" w:hAnsi="Times New Roman" w:cs="Times New Roman" w:eastAsia="Times New Roman" w:hint="default"/>
                <w:sz w:val="18"/>
                <w:szCs w:val="18"/>
              </w:rPr>
            </w:pPr>
            <w:r>
              <w:rPr>
                <w:rFonts w:ascii="Times New Roman"/>
                <w:sz w:val="18"/>
              </w:rPr>
              <w:t>065,20</w:t>
            </w:r>
          </w:p>
          <w:p>
            <w:pPr>
              <w:pStyle w:val="TableParagraph"/>
              <w:spacing w:line="240" w:lineRule="auto" w:before="106"/>
              <w:ind w:left="208" w:right="0"/>
              <w:jc w:val="center"/>
              <w:rPr>
                <w:rFonts w:ascii="Times New Roman" w:hAnsi="Times New Roman" w:cs="Times New Roman" w:eastAsia="Times New Roman" w:hint="default"/>
                <w:sz w:val="18"/>
                <w:szCs w:val="18"/>
              </w:rPr>
            </w:pPr>
            <w:r>
              <w:rPr>
                <w:rFonts w:ascii="Times New Roman"/>
                <w:sz w:val="18"/>
              </w:rPr>
              <w:t>7.84</w:t>
            </w:r>
          </w:p>
        </w:tc>
      </w:tr>
      <w:tr>
        <w:trPr>
          <w:trHeight w:val="362" w:hRule="exact"/>
        </w:trPr>
        <w:tc>
          <w:tcPr>
            <w:tcW w:w="125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pacing w:val="-13"/>
                <w:sz w:val="18"/>
                <w:szCs w:val="18"/>
              </w:rPr>
              <w:t>加：会计政</w:t>
            </w:r>
          </w:p>
        </w:tc>
        <w:tc>
          <w:tcPr>
            <w:tcW w:w="493"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2"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-2,353,</w:t>
            </w: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2,136,</w:t>
            </w:r>
          </w:p>
        </w:tc>
        <w:tc>
          <w:tcPr>
            <w:tcW w:w="583" w:type="dxa"/>
            <w:vMerge w:val="restart"/>
            <w:tcBorders>
              <w:top w:val="single" w:sz="4" w:space="0" w:color="000000"/>
              <w:left w:val="single" w:sz="4" w:space="0" w:color="000000"/>
              <w:right w:val="single" w:sz="4" w:space="0" w:color="000000"/>
            </w:tcBorders>
          </w:tcPr>
          <w:p>
            <w:pPr/>
          </w:p>
        </w:tc>
        <w:tc>
          <w:tcPr>
            <w:tcW w:w="5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-216,7</w:t>
            </w:r>
          </w:p>
        </w:tc>
        <w:tc>
          <w:tcPr>
            <w:tcW w:w="584" w:type="dxa"/>
            <w:vMerge w:val="restart"/>
            <w:tcBorders>
              <w:top w:val="single" w:sz="4" w:space="0" w:color="000000"/>
              <w:left w:val="single" w:sz="4" w:space="0" w:color="000000"/>
              <w:right w:val="single" w:sz="4" w:space="0" w:color="000000"/>
            </w:tcBorders>
          </w:tcPr>
          <w:p>
            <w:pPr/>
          </w:p>
        </w:tc>
        <w:tc>
          <w:tcPr>
            <w:tcW w:w="5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-216,7</w:t>
            </w:r>
          </w:p>
        </w:tc>
      </w:tr>
      <w:tr>
        <w:trPr>
          <w:trHeight w:val="352" w:hRule="exact"/>
        </w:trPr>
        <w:tc>
          <w:tcPr>
            <w:tcW w:w="125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策变更</w:t>
            </w:r>
          </w:p>
        </w:tc>
        <w:tc>
          <w:tcPr>
            <w:tcW w:w="493"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2"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18"/>
                <w:szCs w:val="18"/>
              </w:rPr>
            </w:pPr>
            <w:r>
              <w:rPr>
                <w:rFonts w:ascii="Times New Roman"/>
                <w:spacing w:val="-2"/>
                <w:sz w:val="18"/>
              </w:rPr>
              <w:t>610.11</w:t>
            </w: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33" w:right="0"/>
              <w:jc w:val="center"/>
              <w:rPr>
                <w:rFonts w:ascii="Times New Roman" w:hAnsi="Times New Roman" w:cs="Times New Roman" w:eastAsia="Times New Roman" w:hint="default"/>
                <w:sz w:val="18"/>
                <w:szCs w:val="18"/>
              </w:rPr>
            </w:pPr>
            <w:r>
              <w:rPr>
                <w:rFonts w:ascii="Times New Roman"/>
                <w:sz w:val="18"/>
              </w:rPr>
              <w:t>862.60</w:t>
            </w:r>
          </w:p>
        </w:tc>
        <w:tc>
          <w:tcPr>
            <w:tcW w:w="583" w:type="dxa"/>
            <w:vMerge/>
            <w:tcBorders>
              <w:left w:val="single" w:sz="4" w:space="0" w:color="000000"/>
              <w:bottom w:val="single" w:sz="4" w:space="0" w:color="000000"/>
              <w:right w:val="single" w:sz="4" w:space="0" w:color="000000"/>
            </w:tcBorders>
          </w:tcPr>
          <w:p>
            <w:pPr/>
          </w:p>
        </w:tc>
        <w:tc>
          <w:tcPr>
            <w:tcW w:w="5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47.51</w:t>
            </w:r>
          </w:p>
        </w:tc>
        <w:tc>
          <w:tcPr>
            <w:tcW w:w="584" w:type="dxa"/>
            <w:vMerge/>
            <w:tcBorders>
              <w:left w:val="single" w:sz="4" w:space="0" w:color="000000"/>
              <w:bottom w:val="single" w:sz="4" w:space="0" w:color="000000"/>
              <w:right w:val="single" w:sz="4" w:space="0" w:color="000000"/>
            </w:tcBorders>
          </w:tcPr>
          <w:p>
            <w:pPr/>
          </w:p>
        </w:tc>
        <w:tc>
          <w:tcPr>
            <w:tcW w:w="5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47.51</w:t>
            </w: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38"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125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38"/>
              <w:jc w:val="right"/>
              <w:rPr>
                <w:rFonts w:ascii="宋体" w:hAnsi="宋体" w:cs="宋体" w:eastAsia="宋体" w:hint="default"/>
                <w:sz w:val="18"/>
                <w:szCs w:val="18"/>
              </w:rPr>
            </w:pPr>
            <w:r>
              <w:rPr>
                <w:rFonts w:ascii="宋体" w:hAnsi="宋体" w:cs="宋体" w:eastAsia="宋体" w:hint="default"/>
                <w:sz w:val="18"/>
                <w:szCs w:val="18"/>
              </w:rPr>
              <w:t>同一</w:t>
            </w:r>
          </w:p>
        </w:tc>
        <w:tc>
          <w:tcPr>
            <w:tcW w:w="493"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2"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r>
      <w:tr>
        <w:trPr>
          <w:trHeight w:val="313" w:hRule="exact"/>
        </w:trPr>
        <w:tc>
          <w:tcPr>
            <w:tcW w:w="12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控制下企业合</w:t>
            </w:r>
          </w:p>
        </w:tc>
        <w:tc>
          <w:tcPr>
            <w:tcW w:w="493"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2"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r>
      <w:tr>
        <w:trPr>
          <w:trHeight w:val="356" w:hRule="exact"/>
        </w:trPr>
        <w:tc>
          <w:tcPr>
            <w:tcW w:w="125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并</w:t>
            </w:r>
          </w:p>
        </w:tc>
        <w:tc>
          <w:tcPr>
            <w:tcW w:w="493"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2"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53"/>
        <w:gridCol w:w="493"/>
        <w:gridCol w:w="466"/>
        <w:gridCol w:w="468"/>
        <w:gridCol w:w="468"/>
        <w:gridCol w:w="582"/>
        <w:gridCol w:w="584"/>
        <w:gridCol w:w="584"/>
        <w:gridCol w:w="583"/>
        <w:gridCol w:w="583"/>
        <w:gridCol w:w="584"/>
        <w:gridCol w:w="584"/>
        <w:gridCol w:w="583"/>
        <w:gridCol w:w="584"/>
        <w:gridCol w:w="584"/>
        <w:gridCol w:w="577"/>
      </w:tblGrid>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481,0</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92,49</w:t>
            </w:r>
          </w:p>
          <w:p>
            <w:pPr>
              <w:pStyle w:val="TableParagraph"/>
              <w:spacing w:line="240" w:lineRule="auto" w:before="106"/>
              <w:ind w:left="145" w:right="0"/>
              <w:jc w:val="left"/>
              <w:rPr>
                <w:rFonts w:ascii="Times New Roman" w:hAnsi="Times New Roman" w:cs="Times New Roman" w:eastAsia="Times New Roman" w:hint="default"/>
                <w:sz w:val="18"/>
                <w:szCs w:val="18"/>
              </w:rPr>
            </w:pPr>
            <w:r>
              <w:rPr>
                <w:rFonts w:ascii="Times New Roman"/>
                <w:sz w:val="18"/>
              </w:rPr>
              <w:t>5.00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479,95</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0,978.</w:t>
            </w:r>
          </w:p>
          <w:p>
            <w:pPr>
              <w:pStyle w:val="TableParagraph"/>
              <w:spacing w:line="240" w:lineRule="auto" w:before="106"/>
              <w:ind w:left="369" w:right="0"/>
              <w:jc w:val="left"/>
              <w:rPr>
                <w:rFonts w:ascii="Times New Roman" w:hAnsi="Times New Roman" w:cs="Times New Roman" w:eastAsia="Times New Roman" w:hint="default"/>
                <w:sz w:val="18"/>
                <w:szCs w:val="18"/>
              </w:rPr>
            </w:pPr>
            <w:r>
              <w:rPr>
                <w:rFonts w:ascii="Times New Roman"/>
                <w:sz w:val="18"/>
              </w:rPr>
              <w:t>98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-2,353,</w:t>
            </w: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610.11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438,56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8,623.</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54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1,442,</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362,43</w:t>
            </w:r>
          </w:p>
          <w:p>
            <w:pPr>
              <w:pStyle w:val="TableParagraph"/>
              <w:spacing w:line="240" w:lineRule="auto" w:before="106"/>
              <w:ind w:left="213" w:right="0"/>
              <w:jc w:val="center"/>
              <w:rPr>
                <w:rFonts w:ascii="Times New Roman" w:hAnsi="Times New Roman" w:cs="Times New Roman" w:eastAsia="Times New Roman" w:hint="default"/>
                <w:sz w:val="18"/>
                <w:szCs w:val="18"/>
              </w:rPr>
            </w:pPr>
            <w:r>
              <w:rPr>
                <w:rFonts w:ascii="Times New Roman"/>
                <w:sz w:val="18"/>
              </w:rPr>
              <w:t>5.97</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1,462,</w:t>
            </w:r>
          </w:p>
          <w:p>
            <w:pPr>
              <w:pStyle w:val="TableParagraph"/>
              <w:spacing w:line="240" w:lineRule="auto" w:before="105"/>
              <w:ind w:left="28" w:right="0"/>
              <w:jc w:val="center"/>
              <w:rPr>
                <w:rFonts w:ascii="Times New Roman" w:hAnsi="Times New Roman" w:cs="Times New Roman" w:eastAsia="Times New Roman" w:hint="default"/>
                <w:sz w:val="18"/>
                <w:szCs w:val="18"/>
              </w:rPr>
            </w:pPr>
            <w:r>
              <w:rPr>
                <w:rFonts w:ascii="Times New Roman"/>
                <w:sz w:val="18"/>
              </w:rPr>
              <w:t>848,46</w:t>
            </w:r>
          </w:p>
          <w:p>
            <w:pPr>
              <w:pStyle w:val="TableParagraph"/>
              <w:spacing w:line="240" w:lineRule="auto" w:before="106"/>
              <w:ind w:left="208" w:right="0"/>
              <w:jc w:val="center"/>
              <w:rPr>
                <w:rFonts w:ascii="Times New Roman" w:hAnsi="Times New Roman" w:cs="Times New Roman" w:eastAsia="Times New Roman" w:hint="default"/>
                <w:sz w:val="18"/>
                <w:szCs w:val="18"/>
              </w:rPr>
            </w:pPr>
            <w:r>
              <w:rPr>
                <w:rFonts w:ascii="Times New Roman"/>
                <w:sz w:val="18"/>
              </w:rPr>
              <w:t>0.33</w:t>
            </w: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77,885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,903.2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,079.6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124,66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8,703.</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58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216,33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2,686.</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49</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72,823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,217.1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289,15</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5,903.</w:t>
            </w:r>
          </w:p>
          <w:p>
            <w:pPr>
              <w:pStyle w:val="TableParagraph"/>
              <w:spacing w:line="240" w:lineRule="auto" w:before="106"/>
              <w:ind w:left="364" w:right="0"/>
              <w:jc w:val="left"/>
              <w:rPr>
                <w:rFonts w:ascii="Times New Roman" w:hAnsi="Times New Roman" w:cs="Times New Roman" w:eastAsia="Times New Roman" w:hint="default"/>
                <w:sz w:val="18"/>
                <w:szCs w:val="18"/>
              </w:rPr>
            </w:pPr>
            <w:r>
              <w:rPr>
                <w:rFonts w:ascii="Times New Roman"/>
                <w:sz w:val="18"/>
              </w:rPr>
              <w:t>61</w:t>
            </w: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157,69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0,483.</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05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157,69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0,483.</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05</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277,65</w:t>
            </w:r>
          </w:p>
          <w:p>
            <w:pPr>
              <w:pStyle w:val="TableParagraph"/>
              <w:spacing w:line="240" w:lineRule="auto" w:before="106"/>
              <w:ind w:left="213" w:right="0"/>
              <w:jc w:val="center"/>
              <w:rPr>
                <w:rFonts w:ascii="Times New Roman" w:hAnsi="Times New Roman" w:cs="Times New Roman" w:eastAsia="Times New Roman" w:hint="default"/>
                <w:sz w:val="18"/>
                <w:szCs w:val="18"/>
              </w:rPr>
            </w:pPr>
            <w:r>
              <w:rPr>
                <w:rFonts w:ascii="Times New Roman"/>
                <w:sz w:val="18"/>
              </w:rPr>
              <w:t>0.07</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157,96</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8,133.</w:t>
            </w:r>
          </w:p>
          <w:p>
            <w:pPr>
              <w:pStyle w:val="TableParagraph"/>
              <w:spacing w:line="240" w:lineRule="auto" w:before="106"/>
              <w:ind w:left="364" w:right="0"/>
              <w:jc w:val="left"/>
              <w:rPr>
                <w:rFonts w:ascii="Times New Roman" w:hAnsi="Times New Roman" w:cs="Times New Roman" w:eastAsia="Times New Roman" w:hint="default"/>
                <w:sz w:val="18"/>
                <w:szCs w:val="18"/>
              </w:rPr>
            </w:pPr>
            <w:r>
              <w:rPr>
                <w:rFonts w:ascii="Times New Roman"/>
                <w:sz w:val="18"/>
              </w:rPr>
              <w:t>12</w:t>
            </w: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77,885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,903.2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72,545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,567.0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150,43</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1,470.</w:t>
            </w:r>
          </w:p>
          <w:p>
            <w:pPr>
              <w:pStyle w:val="TableParagraph"/>
              <w:spacing w:line="240" w:lineRule="auto" w:before="106"/>
              <w:ind w:left="364" w:right="0"/>
              <w:jc w:val="left"/>
              <w:rPr>
                <w:rFonts w:ascii="Times New Roman" w:hAnsi="Times New Roman" w:cs="Times New Roman" w:eastAsia="Times New Roman" w:hint="default"/>
                <w:sz w:val="18"/>
                <w:szCs w:val="18"/>
              </w:rPr>
            </w:pPr>
            <w:r>
              <w:rPr>
                <w:rFonts w:ascii="Times New Roman"/>
                <w:sz w:val="18"/>
              </w:rPr>
              <w:t>29</w:t>
            </w: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77,885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,903.2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72,545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,567.0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150,43</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1,470.</w:t>
            </w:r>
          </w:p>
          <w:p>
            <w:pPr>
              <w:pStyle w:val="TableParagraph"/>
              <w:spacing w:line="240" w:lineRule="auto" w:before="106"/>
              <w:ind w:left="364" w:right="0"/>
              <w:jc w:val="left"/>
              <w:rPr>
                <w:rFonts w:ascii="Times New Roman" w:hAnsi="Times New Roman" w:cs="Times New Roman" w:eastAsia="Times New Roman" w:hint="default"/>
                <w:sz w:val="18"/>
                <w:szCs w:val="18"/>
              </w:rPr>
            </w:pPr>
            <w:r>
              <w:rPr>
                <w:rFonts w:ascii="Times New Roman"/>
                <w:sz w:val="18"/>
              </w:rPr>
              <w:t>29</w:t>
            </w: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,079.6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-33,02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1,779.</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47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-19,24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3,699.</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80</w:t>
            </w: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-19,24</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3,699.</w:t>
            </w:r>
          </w:p>
          <w:p>
            <w:pPr>
              <w:pStyle w:val="TableParagraph"/>
              <w:spacing w:line="240" w:lineRule="auto" w:before="106"/>
              <w:ind w:left="364" w:right="0"/>
              <w:jc w:val="left"/>
              <w:rPr>
                <w:rFonts w:ascii="Times New Roman" w:hAnsi="Times New Roman" w:cs="Times New Roman" w:eastAsia="Times New Roman" w:hint="default"/>
                <w:sz w:val="18"/>
                <w:szCs w:val="18"/>
              </w:rPr>
            </w:pPr>
            <w:r>
              <w:rPr>
                <w:rFonts w:ascii="Times New Roman"/>
                <w:sz w:val="18"/>
              </w:rPr>
              <w:t>80</w:t>
            </w: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,079.6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-13,77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8,079.</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67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22"/>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股东）的分配</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-19,24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3,699.</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80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-19,24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3,699.</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80</w:t>
            </w: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-19,24</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3,699.</w:t>
            </w:r>
          </w:p>
          <w:p>
            <w:pPr>
              <w:pStyle w:val="TableParagraph"/>
              <w:spacing w:line="240" w:lineRule="auto" w:before="106"/>
              <w:ind w:left="364" w:right="0"/>
              <w:jc w:val="lef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53"/>
        <w:gridCol w:w="493"/>
        <w:gridCol w:w="466"/>
        <w:gridCol w:w="468"/>
        <w:gridCol w:w="468"/>
        <w:gridCol w:w="582"/>
        <w:gridCol w:w="584"/>
        <w:gridCol w:w="584"/>
        <w:gridCol w:w="583"/>
        <w:gridCol w:w="583"/>
        <w:gridCol w:w="584"/>
        <w:gridCol w:w="584"/>
        <w:gridCol w:w="583"/>
        <w:gridCol w:w="584"/>
        <w:gridCol w:w="584"/>
        <w:gridCol w:w="577"/>
      </w:tblGrid>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481,0</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92,49</w:t>
            </w:r>
          </w:p>
          <w:p>
            <w:pPr>
              <w:pStyle w:val="TableParagraph"/>
              <w:spacing w:line="240" w:lineRule="auto" w:before="106"/>
              <w:ind w:left="145" w:right="0"/>
              <w:jc w:val="left"/>
              <w:rPr>
                <w:rFonts w:ascii="Times New Roman" w:hAnsi="Times New Roman" w:cs="Times New Roman" w:eastAsia="Times New Roman" w:hint="default"/>
                <w:sz w:val="18"/>
                <w:szCs w:val="18"/>
              </w:rPr>
            </w:pPr>
            <w:r>
              <w:rPr>
                <w:rFonts w:ascii="Times New Roman"/>
                <w:sz w:val="18"/>
              </w:rPr>
              <w:t>5.00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557,83</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6,882.</w:t>
            </w:r>
          </w:p>
          <w:p>
            <w:pPr>
              <w:pStyle w:val="TableParagraph"/>
              <w:spacing w:line="240" w:lineRule="auto" w:before="106"/>
              <w:ind w:left="369" w:right="0"/>
              <w:jc w:val="left"/>
              <w:rPr>
                <w:rFonts w:ascii="Times New Roman" w:hAnsi="Times New Roman" w:cs="Times New Roman" w:eastAsia="Times New Roman" w:hint="default"/>
                <w:sz w:val="18"/>
                <w:szCs w:val="18"/>
              </w:rPr>
            </w:pPr>
            <w:r>
              <w:rPr>
                <w:rFonts w:ascii="Times New Roman"/>
                <w:sz w:val="18"/>
              </w:rPr>
              <w:t>22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-2,353,</w:t>
            </w: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610.11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58,882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,028.2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563,23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7,327.</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12</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1,658,</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695,12</w:t>
            </w:r>
          </w:p>
          <w:p>
            <w:pPr>
              <w:pStyle w:val="TableParagraph"/>
              <w:spacing w:line="240" w:lineRule="auto" w:before="106"/>
              <w:ind w:left="213" w:right="0"/>
              <w:jc w:val="center"/>
              <w:rPr>
                <w:rFonts w:ascii="Times New Roman" w:hAnsi="Times New Roman" w:cs="Times New Roman" w:eastAsia="Times New Roman" w:hint="default"/>
                <w:sz w:val="18"/>
                <w:szCs w:val="18"/>
              </w:rPr>
            </w:pPr>
            <w:r>
              <w:rPr>
                <w:rFonts w:ascii="Times New Roman"/>
                <w:sz w:val="18"/>
              </w:rPr>
              <w:t>2.46</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93,309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,241.4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1,752,</w:t>
            </w:r>
          </w:p>
          <w:p>
            <w:pPr>
              <w:pStyle w:val="TableParagraph"/>
              <w:spacing w:line="240" w:lineRule="auto" w:before="105"/>
              <w:ind w:left="28" w:right="0"/>
              <w:jc w:val="center"/>
              <w:rPr>
                <w:rFonts w:ascii="Times New Roman" w:hAnsi="Times New Roman" w:cs="Times New Roman" w:eastAsia="Times New Roman" w:hint="default"/>
                <w:sz w:val="18"/>
                <w:szCs w:val="18"/>
              </w:rPr>
            </w:pPr>
            <w:r>
              <w:rPr>
                <w:rFonts w:ascii="Times New Roman"/>
                <w:sz w:val="18"/>
              </w:rPr>
              <w:t>004,36</w:t>
            </w:r>
          </w:p>
          <w:p>
            <w:pPr>
              <w:pStyle w:val="TableParagraph"/>
              <w:spacing w:line="240" w:lineRule="auto" w:before="106"/>
              <w:ind w:left="208" w:right="0"/>
              <w:jc w:val="center"/>
              <w:rPr>
                <w:rFonts w:ascii="Times New Roman" w:hAnsi="Times New Roman" w:cs="Times New Roman" w:eastAsia="Times New Roman" w:hint="default"/>
                <w:sz w:val="18"/>
                <w:szCs w:val="18"/>
              </w:rPr>
            </w:pPr>
            <w:r>
              <w:rPr>
                <w:rFonts w:ascii="Times New Roman"/>
                <w:sz w:val="18"/>
              </w:rPr>
              <w:t>3.94</w:t>
            </w:r>
          </w:p>
        </w:tc>
      </w:tr>
    </w:tbl>
    <w:p>
      <w:pPr>
        <w:spacing w:line="240" w:lineRule="auto" w:before="4"/>
        <w:rPr>
          <w:rFonts w:ascii="Times New Roman" w:hAnsi="Times New Roman" w:cs="Times New Roman" w:eastAsia="Times New Roman" w:hint="default"/>
          <w:sz w:val="7"/>
          <w:szCs w:val="7"/>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line="240" w:lineRule="auto" w:before="7"/>
        <w:rPr>
          <w:rFonts w:ascii="宋体" w:hAnsi="宋体" w:cs="宋体" w:eastAsia="宋体" w:hint="default"/>
          <w:sz w:val="11"/>
          <w:szCs w:val="11"/>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12"/>
        <w:gridCol w:w="490"/>
        <w:gridCol w:w="450"/>
        <w:gridCol w:w="449"/>
        <w:gridCol w:w="491"/>
        <w:gridCol w:w="576"/>
        <w:gridCol w:w="577"/>
        <w:gridCol w:w="577"/>
        <w:gridCol w:w="576"/>
        <w:gridCol w:w="576"/>
        <w:gridCol w:w="577"/>
        <w:gridCol w:w="589"/>
        <w:gridCol w:w="568"/>
        <w:gridCol w:w="566"/>
        <w:gridCol w:w="643"/>
        <w:gridCol w:w="650"/>
      </w:tblGrid>
      <w:tr>
        <w:trPr>
          <w:trHeight w:val="402" w:hRule="exact"/>
        </w:trPr>
        <w:tc>
          <w:tcPr>
            <w:tcW w:w="12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6" w:type="dxa"/>
            <w:gridSpan w:val="1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w:t>
            </w:r>
          </w:p>
        </w:tc>
      </w:tr>
      <w:tr>
        <w:trPr>
          <w:trHeight w:val="402" w:hRule="exact"/>
        </w:trPr>
        <w:tc>
          <w:tcPr>
            <w:tcW w:w="1212" w:type="dxa"/>
            <w:vMerge/>
            <w:tcBorders>
              <w:left w:val="single" w:sz="4" w:space="0" w:color="000000"/>
              <w:right w:val="single" w:sz="4" w:space="0" w:color="000000"/>
            </w:tcBorders>
            <w:shd w:val="clear" w:color="auto" w:fill="D3D3D3"/>
          </w:tcPr>
          <w:p>
            <w:pPr/>
          </w:p>
        </w:tc>
        <w:tc>
          <w:tcPr>
            <w:tcW w:w="706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45" w:right="47"/>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50"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212" w:type="dxa"/>
            <w:vMerge/>
            <w:tcBorders>
              <w:left w:val="single" w:sz="4" w:space="0" w:color="000000"/>
              <w:right w:val="single" w:sz="4" w:space="0" w:color="000000"/>
            </w:tcBorders>
            <w:shd w:val="clear" w:color="auto" w:fill="D3D3D3"/>
          </w:tcPr>
          <w:p>
            <w:pPr/>
          </w:p>
        </w:tc>
        <w:tc>
          <w:tcPr>
            <w:tcW w:w="4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1" w:right="102"/>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3" w:right="22" w:hanging="81"/>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03" w:right="102"/>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04" w:right="101"/>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09" w:right="108"/>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3" w:type="dxa"/>
            <w:vMerge/>
            <w:tcBorders>
              <w:left w:val="single" w:sz="4" w:space="0" w:color="000000"/>
              <w:right w:val="single" w:sz="4" w:space="0" w:color="000000"/>
            </w:tcBorders>
            <w:shd w:val="clear" w:color="auto" w:fill="D3D3D3"/>
          </w:tcPr>
          <w:p>
            <w:pPr/>
          </w:p>
        </w:tc>
        <w:tc>
          <w:tcPr>
            <w:tcW w:w="650" w:type="dxa"/>
            <w:vMerge/>
            <w:tcBorders>
              <w:left w:val="single" w:sz="4" w:space="0" w:color="000000"/>
              <w:right w:val="single" w:sz="4" w:space="0" w:color="000000"/>
            </w:tcBorders>
            <w:shd w:val="clear" w:color="auto" w:fill="D3D3D3"/>
          </w:tcPr>
          <w:p>
            <w:pPr/>
          </w:p>
        </w:tc>
      </w:tr>
      <w:tr>
        <w:trPr>
          <w:trHeight w:val="713" w:hRule="exact"/>
        </w:trPr>
        <w:tc>
          <w:tcPr>
            <w:tcW w:w="1212" w:type="dxa"/>
            <w:vMerge/>
            <w:tcBorders>
              <w:left w:val="single" w:sz="4" w:space="0" w:color="000000"/>
              <w:bottom w:val="single" w:sz="4" w:space="0" w:color="000000"/>
              <w:right w:val="single" w:sz="4" w:space="0" w:color="000000"/>
            </w:tcBorders>
            <w:shd w:val="clear" w:color="auto" w:fill="D3D3D3"/>
          </w:tcPr>
          <w:p>
            <w:pPr/>
          </w:p>
        </w:tc>
        <w:tc>
          <w:tcPr>
            <w:tcW w:w="490" w:type="dxa"/>
            <w:vMerge/>
            <w:tcBorders>
              <w:left w:val="single" w:sz="4" w:space="0" w:color="000000"/>
              <w:bottom w:val="single" w:sz="4" w:space="0" w:color="000000"/>
              <w:right w:val="single" w:sz="4" w:space="0" w:color="000000"/>
            </w:tcBorders>
            <w:shd w:val="clear" w:color="auto" w:fill="D3D3D3"/>
          </w:tcPr>
          <w:p>
            <w:pPr/>
          </w:p>
        </w:tc>
        <w:tc>
          <w:tcPr>
            <w:tcW w:w="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29" w:right="3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28" w:right="3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bottom w:val="single" w:sz="4" w:space="0" w:color="000000"/>
              <w:right w:val="single" w:sz="4" w:space="0" w:color="000000"/>
            </w:tcBorders>
            <w:shd w:val="clear" w:color="auto" w:fill="D3D3D3"/>
          </w:tcPr>
          <w:p>
            <w:pPr/>
          </w:p>
        </w:tc>
        <w:tc>
          <w:tcPr>
            <w:tcW w:w="577" w:type="dxa"/>
            <w:vMerge/>
            <w:tcBorders>
              <w:left w:val="single" w:sz="4" w:space="0" w:color="000000"/>
              <w:bottom w:val="single" w:sz="4" w:space="0" w:color="000000"/>
              <w:right w:val="single" w:sz="4" w:space="0" w:color="000000"/>
            </w:tcBorders>
            <w:shd w:val="clear" w:color="auto" w:fill="D3D3D3"/>
          </w:tcPr>
          <w:p>
            <w:pPr/>
          </w:p>
        </w:tc>
        <w:tc>
          <w:tcPr>
            <w:tcW w:w="577" w:type="dxa"/>
            <w:vMerge/>
            <w:tcBorders>
              <w:left w:val="single" w:sz="4" w:space="0" w:color="000000"/>
              <w:bottom w:val="single" w:sz="4" w:space="0" w:color="000000"/>
              <w:right w:val="single" w:sz="4" w:space="0" w:color="000000"/>
            </w:tcBorders>
            <w:shd w:val="clear" w:color="auto" w:fill="D3D3D3"/>
          </w:tcPr>
          <w:p>
            <w:pPr/>
          </w:p>
        </w:tc>
        <w:tc>
          <w:tcPr>
            <w:tcW w:w="576" w:type="dxa"/>
            <w:vMerge/>
            <w:tcBorders>
              <w:left w:val="single" w:sz="4" w:space="0" w:color="000000"/>
              <w:bottom w:val="single" w:sz="4" w:space="0" w:color="000000"/>
              <w:right w:val="single" w:sz="4" w:space="0" w:color="000000"/>
            </w:tcBorders>
            <w:shd w:val="clear" w:color="auto" w:fill="D3D3D3"/>
          </w:tcPr>
          <w:p>
            <w:pPr/>
          </w:p>
        </w:tc>
        <w:tc>
          <w:tcPr>
            <w:tcW w:w="576" w:type="dxa"/>
            <w:vMerge/>
            <w:tcBorders>
              <w:left w:val="single" w:sz="4" w:space="0" w:color="000000"/>
              <w:bottom w:val="single" w:sz="4" w:space="0" w:color="000000"/>
              <w:right w:val="single" w:sz="4" w:space="0" w:color="000000"/>
            </w:tcBorders>
            <w:shd w:val="clear" w:color="auto" w:fill="D3D3D3"/>
          </w:tcPr>
          <w:p>
            <w:pPr/>
          </w:p>
        </w:tc>
        <w:tc>
          <w:tcPr>
            <w:tcW w:w="577" w:type="dxa"/>
            <w:vMerge/>
            <w:tcBorders>
              <w:left w:val="single" w:sz="4" w:space="0" w:color="000000"/>
              <w:bottom w:val="single" w:sz="4" w:space="0" w:color="000000"/>
              <w:right w:val="single" w:sz="4" w:space="0" w:color="000000"/>
            </w:tcBorders>
            <w:shd w:val="clear" w:color="auto" w:fill="D3D3D3"/>
          </w:tcPr>
          <w:p>
            <w:pPr/>
          </w:p>
        </w:tc>
        <w:tc>
          <w:tcPr>
            <w:tcW w:w="589" w:type="dxa"/>
            <w:vMerge/>
            <w:tcBorders>
              <w:left w:val="single" w:sz="4" w:space="0" w:color="000000"/>
              <w:bottom w:val="single" w:sz="4" w:space="0" w:color="000000"/>
              <w:right w:val="single" w:sz="4" w:space="0" w:color="000000"/>
            </w:tcBorders>
            <w:shd w:val="clear" w:color="auto" w:fill="D3D3D3"/>
          </w:tcPr>
          <w:p>
            <w:pPr/>
          </w:p>
        </w:tc>
        <w:tc>
          <w:tcPr>
            <w:tcW w:w="568" w:type="dxa"/>
            <w:vMerge/>
            <w:tcBorders>
              <w:left w:val="single" w:sz="4" w:space="0" w:color="000000"/>
              <w:bottom w:val="single" w:sz="4" w:space="0" w:color="000000"/>
              <w:right w:val="single" w:sz="4" w:space="0" w:color="000000"/>
            </w:tcBorders>
            <w:shd w:val="clear" w:color="auto" w:fill="D3D3D3"/>
          </w:tcPr>
          <w:p>
            <w:pPr/>
          </w:p>
        </w:tc>
        <w:tc>
          <w:tcPr>
            <w:tcW w:w="566" w:type="dxa"/>
            <w:vMerge/>
            <w:tcBorders>
              <w:left w:val="single" w:sz="4" w:space="0" w:color="000000"/>
              <w:bottom w:val="single" w:sz="4" w:space="0" w:color="000000"/>
              <w:right w:val="single" w:sz="4" w:space="0" w:color="000000"/>
            </w:tcBorders>
            <w:shd w:val="clear" w:color="auto" w:fill="D3D3D3"/>
          </w:tcPr>
          <w:p>
            <w:pPr/>
          </w:p>
        </w:tc>
        <w:tc>
          <w:tcPr>
            <w:tcW w:w="643" w:type="dxa"/>
            <w:vMerge/>
            <w:tcBorders>
              <w:left w:val="single" w:sz="4" w:space="0" w:color="000000"/>
              <w:bottom w:val="single" w:sz="4" w:space="0" w:color="000000"/>
              <w:right w:val="single" w:sz="4" w:space="0" w:color="000000"/>
            </w:tcBorders>
            <w:shd w:val="clear" w:color="auto" w:fill="D3D3D3"/>
          </w:tcPr>
          <w:p>
            <w:pPr/>
          </w:p>
        </w:tc>
        <w:tc>
          <w:tcPr>
            <w:tcW w:w="650"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97"/>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 w:right="0"/>
              <w:jc w:val="left"/>
              <w:rPr>
                <w:rFonts w:ascii="Times New Roman" w:hAnsi="Times New Roman" w:cs="Times New Roman" w:eastAsia="Times New Roman" w:hint="default"/>
                <w:sz w:val="18"/>
                <w:szCs w:val="18"/>
              </w:rPr>
            </w:pPr>
            <w:r>
              <w:rPr>
                <w:rFonts w:ascii="Times New Roman"/>
                <w:sz w:val="18"/>
              </w:rPr>
              <w:t>324,4</w:t>
            </w:r>
          </w:p>
          <w:p>
            <w:pPr>
              <w:pStyle w:val="TableParagraph"/>
              <w:spacing w:line="240" w:lineRule="auto" w:before="104"/>
              <w:ind w:left="52" w:right="0"/>
              <w:jc w:val="left"/>
              <w:rPr>
                <w:rFonts w:ascii="Times New Roman" w:hAnsi="Times New Roman" w:cs="Times New Roman" w:eastAsia="Times New Roman" w:hint="default"/>
                <w:sz w:val="18"/>
                <w:szCs w:val="18"/>
              </w:rPr>
            </w:pPr>
            <w:r>
              <w:rPr>
                <w:rFonts w:ascii="Times New Roman"/>
                <w:sz w:val="18"/>
              </w:rPr>
              <w:t>75,50</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1.00</w:t>
            </w: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left"/>
              <w:rPr>
                <w:rFonts w:ascii="Times New Roman" w:hAnsi="Times New Roman" w:cs="Times New Roman" w:eastAsia="Times New Roman" w:hint="default"/>
                <w:sz w:val="18"/>
                <w:szCs w:val="18"/>
              </w:rPr>
            </w:pPr>
            <w:r>
              <w:rPr>
                <w:rFonts w:ascii="Times New Roman"/>
                <w:sz w:val="18"/>
              </w:rPr>
              <w:t>702,08</w:t>
            </w:r>
          </w:p>
          <w:p>
            <w:pPr>
              <w:pStyle w:val="TableParagraph"/>
              <w:spacing w:line="240" w:lineRule="auto" w:before="104"/>
              <w:ind w:left="92" w:right="0"/>
              <w:jc w:val="left"/>
              <w:rPr>
                <w:rFonts w:ascii="Times New Roman" w:hAnsi="Times New Roman" w:cs="Times New Roman" w:eastAsia="Times New Roman" w:hint="default"/>
                <w:sz w:val="18"/>
                <w:szCs w:val="18"/>
              </w:rPr>
            </w:pPr>
            <w:r>
              <w:rPr>
                <w:rFonts w:ascii="Times New Roman"/>
                <w:sz w:val="18"/>
              </w:rPr>
              <w:t>3,069.</w:t>
            </w:r>
          </w:p>
          <w:p>
            <w:pPr>
              <w:pStyle w:val="TableParagraph"/>
              <w:spacing w:line="240" w:lineRule="auto" w:before="106"/>
              <w:ind w:left="362" w:right="0"/>
              <w:jc w:val="left"/>
              <w:rPr>
                <w:rFonts w:ascii="Times New Roman" w:hAnsi="Times New Roman" w:cs="Times New Roman" w:eastAsia="Times New Roman" w:hint="default"/>
                <w:sz w:val="18"/>
                <w:szCs w:val="18"/>
              </w:rPr>
            </w:pPr>
            <w:r>
              <w:rPr>
                <w:rFonts w:ascii="Times New Roman"/>
                <w:sz w:val="18"/>
              </w:rPr>
              <w:t>98</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69,528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,553.8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39,527</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,567.1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left"/>
              <w:rPr>
                <w:rFonts w:ascii="Times New Roman" w:hAnsi="Times New Roman" w:cs="Times New Roman" w:eastAsia="Times New Roman" w:hint="default"/>
                <w:sz w:val="18"/>
                <w:szCs w:val="18"/>
              </w:rPr>
            </w:pPr>
            <w:r>
              <w:rPr>
                <w:rFonts w:ascii="Times New Roman"/>
                <w:sz w:val="18"/>
              </w:rPr>
              <w:t>365,04</w:t>
            </w:r>
          </w:p>
          <w:p>
            <w:pPr>
              <w:pStyle w:val="TableParagraph"/>
              <w:spacing w:line="240" w:lineRule="auto" w:before="104"/>
              <w:ind w:left="105" w:right="0"/>
              <w:jc w:val="left"/>
              <w:rPr>
                <w:rFonts w:ascii="Times New Roman" w:hAnsi="Times New Roman" w:cs="Times New Roman" w:eastAsia="Times New Roman" w:hint="default"/>
                <w:sz w:val="18"/>
                <w:szCs w:val="18"/>
              </w:rPr>
            </w:pPr>
            <w:r>
              <w:rPr>
                <w:rFonts w:ascii="Times New Roman"/>
                <w:sz w:val="18"/>
              </w:rPr>
              <w:t>6,574.</w:t>
            </w:r>
          </w:p>
          <w:p>
            <w:pPr>
              <w:pStyle w:val="TableParagraph"/>
              <w:spacing w:line="240" w:lineRule="auto" w:before="106"/>
              <w:ind w:left="375" w:right="0"/>
              <w:jc w:val="left"/>
              <w:rPr>
                <w:rFonts w:ascii="Times New Roman" w:hAnsi="Times New Roman" w:cs="Times New Roman" w:eastAsia="Times New Roman" w:hint="default"/>
                <w:sz w:val="18"/>
                <w:szCs w:val="18"/>
              </w:rPr>
            </w:pPr>
            <w:r>
              <w:rPr>
                <w:rFonts w:ascii="Times New Roman"/>
                <w:sz w:val="18"/>
              </w:rPr>
              <w:t>10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1,361,</w:t>
            </w:r>
          </w:p>
          <w:p>
            <w:pPr>
              <w:pStyle w:val="TableParagraph"/>
              <w:spacing w:line="240" w:lineRule="auto" w:before="104"/>
              <w:ind w:left="18" w:right="0"/>
              <w:jc w:val="center"/>
              <w:rPr>
                <w:rFonts w:ascii="Times New Roman" w:hAnsi="Times New Roman" w:cs="Times New Roman" w:eastAsia="Times New Roman" w:hint="default"/>
                <w:sz w:val="18"/>
                <w:szCs w:val="18"/>
              </w:rPr>
            </w:pPr>
            <w:r>
              <w:rPr>
                <w:rFonts w:ascii="Times New Roman"/>
                <w:sz w:val="18"/>
              </w:rPr>
              <w:t>604,15</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8.46</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18,871,</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443.54</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1,380,4</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75,602.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97"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97"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12"/>
        <w:gridCol w:w="490"/>
        <w:gridCol w:w="450"/>
        <w:gridCol w:w="449"/>
        <w:gridCol w:w="491"/>
        <w:gridCol w:w="576"/>
        <w:gridCol w:w="577"/>
        <w:gridCol w:w="577"/>
        <w:gridCol w:w="576"/>
        <w:gridCol w:w="576"/>
        <w:gridCol w:w="577"/>
        <w:gridCol w:w="589"/>
        <w:gridCol w:w="568"/>
        <w:gridCol w:w="566"/>
        <w:gridCol w:w="643"/>
        <w:gridCol w:w="650"/>
      </w:tblGrid>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7"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97"/>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324,4</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75,50</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1.00</w:t>
            </w: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702,08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3,069.</w:t>
            </w:r>
          </w:p>
          <w:p>
            <w:pPr>
              <w:pStyle w:val="TableParagraph"/>
              <w:spacing w:line="240" w:lineRule="auto" w:before="106"/>
              <w:ind w:left="362" w:right="0"/>
              <w:jc w:val="left"/>
              <w:rPr>
                <w:rFonts w:ascii="Times New Roman" w:hAnsi="Times New Roman" w:cs="Times New Roman" w:eastAsia="Times New Roman" w:hint="default"/>
                <w:sz w:val="18"/>
                <w:szCs w:val="18"/>
              </w:rPr>
            </w:pPr>
            <w:r>
              <w:rPr>
                <w:rFonts w:ascii="Times New Roman"/>
                <w:sz w:val="18"/>
              </w:rPr>
              <w:t>98</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69,528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,567.1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365,04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6,574.</w:t>
            </w:r>
          </w:p>
          <w:p>
            <w:pPr>
              <w:pStyle w:val="TableParagraph"/>
              <w:spacing w:line="240" w:lineRule="auto" w:before="106"/>
              <w:ind w:left="375" w:right="0"/>
              <w:jc w:val="left"/>
              <w:rPr>
                <w:rFonts w:ascii="Times New Roman" w:hAnsi="Times New Roman" w:cs="Times New Roman" w:eastAsia="Times New Roman" w:hint="default"/>
                <w:sz w:val="18"/>
                <w:szCs w:val="18"/>
              </w:rPr>
            </w:pPr>
            <w:r>
              <w:rPr>
                <w:rFonts w:ascii="Times New Roman"/>
                <w:sz w:val="18"/>
              </w:rPr>
              <w:t>10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1,361,</w:t>
            </w:r>
          </w:p>
          <w:p>
            <w:pPr>
              <w:pStyle w:val="TableParagraph"/>
              <w:spacing w:line="240" w:lineRule="auto" w:before="105"/>
              <w:ind w:left="18" w:right="0"/>
              <w:jc w:val="center"/>
              <w:rPr>
                <w:rFonts w:ascii="Times New Roman" w:hAnsi="Times New Roman" w:cs="Times New Roman" w:eastAsia="Times New Roman" w:hint="default"/>
                <w:sz w:val="18"/>
                <w:szCs w:val="18"/>
              </w:rPr>
            </w:pPr>
            <w:r>
              <w:rPr>
                <w:rFonts w:ascii="Times New Roman"/>
                <w:sz w:val="18"/>
              </w:rPr>
              <w:t>604,15</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8.46</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18,871,</w:t>
            </w:r>
          </w:p>
          <w:p>
            <w:pPr>
              <w:pStyle w:val="TableParagraph"/>
              <w:spacing w:line="240" w:lineRule="auto" w:before="106"/>
              <w:ind w:left="115" w:right="0"/>
              <w:jc w:val="left"/>
              <w:rPr>
                <w:rFonts w:ascii="Times New Roman" w:hAnsi="Times New Roman" w:cs="Times New Roman" w:eastAsia="Times New Roman" w:hint="default"/>
                <w:sz w:val="18"/>
                <w:szCs w:val="18"/>
              </w:rPr>
            </w:pPr>
            <w:r>
              <w:rPr>
                <w:rFonts w:ascii="Times New Roman"/>
                <w:sz w:val="18"/>
              </w:rPr>
              <w:t>443.54</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75,602.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r>
      <w:tr>
        <w:trPr>
          <w:trHeight w:val="1338"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2" w:right="97"/>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156,6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16,99</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4.00</w:t>
            </w: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-222,1</w:t>
            </w:r>
          </w:p>
          <w:p>
            <w:pPr>
              <w:pStyle w:val="TableParagraph"/>
              <w:spacing w:line="240" w:lineRule="auto" w:before="105"/>
              <w:ind w:left="48" w:right="0"/>
              <w:jc w:val="left"/>
              <w:rPr>
                <w:rFonts w:ascii="Times New Roman" w:hAnsi="Times New Roman" w:cs="Times New Roman" w:eastAsia="Times New Roman" w:hint="default"/>
                <w:sz w:val="18"/>
                <w:szCs w:val="18"/>
              </w:rPr>
            </w:pPr>
            <w:r>
              <w:rPr>
                <w:rFonts w:ascii="Times New Roman"/>
                <w:sz w:val="18"/>
              </w:rPr>
              <w:t>32,091</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.00</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-69,52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8,553.</w:t>
            </w:r>
          </w:p>
          <w:p>
            <w:pPr>
              <w:pStyle w:val="TableParagraph"/>
              <w:spacing w:line="240" w:lineRule="auto" w:before="106"/>
              <w:ind w:left="363" w:right="0"/>
              <w:jc w:val="left"/>
              <w:rPr>
                <w:rFonts w:ascii="Times New Roman" w:hAnsi="Times New Roman" w:cs="Times New Roman" w:eastAsia="Times New Roman" w:hint="default"/>
                <w:sz w:val="18"/>
                <w:szCs w:val="18"/>
              </w:rPr>
            </w:pPr>
            <w:r>
              <w:rPr>
                <w:rFonts w:ascii="Times New Roman"/>
                <w:sz w:val="18"/>
              </w:rPr>
              <w:t>80</w:t>
            </w: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5,576,</w:t>
            </w:r>
          </w:p>
          <w:p>
            <w:pPr>
              <w:pStyle w:val="TableParagraph"/>
              <w:spacing w:line="240" w:lineRule="auto" w:before="106"/>
              <w:ind w:left="49" w:right="0"/>
              <w:jc w:val="left"/>
              <w:rPr>
                <w:rFonts w:ascii="Times New Roman" w:hAnsi="Times New Roman" w:cs="Times New Roman" w:eastAsia="Times New Roman" w:hint="default"/>
                <w:sz w:val="18"/>
                <w:szCs w:val="18"/>
              </w:rPr>
            </w:pPr>
            <w:r>
              <w:rPr>
                <w:rFonts w:ascii="Times New Roman"/>
                <w:sz w:val="18"/>
              </w:rPr>
              <w:t>381.38</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71,385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80,975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1,614,5</w:t>
            </w:r>
          </w:p>
          <w:p>
            <w:pPr>
              <w:pStyle w:val="TableParagraph"/>
              <w:spacing w:line="240" w:lineRule="auto" w:before="106"/>
              <w:ind w:left="182" w:right="0"/>
              <w:jc w:val="center"/>
              <w:rPr>
                <w:rFonts w:ascii="Times New Roman" w:hAnsi="Times New Roman" w:cs="Times New Roman" w:eastAsia="Times New Roman" w:hint="default"/>
                <w:sz w:val="18"/>
                <w:szCs w:val="18"/>
              </w:rPr>
            </w:pPr>
            <w:r>
              <w:rPr>
                <w:rFonts w:ascii="Times New Roman"/>
                <w:sz w:val="18"/>
              </w:rPr>
              <w:t>80.82</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82,589,</w:t>
            </w:r>
          </w:p>
          <w:p>
            <w:pPr>
              <w:pStyle w:val="TableParagraph"/>
              <w:spacing w:line="240" w:lineRule="auto" w:before="106"/>
              <w:ind w:left="123" w:right="0"/>
              <w:jc w:val="left"/>
              <w:rPr>
                <w:rFonts w:ascii="Times New Roman" w:hAnsi="Times New Roman" w:cs="Times New Roman" w:eastAsia="Times New Roman" w:hint="default"/>
                <w:sz w:val="18"/>
                <w:szCs w:val="18"/>
              </w:rPr>
            </w:pPr>
            <w:r>
              <w:rPr>
                <w:rFonts w:ascii="Times New Roman"/>
                <w:sz w:val="18"/>
              </w:rPr>
              <w:t>605.84</w:t>
            </w: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97"/>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96,112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,608.4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96,112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1,214,5</w:t>
            </w:r>
          </w:p>
          <w:p>
            <w:pPr>
              <w:pStyle w:val="TableParagraph"/>
              <w:spacing w:line="240" w:lineRule="auto" w:before="106"/>
              <w:ind w:left="182" w:right="0"/>
              <w:jc w:val="center"/>
              <w:rPr>
                <w:rFonts w:ascii="Times New Roman" w:hAnsi="Times New Roman" w:cs="Times New Roman" w:eastAsia="Times New Roman" w:hint="default"/>
                <w:sz w:val="18"/>
                <w:szCs w:val="18"/>
              </w:rPr>
            </w:pPr>
            <w:r>
              <w:rPr>
                <w:rFonts w:ascii="Times New Roman"/>
                <w:sz w:val="18"/>
              </w:rPr>
              <w:t>80.82</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97,327,</w:t>
            </w:r>
          </w:p>
          <w:p>
            <w:pPr>
              <w:pStyle w:val="TableParagraph"/>
              <w:spacing w:line="240" w:lineRule="auto" w:before="106"/>
              <w:ind w:left="123" w:right="0"/>
              <w:jc w:val="left"/>
              <w:rPr>
                <w:rFonts w:ascii="Times New Roman" w:hAnsi="Times New Roman" w:cs="Times New Roman" w:eastAsia="Times New Roman" w:hint="default"/>
                <w:sz w:val="18"/>
                <w:szCs w:val="18"/>
              </w:rPr>
            </w:pPr>
            <w:r>
              <w:rPr>
                <w:rFonts w:ascii="Times New Roman"/>
                <w:sz w:val="18"/>
              </w:rPr>
              <w:t>189.25</w:t>
            </w: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7"/>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-5,62</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0,740</w:t>
            </w:r>
          </w:p>
          <w:p>
            <w:pPr>
              <w:pStyle w:val="TableParagraph"/>
              <w:spacing w:line="240" w:lineRule="auto" w:before="106"/>
              <w:ind w:left="211" w:right="0"/>
              <w:jc w:val="center"/>
              <w:rPr>
                <w:rFonts w:ascii="Times New Roman" w:hAnsi="Times New Roman" w:cs="Times New Roman" w:eastAsia="Times New Roman" w:hint="default"/>
                <w:sz w:val="18"/>
                <w:szCs w:val="18"/>
              </w:rPr>
            </w:pPr>
            <w:r>
              <w:rPr>
                <w:rFonts w:ascii="Times New Roman"/>
                <w:sz w:val="18"/>
              </w:rPr>
              <w:t>.00</w:t>
            </w: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left"/>
              <w:rPr>
                <w:rFonts w:ascii="Times New Roman" w:hAnsi="Times New Roman" w:cs="Times New Roman" w:eastAsia="Times New Roman" w:hint="default"/>
                <w:sz w:val="18"/>
                <w:szCs w:val="18"/>
              </w:rPr>
            </w:pPr>
            <w:r>
              <w:rPr>
                <w:rFonts w:ascii="Times New Roman"/>
                <w:sz w:val="18"/>
              </w:rPr>
              <w:t>-59,89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4,357.</w:t>
            </w:r>
          </w:p>
          <w:p>
            <w:pPr>
              <w:pStyle w:val="TableParagraph"/>
              <w:spacing w:line="240" w:lineRule="auto" w:before="106"/>
              <w:ind w:left="362" w:right="0"/>
              <w:jc w:val="left"/>
              <w:rPr>
                <w:rFonts w:ascii="Times New Roman" w:hAnsi="Times New Roman" w:cs="Times New Roman" w:eastAsia="Times New Roman" w:hint="default"/>
                <w:sz w:val="18"/>
                <w:szCs w:val="18"/>
              </w:rPr>
            </w:pPr>
            <w:r>
              <w:rPr>
                <w:rFonts w:ascii="Times New Roman"/>
                <w:sz w:val="18"/>
              </w:rPr>
              <w:t>00</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-69,52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8,553.</w:t>
            </w:r>
          </w:p>
          <w:p>
            <w:pPr>
              <w:pStyle w:val="TableParagraph"/>
              <w:spacing w:line="240" w:lineRule="auto" w:before="106"/>
              <w:ind w:left="363" w:right="0"/>
              <w:jc w:val="left"/>
              <w:rPr>
                <w:rFonts w:ascii="Times New Roman" w:hAnsi="Times New Roman" w:cs="Times New Roman" w:eastAsia="Times New Roman" w:hint="default"/>
                <w:sz w:val="18"/>
                <w:szCs w:val="18"/>
              </w:rPr>
            </w:pPr>
            <w:r>
              <w:rPr>
                <w:rFonts w:ascii="Times New Roman"/>
                <w:sz w:val="18"/>
              </w:rPr>
              <w:t>80</w:t>
            </w: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4,013,</w:t>
            </w:r>
          </w:p>
          <w:p>
            <w:pPr>
              <w:pStyle w:val="TableParagraph"/>
              <w:spacing w:line="240" w:lineRule="auto" w:before="106"/>
              <w:ind w:left="39" w:right="0"/>
              <w:jc w:val="left"/>
              <w:rPr>
                <w:rFonts w:ascii="Times New Roman" w:hAnsi="Times New Roman" w:cs="Times New Roman" w:eastAsia="Times New Roman" w:hint="default"/>
                <w:sz w:val="18"/>
                <w:szCs w:val="18"/>
              </w:rPr>
            </w:pPr>
            <w:r>
              <w:rPr>
                <w:rFonts w:ascii="Times New Roman"/>
                <w:sz w:val="18"/>
              </w:rPr>
              <w:t>456.80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4,413,4</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56.80</w:t>
            </w: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的普通股</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-5,62</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0,740</w:t>
            </w:r>
          </w:p>
          <w:p>
            <w:pPr>
              <w:pStyle w:val="TableParagraph"/>
              <w:spacing w:line="240" w:lineRule="auto" w:before="106"/>
              <w:ind w:left="211" w:right="0"/>
              <w:jc w:val="center"/>
              <w:rPr>
                <w:rFonts w:ascii="Times New Roman" w:hAnsi="Times New Roman" w:cs="Times New Roman" w:eastAsia="Times New Roman" w:hint="default"/>
                <w:sz w:val="18"/>
                <w:szCs w:val="18"/>
              </w:rPr>
            </w:pPr>
            <w:r>
              <w:rPr>
                <w:rFonts w:ascii="Times New Roman"/>
                <w:sz w:val="18"/>
              </w:rPr>
              <w:t>.00</w:t>
            </w: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left"/>
              <w:rPr>
                <w:rFonts w:ascii="Times New Roman" w:hAnsi="Times New Roman" w:cs="Times New Roman" w:eastAsia="Times New Roman" w:hint="default"/>
                <w:sz w:val="18"/>
                <w:szCs w:val="18"/>
              </w:rPr>
            </w:pPr>
            <w:r>
              <w:rPr>
                <w:rFonts w:ascii="Times New Roman"/>
                <w:sz w:val="18"/>
              </w:rPr>
              <w:t>-63,90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7,813.</w:t>
            </w:r>
          </w:p>
          <w:p>
            <w:pPr>
              <w:pStyle w:val="TableParagraph"/>
              <w:spacing w:line="240" w:lineRule="auto" w:before="106"/>
              <w:ind w:left="362" w:right="0"/>
              <w:jc w:val="left"/>
              <w:rPr>
                <w:rFonts w:ascii="Times New Roman" w:hAnsi="Times New Roman" w:cs="Times New Roman" w:eastAsia="Times New Roman" w:hint="default"/>
                <w:sz w:val="18"/>
                <w:szCs w:val="18"/>
              </w:rPr>
            </w:pPr>
            <w:r>
              <w:rPr>
                <w:rFonts w:ascii="Times New Roman"/>
                <w:sz w:val="18"/>
              </w:rPr>
              <w:t>80</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-69,52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8,553.</w:t>
            </w:r>
          </w:p>
          <w:p>
            <w:pPr>
              <w:pStyle w:val="TableParagraph"/>
              <w:spacing w:line="240" w:lineRule="auto" w:before="106"/>
              <w:ind w:left="353" w:right="0"/>
              <w:jc w:val="left"/>
              <w:rPr>
                <w:rFonts w:ascii="Times New Roman" w:hAnsi="Times New Roman" w:cs="Times New Roman" w:eastAsia="Times New Roman" w:hint="default"/>
                <w:sz w:val="18"/>
                <w:szCs w:val="18"/>
              </w:rPr>
            </w:pPr>
            <w:r>
              <w:rPr>
                <w:rFonts w:ascii="Times New Roman"/>
                <w:sz w:val="18"/>
              </w:rPr>
              <w:t>80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-69,128</w:t>
            </w:r>
          </w:p>
          <w:p>
            <w:pPr>
              <w:pStyle w:val="TableParagraph"/>
              <w:spacing w:line="240" w:lineRule="auto" w:before="106"/>
              <w:ind w:left="77" w:right="0"/>
              <w:jc w:val="left"/>
              <w:rPr>
                <w:rFonts w:ascii="Times New Roman" w:hAnsi="Times New Roman" w:cs="Times New Roman" w:eastAsia="Times New Roman" w:hint="default"/>
                <w:sz w:val="18"/>
                <w:szCs w:val="18"/>
              </w:rPr>
            </w:pPr>
            <w:r>
              <w:rPr>
                <w:rFonts w:ascii="Times New Roman"/>
                <w:sz w:val="18"/>
              </w:rPr>
              <w:t>,553.80</w:t>
            </w: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4,013,</w:t>
            </w:r>
          </w:p>
          <w:p>
            <w:pPr>
              <w:pStyle w:val="TableParagraph"/>
              <w:spacing w:line="240" w:lineRule="auto" w:before="106"/>
              <w:ind w:left="48" w:right="0"/>
              <w:jc w:val="left"/>
              <w:rPr>
                <w:rFonts w:ascii="Times New Roman" w:hAnsi="Times New Roman" w:cs="Times New Roman" w:eastAsia="Times New Roman" w:hint="default"/>
                <w:sz w:val="18"/>
                <w:szCs w:val="18"/>
              </w:rPr>
            </w:pPr>
            <w:r>
              <w:rPr>
                <w:rFonts w:ascii="Times New Roman"/>
                <w:sz w:val="18"/>
              </w:rPr>
              <w:t>456.80</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4,013,</w:t>
            </w:r>
          </w:p>
          <w:p>
            <w:pPr>
              <w:pStyle w:val="TableParagraph"/>
              <w:spacing w:line="240" w:lineRule="auto" w:before="106"/>
              <w:ind w:left="39" w:right="0"/>
              <w:jc w:val="left"/>
              <w:rPr>
                <w:rFonts w:ascii="Times New Roman" w:hAnsi="Times New Roman" w:cs="Times New Roman" w:eastAsia="Times New Roman" w:hint="default"/>
                <w:sz w:val="18"/>
                <w:szCs w:val="18"/>
              </w:rPr>
            </w:pPr>
            <w:r>
              <w:rPr>
                <w:rFonts w:ascii="Times New Roman"/>
                <w:sz w:val="18"/>
              </w:rPr>
              <w:t>456.80</w:t>
            </w: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4,013,4</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56.80</w:t>
            </w: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-69,52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8,553.</w:t>
            </w:r>
          </w:p>
          <w:p>
            <w:pPr>
              <w:pStyle w:val="TableParagraph"/>
              <w:spacing w:line="240" w:lineRule="auto" w:before="106"/>
              <w:ind w:left="363" w:right="0"/>
              <w:jc w:val="left"/>
              <w:rPr>
                <w:rFonts w:ascii="Times New Roman" w:hAnsi="Times New Roman" w:cs="Times New Roman" w:eastAsia="Times New Roman" w:hint="default"/>
                <w:sz w:val="18"/>
                <w:szCs w:val="18"/>
              </w:rPr>
            </w:pPr>
            <w:r>
              <w:rPr>
                <w:rFonts w:ascii="Times New Roman"/>
                <w:sz w:val="18"/>
              </w:rPr>
              <w:t>80</w:t>
            </w: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69,528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,553.8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69,528,</w:t>
            </w:r>
          </w:p>
          <w:p>
            <w:pPr>
              <w:pStyle w:val="TableParagraph"/>
              <w:spacing w:line="240" w:lineRule="auto" w:before="106"/>
              <w:ind w:left="123" w:right="0"/>
              <w:jc w:val="left"/>
              <w:rPr>
                <w:rFonts w:ascii="Times New Roman" w:hAnsi="Times New Roman" w:cs="Times New Roman" w:eastAsia="Times New Roman" w:hint="default"/>
                <w:sz w:val="18"/>
                <w:szCs w:val="18"/>
              </w:rPr>
            </w:pPr>
            <w:r>
              <w:rPr>
                <w:rFonts w:ascii="Times New Roman"/>
                <w:sz w:val="18"/>
              </w:rPr>
              <w:t>553.80</w:t>
            </w: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97"/>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5,576,</w:t>
            </w:r>
          </w:p>
          <w:p>
            <w:pPr>
              <w:pStyle w:val="TableParagraph"/>
              <w:spacing w:line="240" w:lineRule="auto" w:before="106"/>
              <w:ind w:left="49" w:right="0"/>
              <w:jc w:val="left"/>
              <w:rPr>
                <w:rFonts w:ascii="Times New Roman" w:hAnsi="Times New Roman" w:cs="Times New Roman" w:eastAsia="Times New Roman" w:hint="default"/>
                <w:sz w:val="18"/>
                <w:szCs w:val="18"/>
              </w:rPr>
            </w:pPr>
            <w:r>
              <w:rPr>
                <w:rFonts w:ascii="Times New Roman"/>
                <w:sz w:val="18"/>
              </w:rPr>
              <w:t>381.38</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-24,72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7,421.</w:t>
            </w:r>
          </w:p>
          <w:p>
            <w:pPr>
              <w:pStyle w:val="TableParagraph"/>
              <w:spacing w:line="240" w:lineRule="auto" w:before="106"/>
              <w:ind w:left="375" w:right="0"/>
              <w:jc w:val="left"/>
              <w:rPr>
                <w:rFonts w:ascii="Times New Roman" w:hAnsi="Times New Roman" w:cs="Times New Roman" w:eastAsia="Times New Roman" w:hint="default"/>
                <w:sz w:val="18"/>
                <w:szCs w:val="18"/>
              </w:rPr>
            </w:pPr>
            <w:r>
              <w:rPr>
                <w:rFonts w:ascii="Times New Roman"/>
                <w:sz w:val="18"/>
              </w:rPr>
              <w:t>59</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-19,15</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1,040.</w:t>
            </w:r>
          </w:p>
          <w:p>
            <w:pPr>
              <w:pStyle w:val="TableParagraph"/>
              <w:spacing w:line="240" w:lineRule="auto" w:before="106"/>
              <w:ind w:left="353" w:right="0"/>
              <w:jc w:val="left"/>
              <w:rPr>
                <w:rFonts w:ascii="Times New Roman" w:hAnsi="Times New Roman" w:cs="Times New Roman" w:eastAsia="Times New Roman" w:hint="default"/>
                <w:sz w:val="18"/>
                <w:szCs w:val="18"/>
              </w:rPr>
            </w:pPr>
            <w:r>
              <w:rPr>
                <w:rFonts w:ascii="Times New Roman"/>
                <w:sz w:val="18"/>
              </w:rPr>
              <w:t>21</w:t>
            </w: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-19,151</w:t>
            </w:r>
          </w:p>
          <w:p>
            <w:pPr>
              <w:pStyle w:val="TableParagraph"/>
              <w:spacing w:line="240" w:lineRule="auto" w:before="106"/>
              <w:ind w:left="77" w:right="0"/>
              <w:jc w:val="left"/>
              <w:rPr>
                <w:rFonts w:ascii="Times New Roman" w:hAnsi="Times New Roman" w:cs="Times New Roman" w:eastAsia="Times New Roman" w:hint="default"/>
                <w:sz w:val="18"/>
                <w:szCs w:val="18"/>
              </w:rPr>
            </w:pPr>
            <w:r>
              <w:rPr>
                <w:rFonts w:ascii="Times New Roman"/>
                <w:sz w:val="18"/>
              </w:rPr>
              <w:t>,040.21</w:t>
            </w: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．提取盈余公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5,576,</w:t>
            </w:r>
          </w:p>
          <w:p>
            <w:pPr>
              <w:pStyle w:val="TableParagraph"/>
              <w:spacing w:line="240" w:lineRule="auto" w:before="106"/>
              <w:ind w:left="49" w:right="0"/>
              <w:jc w:val="left"/>
              <w:rPr>
                <w:rFonts w:ascii="Times New Roman" w:hAnsi="Times New Roman" w:cs="Times New Roman" w:eastAsia="Times New Roman" w:hint="default"/>
                <w:sz w:val="18"/>
                <w:szCs w:val="18"/>
              </w:rPr>
            </w:pPr>
            <w:r>
              <w:rPr>
                <w:rFonts w:ascii="Times New Roman"/>
                <w:sz w:val="18"/>
              </w:rPr>
              <w:t>381.38</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-5,576,</w:t>
            </w:r>
          </w:p>
          <w:p>
            <w:pPr>
              <w:pStyle w:val="TableParagraph"/>
              <w:spacing w:line="240" w:lineRule="auto" w:before="106"/>
              <w:ind w:left="61" w:right="0"/>
              <w:jc w:val="left"/>
              <w:rPr>
                <w:rFonts w:ascii="Times New Roman" w:hAnsi="Times New Roman" w:cs="Times New Roman" w:eastAsia="Times New Roman" w:hint="default"/>
                <w:sz w:val="18"/>
                <w:szCs w:val="18"/>
              </w:rPr>
            </w:pPr>
            <w:r>
              <w:rPr>
                <w:rFonts w:ascii="Times New Roman"/>
                <w:sz w:val="18"/>
              </w:rPr>
              <w:t>381.38</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．提取一般风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9" w:lineRule="auto" w:before="63"/>
              <w:ind w:left="22" w:right="97"/>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-19,15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1,040.</w:t>
            </w:r>
          </w:p>
          <w:p>
            <w:pPr>
              <w:pStyle w:val="TableParagraph"/>
              <w:spacing w:line="240" w:lineRule="auto" w:before="106"/>
              <w:ind w:left="375" w:right="0"/>
              <w:jc w:val="left"/>
              <w:rPr>
                <w:rFonts w:ascii="Times New Roman" w:hAnsi="Times New Roman" w:cs="Times New Roman" w:eastAsia="Times New Roman" w:hint="default"/>
                <w:sz w:val="18"/>
                <w:szCs w:val="18"/>
              </w:rPr>
            </w:pPr>
            <w:r>
              <w:rPr>
                <w:rFonts w:ascii="Times New Roman"/>
                <w:sz w:val="18"/>
              </w:rPr>
              <w:t>21</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-19,15</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1,040.</w:t>
            </w:r>
          </w:p>
          <w:p>
            <w:pPr>
              <w:pStyle w:val="TableParagraph"/>
              <w:spacing w:line="240" w:lineRule="auto" w:before="106"/>
              <w:ind w:left="353" w:right="0"/>
              <w:jc w:val="left"/>
              <w:rPr>
                <w:rFonts w:ascii="Times New Roman" w:hAnsi="Times New Roman" w:cs="Times New Roman" w:eastAsia="Times New Roman" w:hint="default"/>
                <w:sz w:val="18"/>
                <w:szCs w:val="18"/>
              </w:rPr>
            </w:pPr>
            <w:r>
              <w:rPr>
                <w:rFonts w:ascii="Times New Roman"/>
                <w:sz w:val="18"/>
              </w:rPr>
              <w:t>21</w:t>
            </w: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-19,151</w:t>
            </w:r>
          </w:p>
          <w:p>
            <w:pPr>
              <w:pStyle w:val="TableParagraph"/>
              <w:spacing w:line="240" w:lineRule="auto" w:before="106"/>
              <w:ind w:left="77" w:right="0"/>
              <w:jc w:val="left"/>
              <w:rPr>
                <w:rFonts w:ascii="Times New Roman" w:hAnsi="Times New Roman" w:cs="Times New Roman" w:eastAsia="Times New Roman" w:hint="default"/>
                <w:sz w:val="18"/>
                <w:szCs w:val="18"/>
              </w:rPr>
            </w:pPr>
            <w:r>
              <w:rPr>
                <w:rFonts w:ascii="Times New Roman"/>
                <w:sz w:val="18"/>
              </w:rPr>
              <w:t>,040.21</w:t>
            </w: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12"/>
        <w:gridCol w:w="490"/>
        <w:gridCol w:w="450"/>
        <w:gridCol w:w="449"/>
        <w:gridCol w:w="491"/>
        <w:gridCol w:w="576"/>
        <w:gridCol w:w="577"/>
        <w:gridCol w:w="577"/>
        <w:gridCol w:w="576"/>
        <w:gridCol w:w="576"/>
        <w:gridCol w:w="577"/>
        <w:gridCol w:w="589"/>
        <w:gridCol w:w="568"/>
        <w:gridCol w:w="566"/>
        <w:gridCol w:w="643"/>
        <w:gridCol w:w="650"/>
      </w:tblGrid>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97"/>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162,2</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37,73</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4.00</w:t>
            </w: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left"/>
              <w:rPr>
                <w:rFonts w:ascii="Times New Roman" w:hAnsi="Times New Roman" w:cs="Times New Roman" w:eastAsia="Times New Roman" w:hint="default"/>
                <w:sz w:val="18"/>
                <w:szCs w:val="18"/>
              </w:rPr>
            </w:pPr>
            <w:r>
              <w:rPr>
                <w:rFonts w:ascii="Times New Roman"/>
                <w:sz w:val="18"/>
              </w:rPr>
              <w:t>-162,2</w:t>
            </w:r>
          </w:p>
          <w:p>
            <w:pPr>
              <w:pStyle w:val="TableParagraph"/>
              <w:spacing w:line="240" w:lineRule="auto" w:before="105"/>
              <w:ind w:left="48" w:right="0"/>
              <w:jc w:val="left"/>
              <w:rPr>
                <w:rFonts w:ascii="Times New Roman" w:hAnsi="Times New Roman" w:cs="Times New Roman" w:eastAsia="Times New Roman" w:hint="default"/>
                <w:sz w:val="18"/>
                <w:szCs w:val="18"/>
              </w:rPr>
            </w:pPr>
            <w:r>
              <w:rPr>
                <w:rFonts w:ascii="Times New Roman"/>
                <w:sz w:val="18"/>
              </w:rPr>
              <w:t>37,734</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.00</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增资本（或股 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162,2</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37,73</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4.00</w:t>
            </w: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left"/>
              <w:rPr>
                <w:rFonts w:ascii="Times New Roman" w:hAnsi="Times New Roman" w:cs="Times New Roman" w:eastAsia="Times New Roman" w:hint="default"/>
                <w:sz w:val="18"/>
                <w:szCs w:val="18"/>
              </w:rPr>
            </w:pPr>
            <w:r>
              <w:rPr>
                <w:rFonts w:ascii="Times New Roman"/>
                <w:sz w:val="18"/>
              </w:rPr>
              <w:t>-162,2</w:t>
            </w:r>
          </w:p>
          <w:p>
            <w:pPr>
              <w:pStyle w:val="TableParagraph"/>
              <w:spacing w:line="240" w:lineRule="auto" w:before="105"/>
              <w:ind w:left="48" w:right="0"/>
              <w:jc w:val="left"/>
              <w:rPr>
                <w:rFonts w:ascii="Times New Roman" w:hAnsi="Times New Roman" w:cs="Times New Roman" w:eastAsia="Times New Roman" w:hint="default"/>
                <w:sz w:val="18"/>
                <w:szCs w:val="18"/>
              </w:rPr>
            </w:pPr>
            <w:r>
              <w:rPr>
                <w:rFonts w:ascii="Times New Roman"/>
                <w:sz w:val="18"/>
              </w:rPr>
              <w:t>37,734</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.00</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．盈余公积弥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．设定受益计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．其他综合收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7"/>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97"/>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481,0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92,49</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5.00</w:t>
            </w: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479,95</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0,978.</w:t>
            </w:r>
          </w:p>
          <w:p>
            <w:pPr>
              <w:pStyle w:val="TableParagraph"/>
              <w:spacing w:line="240" w:lineRule="auto" w:before="106"/>
              <w:ind w:left="362" w:right="0"/>
              <w:jc w:val="left"/>
              <w:rPr>
                <w:rFonts w:ascii="Times New Roman" w:hAnsi="Times New Roman" w:cs="Times New Roman" w:eastAsia="Times New Roman" w:hint="default"/>
                <w:sz w:val="18"/>
                <w:szCs w:val="18"/>
              </w:rPr>
            </w:pPr>
            <w:r>
              <w:rPr>
                <w:rFonts w:ascii="Times New Roman"/>
                <w:sz w:val="18"/>
              </w:rPr>
              <w:t>98</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436,43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1,760.</w:t>
            </w:r>
          </w:p>
          <w:p>
            <w:pPr>
              <w:pStyle w:val="TableParagraph"/>
              <w:spacing w:line="240" w:lineRule="auto" w:before="106"/>
              <w:ind w:left="375" w:right="0"/>
              <w:jc w:val="left"/>
              <w:rPr>
                <w:rFonts w:ascii="Times New Roman" w:hAnsi="Times New Roman" w:cs="Times New Roman" w:eastAsia="Times New Roman" w:hint="default"/>
                <w:sz w:val="18"/>
                <w:szCs w:val="18"/>
              </w:rPr>
            </w:pPr>
            <w:r>
              <w:rPr>
                <w:rFonts w:ascii="Times New Roman"/>
                <w:sz w:val="18"/>
              </w:rPr>
              <w:t>94</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1,442,</w:t>
            </w:r>
          </w:p>
          <w:p>
            <w:pPr>
              <w:pStyle w:val="TableParagraph"/>
              <w:spacing w:line="240" w:lineRule="auto" w:before="105"/>
              <w:ind w:left="18" w:right="0"/>
              <w:jc w:val="center"/>
              <w:rPr>
                <w:rFonts w:ascii="Times New Roman" w:hAnsi="Times New Roman" w:cs="Times New Roman" w:eastAsia="Times New Roman" w:hint="default"/>
                <w:sz w:val="18"/>
                <w:szCs w:val="18"/>
              </w:rPr>
            </w:pPr>
            <w:r>
              <w:rPr>
                <w:rFonts w:ascii="Times New Roman"/>
                <w:sz w:val="18"/>
              </w:rPr>
              <w:t>579,18</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3.48</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20,486,</w:t>
            </w:r>
          </w:p>
          <w:p>
            <w:pPr>
              <w:pStyle w:val="TableParagraph"/>
              <w:spacing w:line="240" w:lineRule="auto" w:before="106"/>
              <w:ind w:left="115" w:right="0"/>
              <w:jc w:val="left"/>
              <w:rPr>
                <w:rFonts w:ascii="Times New Roman" w:hAnsi="Times New Roman" w:cs="Times New Roman" w:eastAsia="Times New Roman" w:hint="default"/>
                <w:sz w:val="18"/>
                <w:szCs w:val="18"/>
              </w:rPr>
            </w:pPr>
            <w:r>
              <w:rPr>
                <w:rFonts w:ascii="Times New Roman"/>
                <w:sz w:val="18"/>
              </w:rPr>
              <w:t>024.36</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65,207.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1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line="240" w:lineRule="auto" w:before="7"/>
        <w:rPr>
          <w:rFonts w:ascii="宋体" w:hAnsi="宋体" w:cs="宋体" w:eastAsia="宋体" w:hint="default"/>
          <w:sz w:val="11"/>
          <w:szCs w:val="11"/>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06"/>
        <w:gridCol w:w="629"/>
        <w:gridCol w:w="604"/>
        <w:gridCol w:w="604"/>
        <w:gridCol w:w="606"/>
        <w:gridCol w:w="726"/>
        <w:gridCol w:w="726"/>
        <w:gridCol w:w="726"/>
        <w:gridCol w:w="727"/>
        <w:gridCol w:w="726"/>
        <w:gridCol w:w="616"/>
        <w:gridCol w:w="709"/>
        <w:gridCol w:w="864"/>
      </w:tblGrid>
      <w:tr>
        <w:trPr>
          <w:trHeight w:val="402" w:hRule="exact"/>
        </w:trPr>
        <w:tc>
          <w:tcPr>
            <w:tcW w:w="130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1306" w:type="dxa"/>
            <w:vMerge/>
            <w:tcBorders>
              <w:left w:val="single" w:sz="4" w:space="0" w:color="000000"/>
              <w:right w:val="single" w:sz="4" w:space="0" w:color="000000"/>
            </w:tcBorders>
            <w:shd w:val="clear" w:color="auto" w:fill="D3D3D3"/>
          </w:tcPr>
          <w:p>
            <w:pPr/>
          </w:p>
        </w:tc>
        <w:tc>
          <w:tcPr>
            <w:tcW w:w="62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67"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67" w:right="20"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72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88" w:right="8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67"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22" w:right="3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0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57" w:right="65"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306" w:type="dxa"/>
            <w:vMerge/>
            <w:tcBorders>
              <w:left w:val="single" w:sz="4" w:space="0" w:color="000000"/>
              <w:bottom w:val="single" w:sz="4" w:space="0" w:color="000000"/>
              <w:right w:val="single" w:sz="4" w:space="0" w:color="000000"/>
            </w:tcBorders>
            <w:shd w:val="clear" w:color="auto" w:fill="D3D3D3"/>
          </w:tcPr>
          <w:p>
            <w:pPr/>
          </w:p>
        </w:tc>
        <w:tc>
          <w:tcPr>
            <w:tcW w:w="629" w:type="dxa"/>
            <w:vMerge/>
            <w:tcBorders>
              <w:left w:val="single" w:sz="4" w:space="0" w:color="000000"/>
              <w:bottom w:val="single" w:sz="4" w:space="0" w:color="000000"/>
              <w:right w:val="single" w:sz="4" w:space="0" w:color="000000"/>
            </w:tcBorders>
            <w:shd w:val="clear" w:color="auto" w:fill="D3D3D3"/>
          </w:tcPr>
          <w:p>
            <w:pPr/>
          </w:p>
        </w:tc>
        <w:tc>
          <w:tcPr>
            <w:tcW w:w="6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6" w:type="dxa"/>
            <w:vMerge/>
            <w:tcBorders>
              <w:left w:val="single" w:sz="4" w:space="0" w:color="000000"/>
              <w:bottom w:val="single" w:sz="4" w:space="0" w:color="000000"/>
              <w:right w:val="single" w:sz="4" w:space="0" w:color="000000"/>
            </w:tcBorders>
            <w:shd w:val="clear" w:color="auto" w:fill="D3D3D3"/>
          </w:tcPr>
          <w:p>
            <w:pPr/>
          </w:p>
        </w:tc>
        <w:tc>
          <w:tcPr>
            <w:tcW w:w="726" w:type="dxa"/>
            <w:vMerge/>
            <w:tcBorders>
              <w:left w:val="single" w:sz="4" w:space="0" w:color="000000"/>
              <w:bottom w:val="single" w:sz="4" w:space="0" w:color="000000"/>
              <w:right w:val="single" w:sz="4" w:space="0" w:color="000000"/>
            </w:tcBorders>
            <w:shd w:val="clear" w:color="auto" w:fill="D3D3D3"/>
          </w:tcPr>
          <w:p>
            <w:pPr/>
          </w:p>
        </w:tc>
        <w:tc>
          <w:tcPr>
            <w:tcW w:w="726" w:type="dxa"/>
            <w:vMerge/>
            <w:tcBorders>
              <w:left w:val="single" w:sz="4" w:space="0" w:color="000000"/>
              <w:bottom w:val="single" w:sz="4" w:space="0" w:color="000000"/>
              <w:right w:val="single" w:sz="4" w:space="0" w:color="000000"/>
            </w:tcBorders>
            <w:shd w:val="clear" w:color="auto" w:fill="D3D3D3"/>
          </w:tcPr>
          <w:p>
            <w:pPr/>
          </w:p>
        </w:tc>
        <w:tc>
          <w:tcPr>
            <w:tcW w:w="727" w:type="dxa"/>
            <w:vMerge/>
            <w:tcBorders>
              <w:left w:val="single" w:sz="4" w:space="0" w:color="000000"/>
              <w:bottom w:val="single" w:sz="4" w:space="0" w:color="000000"/>
              <w:right w:val="single" w:sz="4" w:space="0" w:color="000000"/>
            </w:tcBorders>
            <w:shd w:val="clear" w:color="auto" w:fill="D3D3D3"/>
          </w:tcPr>
          <w:p>
            <w:pPr/>
          </w:p>
        </w:tc>
        <w:tc>
          <w:tcPr>
            <w:tcW w:w="726" w:type="dxa"/>
            <w:vMerge/>
            <w:tcBorders>
              <w:left w:val="single" w:sz="4" w:space="0" w:color="000000"/>
              <w:bottom w:val="single" w:sz="4" w:space="0" w:color="000000"/>
              <w:right w:val="single" w:sz="4" w:space="0" w:color="000000"/>
            </w:tcBorders>
            <w:shd w:val="clear" w:color="auto" w:fill="D3D3D3"/>
          </w:tcPr>
          <w:p>
            <w:pPr/>
          </w:p>
        </w:tc>
        <w:tc>
          <w:tcPr>
            <w:tcW w:w="616" w:type="dxa"/>
            <w:vMerge/>
            <w:tcBorders>
              <w:left w:val="single" w:sz="4" w:space="0" w:color="000000"/>
              <w:bottom w:val="single" w:sz="4" w:space="0" w:color="000000"/>
              <w:right w:val="single" w:sz="4" w:space="0" w:color="000000"/>
            </w:tcBorders>
            <w:shd w:val="clear" w:color="auto" w:fill="D3D3D3"/>
          </w:tcPr>
          <w:p>
            <w:pPr/>
          </w:p>
        </w:tc>
        <w:tc>
          <w:tcPr>
            <w:tcW w:w="709" w:type="dxa"/>
            <w:vMerge/>
            <w:tcBorders>
              <w:left w:val="single" w:sz="4" w:space="0" w:color="000000"/>
              <w:bottom w:val="single" w:sz="4" w:space="0" w:color="000000"/>
              <w:right w:val="single" w:sz="4" w:space="0" w:color="000000"/>
            </w:tcBorders>
            <w:shd w:val="clear" w:color="auto" w:fill="D3D3D3"/>
          </w:tcPr>
          <w:p>
            <w:pPr/>
          </w:p>
        </w:tc>
        <w:tc>
          <w:tcPr>
            <w:tcW w:w="864"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2,495.0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479,950,</w:t>
            </w:r>
          </w:p>
          <w:p>
            <w:pPr>
              <w:pStyle w:val="TableParagraph"/>
              <w:spacing w:line="240" w:lineRule="auto" w:before="106"/>
              <w:ind w:left="175" w:right="0"/>
              <w:jc w:val="center"/>
              <w:rPr>
                <w:rFonts w:ascii="Times New Roman" w:hAnsi="Times New Roman" w:cs="Times New Roman" w:eastAsia="Times New Roman" w:hint="default"/>
                <w:sz w:val="18"/>
                <w:szCs w:val="18"/>
              </w:rPr>
            </w:pPr>
            <w:r>
              <w:rPr>
                <w:rFonts w:ascii="Times New Roman"/>
                <w:sz w:val="18"/>
              </w:rPr>
              <w:t>978.98</w:t>
            </w: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45,103,9</w:t>
            </w:r>
          </w:p>
          <w:p>
            <w:pPr>
              <w:pStyle w:val="TableParagraph"/>
              <w:spacing w:line="240" w:lineRule="auto" w:before="106"/>
              <w:ind w:left="287" w:right="0"/>
              <w:jc w:val="left"/>
              <w:rPr>
                <w:rFonts w:ascii="Times New Roman" w:hAnsi="Times New Roman" w:cs="Times New Roman" w:eastAsia="Times New Roman" w:hint="default"/>
                <w:sz w:val="18"/>
                <w:szCs w:val="18"/>
              </w:rPr>
            </w:pPr>
            <w:r>
              <w:rPr>
                <w:rFonts w:ascii="Times New Roman"/>
                <w:sz w:val="18"/>
              </w:rPr>
              <w:t>48.56</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3,415.1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1,318,940,</w:t>
            </w:r>
          </w:p>
          <w:p>
            <w:pPr>
              <w:pStyle w:val="TableParagraph"/>
              <w:spacing w:line="240" w:lineRule="auto" w:before="106"/>
              <w:ind w:left="337" w:right="0"/>
              <w:jc w:val="left"/>
              <w:rPr>
                <w:rFonts w:ascii="Times New Roman" w:hAnsi="Times New Roman" w:cs="Times New Roman" w:eastAsia="Times New Roman" w:hint="default"/>
                <w:sz w:val="18"/>
                <w:szCs w:val="18"/>
              </w:rPr>
            </w:pPr>
            <w:r>
              <w:rPr>
                <w:rFonts w:ascii="Times New Roman"/>
                <w:sz w:val="18"/>
              </w:rPr>
              <w:t>837.69</w:t>
            </w: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-2,353,6</w:t>
            </w:r>
          </w:p>
          <w:p>
            <w:pPr>
              <w:pStyle w:val="TableParagraph"/>
              <w:spacing w:line="240" w:lineRule="auto" w:before="106"/>
              <w:ind w:left="295" w:right="0"/>
              <w:jc w:val="left"/>
              <w:rPr>
                <w:rFonts w:ascii="Times New Roman" w:hAnsi="Times New Roman" w:cs="Times New Roman" w:eastAsia="Times New Roman" w:hint="default"/>
                <w:sz w:val="18"/>
                <w:szCs w:val="18"/>
              </w:rPr>
            </w:pPr>
            <w:r>
              <w:rPr>
                <w:rFonts w:ascii="Times New Roman"/>
                <w:sz w:val="18"/>
              </w:rPr>
              <w:t>10.11</w:t>
            </w: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2,136,8</w:t>
            </w:r>
          </w:p>
          <w:p>
            <w:pPr>
              <w:pStyle w:val="TableParagraph"/>
              <w:spacing w:line="240" w:lineRule="auto" w:before="106"/>
              <w:ind w:left="154" w:right="0"/>
              <w:jc w:val="center"/>
              <w:rPr>
                <w:rFonts w:ascii="Times New Roman" w:hAnsi="Times New Roman" w:cs="Times New Roman" w:eastAsia="Times New Roman" w:hint="default"/>
                <w:sz w:val="18"/>
                <w:szCs w:val="18"/>
              </w:rPr>
            </w:pPr>
            <w:r>
              <w:rPr>
                <w:rFonts w:ascii="Times New Roman"/>
                <w:sz w:val="18"/>
              </w:rPr>
              <w:t>62.60</w:t>
            </w: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-216,747.5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06"/>
        <w:gridCol w:w="629"/>
        <w:gridCol w:w="604"/>
        <w:gridCol w:w="604"/>
        <w:gridCol w:w="606"/>
        <w:gridCol w:w="726"/>
        <w:gridCol w:w="726"/>
        <w:gridCol w:w="726"/>
        <w:gridCol w:w="727"/>
        <w:gridCol w:w="726"/>
        <w:gridCol w:w="616"/>
        <w:gridCol w:w="709"/>
        <w:gridCol w:w="864"/>
      </w:tblGrid>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1"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2,495.0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479,950,</w:t>
            </w:r>
          </w:p>
          <w:p>
            <w:pPr>
              <w:pStyle w:val="TableParagraph"/>
              <w:spacing w:line="240" w:lineRule="auto" w:before="106"/>
              <w:ind w:left="175" w:right="0"/>
              <w:jc w:val="center"/>
              <w:rPr>
                <w:rFonts w:ascii="Times New Roman" w:hAnsi="Times New Roman" w:cs="Times New Roman" w:eastAsia="Times New Roman" w:hint="default"/>
                <w:sz w:val="18"/>
                <w:szCs w:val="18"/>
              </w:rPr>
            </w:pPr>
            <w:r>
              <w:rPr>
                <w:rFonts w:ascii="Times New Roman"/>
                <w:sz w:val="18"/>
              </w:rPr>
              <w:t>978.98</w:t>
            </w: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-2,353,6</w:t>
            </w:r>
          </w:p>
          <w:p>
            <w:pPr>
              <w:pStyle w:val="TableParagraph"/>
              <w:spacing w:line="240" w:lineRule="auto" w:before="106"/>
              <w:ind w:left="295" w:right="0"/>
              <w:jc w:val="left"/>
              <w:rPr>
                <w:rFonts w:ascii="Times New Roman" w:hAnsi="Times New Roman" w:cs="Times New Roman" w:eastAsia="Times New Roman" w:hint="default"/>
                <w:sz w:val="18"/>
                <w:szCs w:val="18"/>
              </w:rPr>
            </w:pPr>
            <w:r>
              <w:rPr>
                <w:rFonts w:ascii="Times New Roman"/>
                <w:sz w:val="18"/>
              </w:rPr>
              <w:t>10.11</w:t>
            </w: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45,103,9</w:t>
            </w:r>
          </w:p>
          <w:p>
            <w:pPr>
              <w:pStyle w:val="TableParagraph"/>
              <w:spacing w:line="240" w:lineRule="auto" w:before="106"/>
              <w:ind w:left="287" w:right="0"/>
              <w:jc w:val="left"/>
              <w:rPr>
                <w:rFonts w:ascii="Times New Roman" w:hAnsi="Times New Roman" w:cs="Times New Roman" w:eastAsia="Times New Roman" w:hint="default"/>
                <w:sz w:val="18"/>
                <w:szCs w:val="18"/>
              </w:rPr>
            </w:pPr>
            <w:r>
              <w:rPr>
                <w:rFonts w:ascii="Times New Roman"/>
                <w:sz w:val="18"/>
              </w:rPr>
              <w:t>48.56</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0,277.7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1,318,724,</w:t>
            </w:r>
          </w:p>
          <w:p>
            <w:pPr>
              <w:pStyle w:val="TableParagraph"/>
              <w:spacing w:line="240" w:lineRule="auto" w:before="106"/>
              <w:ind w:left="337" w:right="0"/>
              <w:jc w:val="left"/>
              <w:rPr>
                <w:rFonts w:ascii="Times New Roman" w:hAnsi="Times New Roman" w:cs="Times New Roman" w:eastAsia="Times New Roman" w:hint="default"/>
                <w:sz w:val="18"/>
                <w:szCs w:val="18"/>
              </w:rPr>
            </w:pPr>
            <w:r>
              <w:rPr>
                <w:rFonts w:ascii="Times New Roman"/>
                <w:sz w:val="18"/>
              </w:rPr>
              <w:t>090.18</w:t>
            </w: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13,778,0</w:t>
            </w:r>
          </w:p>
          <w:p>
            <w:pPr>
              <w:pStyle w:val="TableParagraph"/>
              <w:spacing w:line="240" w:lineRule="auto" w:before="106"/>
              <w:ind w:left="287" w:right="0"/>
              <w:jc w:val="left"/>
              <w:rPr>
                <w:rFonts w:ascii="Times New Roman" w:hAnsi="Times New Roman" w:cs="Times New Roman" w:eastAsia="Times New Roman" w:hint="default"/>
                <w:sz w:val="18"/>
                <w:szCs w:val="18"/>
              </w:rPr>
            </w:pPr>
            <w:r>
              <w:rPr>
                <w:rFonts w:ascii="Times New Roman"/>
                <w:sz w:val="18"/>
              </w:rPr>
              <w:t>79.67</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9,017.2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118,537,09</w:t>
            </w:r>
          </w:p>
          <w:p>
            <w:pPr>
              <w:pStyle w:val="TableParagraph"/>
              <w:spacing w:line="240" w:lineRule="auto" w:before="106"/>
              <w:ind w:left="517" w:right="0"/>
              <w:jc w:val="left"/>
              <w:rPr>
                <w:rFonts w:ascii="Times New Roman" w:hAnsi="Times New Roman" w:cs="Times New Roman" w:eastAsia="Times New Roman" w:hint="default"/>
                <w:sz w:val="18"/>
                <w:szCs w:val="18"/>
              </w:rPr>
            </w:pPr>
            <w:r>
              <w:rPr>
                <w:rFonts w:ascii="Times New Roman"/>
                <w:sz w:val="18"/>
              </w:rPr>
              <w:t>6.92</w:t>
            </w: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0,796.7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137,780,7</w:t>
            </w:r>
          </w:p>
          <w:p>
            <w:pPr>
              <w:pStyle w:val="TableParagraph"/>
              <w:spacing w:line="240" w:lineRule="auto" w:before="106"/>
              <w:ind w:left="427" w:right="0"/>
              <w:jc w:val="left"/>
              <w:rPr>
                <w:rFonts w:ascii="Times New Roman" w:hAnsi="Times New Roman" w:cs="Times New Roman" w:eastAsia="Times New Roman" w:hint="default"/>
                <w:sz w:val="18"/>
                <w:szCs w:val="18"/>
              </w:rPr>
            </w:pPr>
            <w:r>
              <w:rPr>
                <w:rFonts w:ascii="Times New Roman"/>
                <w:sz w:val="18"/>
              </w:rPr>
              <w:t>96.72</w:t>
            </w: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13,778,0</w:t>
            </w:r>
          </w:p>
          <w:p>
            <w:pPr>
              <w:pStyle w:val="TableParagraph"/>
              <w:spacing w:line="240" w:lineRule="auto" w:before="106"/>
              <w:ind w:left="287" w:right="0"/>
              <w:jc w:val="left"/>
              <w:rPr>
                <w:rFonts w:ascii="Times New Roman" w:hAnsi="Times New Roman" w:cs="Times New Roman" w:eastAsia="Times New Roman" w:hint="default"/>
                <w:sz w:val="18"/>
                <w:szCs w:val="18"/>
              </w:rPr>
            </w:pPr>
            <w:r>
              <w:rPr>
                <w:rFonts w:ascii="Times New Roman"/>
                <w:sz w:val="18"/>
              </w:rPr>
              <w:t>79.67</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-33,021</w:t>
            </w:r>
          </w:p>
          <w:p>
            <w:pPr>
              <w:pStyle w:val="TableParagraph"/>
              <w:spacing w:line="240" w:lineRule="auto" w:before="106"/>
              <w:ind w:left="41" w:right="0"/>
              <w:jc w:val="left"/>
              <w:rPr>
                <w:rFonts w:ascii="Times New Roman" w:hAnsi="Times New Roman" w:cs="Times New Roman" w:eastAsia="Times New Roman" w:hint="default"/>
                <w:sz w:val="18"/>
                <w:szCs w:val="18"/>
              </w:rPr>
            </w:pPr>
            <w:r>
              <w:rPr>
                <w:rFonts w:ascii="Times New Roman"/>
                <w:sz w:val="18"/>
              </w:rPr>
              <w:t>,779.47</w:t>
            </w: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-19,243,69</w:t>
            </w:r>
          </w:p>
          <w:p>
            <w:pPr>
              <w:pStyle w:val="TableParagraph"/>
              <w:spacing w:line="240" w:lineRule="auto" w:before="106"/>
              <w:ind w:left="517" w:right="0"/>
              <w:jc w:val="left"/>
              <w:rPr>
                <w:rFonts w:ascii="Times New Roman" w:hAnsi="Times New Roman" w:cs="Times New Roman" w:eastAsia="Times New Roman" w:hint="default"/>
                <w:sz w:val="18"/>
                <w:szCs w:val="18"/>
              </w:rPr>
            </w:pPr>
            <w:r>
              <w:rPr>
                <w:rFonts w:ascii="Times New Roman"/>
                <w:sz w:val="18"/>
              </w:rPr>
              <w:t>9.80</w:t>
            </w: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13,778,0</w:t>
            </w:r>
          </w:p>
          <w:p>
            <w:pPr>
              <w:pStyle w:val="TableParagraph"/>
              <w:spacing w:line="240" w:lineRule="auto" w:before="106"/>
              <w:ind w:left="287" w:right="0"/>
              <w:jc w:val="left"/>
              <w:rPr>
                <w:rFonts w:ascii="Times New Roman" w:hAnsi="Times New Roman" w:cs="Times New Roman" w:eastAsia="Times New Roman" w:hint="default"/>
                <w:sz w:val="18"/>
                <w:szCs w:val="18"/>
              </w:rPr>
            </w:pPr>
            <w:r>
              <w:rPr>
                <w:rFonts w:ascii="Times New Roman"/>
                <w:sz w:val="18"/>
              </w:rPr>
              <w:t>79.67</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-13,778</w:t>
            </w:r>
          </w:p>
          <w:p>
            <w:pPr>
              <w:pStyle w:val="TableParagraph"/>
              <w:spacing w:line="240" w:lineRule="auto" w:before="106"/>
              <w:ind w:left="41" w:right="0"/>
              <w:jc w:val="left"/>
              <w:rPr>
                <w:rFonts w:ascii="Times New Roman" w:hAnsi="Times New Roman" w:cs="Times New Roman" w:eastAsia="Times New Roman" w:hint="default"/>
                <w:sz w:val="18"/>
                <w:szCs w:val="18"/>
              </w:rPr>
            </w:pPr>
            <w:r>
              <w:rPr>
                <w:rFonts w:ascii="Times New Roman"/>
                <w:sz w:val="18"/>
              </w:rPr>
              <w:t>,079.67</w:t>
            </w: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-19,243</w:t>
            </w:r>
          </w:p>
          <w:p>
            <w:pPr>
              <w:pStyle w:val="TableParagraph"/>
              <w:spacing w:line="240" w:lineRule="auto" w:before="106"/>
              <w:ind w:left="41" w:right="0"/>
              <w:jc w:val="left"/>
              <w:rPr>
                <w:rFonts w:ascii="Times New Roman" w:hAnsi="Times New Roman" w:cs="Times New Roman" w:eastAsia="Times New Roman" w:hint="default"/>
                <w:sz w:val="18"/>
                <w:szCs w:val="18"/>
              </w:rPr>
            </w:pPr>
            <w:r>
              <w:rPr>
                <w:rFonts w:ascii="Times New Roman"/>
                <w:sz w:val="18"/>
              </w:rPr>
              <w:t>,699.80</w:t>
            </w: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-19,243,69</w:t>
            </w:r>
          </w:p>
          <w:p>
            <w:pPr>
              <w:pStyle w:val="TableParagraph"/>
              <w:spacing w:line="240" w:lineRule="auto" w:before="106"/>
              <w:ind w:left="517" w:right="0"/>
              <w:jc w:val="left"/>
              <w:rPr>
                <w:rFonts w:ascii="Times New Roman" w:hAnsi="Times New Roman" w:cs="Times New Roman" w:eastAsia="Times New Roman" w:hint="default"/>
                <w:sz w:val="18"/>
                <w:szCs w:val="18"/>
              </w:rPr>
            </w:pPr>
            <w:r>
              <w:rPr>
                <w:rFonts w:ascii="Times New Roman"/>
                <w:sz w:val="18"/>
              </w:rPr>
              <w:t>9.80</w:t>
            </w: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06"/>
        <w:gridCol w:w="629"/>
        <w:gridCol w:w="604"/>
        <w:gridCol w:w="604"/>
        <w:gridCol w:w="606"/>
        <w:gridCol w:w="726"/>
        <w:gridCol w:w="726"/>
        <w:gridCol w:w="726"/>
        <w:gridCol w:w="727"/>
        <w:gridCol w:w="726"/>
        <w:gridCol w:w="616"/>
        <w:gridCol w:w="709"/>
        <w:gridCol w:w="864"/>
      </w:tblGrid>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2,495.0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479,950,</w:t>
            </w:r>
          </w:p>
          <w:p>
            <w:pPr>
              <w:pStyle w:val="TableParagraph"/>
              <w:spacing w:line="240" w:lineRule="auto" w:before="106"/>
              <w:ind w:left="175" w:right="0"/>
              <w:jc w:val="center"/>
              <w:rPr>
                <w:rFonts w:ascii="Times New Roman" w:hAnsi="Times New Roman" w:cs="Times New Roman" w:eastAsia="Times New Roman" w:hint="default"/>
                <w:sz w:val="18"/>
                <w:szCs w:val="18"/>
              </w:rPr>
            </w:pPr>
            <w:r>
              <w:rPr>
                <w:rFonts w:ascii="Times New Roman"/>
                <w:sz w:val="18"/>
              </w:rPr>
              <w:t>978.98</w:t>
            </w: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-2,353,6</w:t>
            </w:r>
          </w:p>
          <w:p>
            <w:pPr>
              <w:pStyle w:val="TableParagraph"/>
              <w:spacing w:line="240" w:lineRule="auto" w:before="106"/>
              <w:ind w:left="295" w:right="0"/>
              <w:jc w:val="left"/>
              <w:rPr>
                <w:rFonts w:ascii="Times New Roman" w:hAnsi="Times New Roman" w:cs="Times New Roman" w:eastAsia="Times New Roman" w:hint="default"/>
                <w:sz w:val="18"/>
                <w:szCs w:val="18"/>
              </w:rPr>
            </w:pPr>
            <w:r>
              <w:rPr>
                <w:rFonts w:ascii="Times New Roman"/>
                <w:sz w:val="18"/>
              </w:rPr>
              <w:t>10.11</w:t>
            </w: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58,882,0</w:t>
            </w:r>
          </w:p>
          <w:p>
            <w:pPr>
              <w:pStyle w:val="TableParagraph"/>
              <w:spacing w:line="240" w:lineRule="auto" w:before="106"/>
              <w:ind w:left="287" w:right="0"/>
              <w:jc w:val="left"/>
              <w:rPr>
                <w:rFonts w:ascii="Times New Roman" w:hAnsi="Times New Roman" w:cs="Times New Roman" w:eastAsia="Times New Roman" w:hint="default"/>
                <w:sz w:val="18"/>
                <w:szCs w:val="18"/>
              </w:rPr>
            </w:pPr>
            <w:r>
              <w:rPr>
                <w:rFonts w:ascii="Times New Roman"/>
                <w:sz w:val="18"/>
              </w:rPr>
              <w:t>28.23</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9,295.0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1,437,261,</w:t>
            </w:r>
          </w:p>
          <w:p>
            <w:pPr>
              <w:pStyle w:val="TableParagraph"/>
              <w:spacing w:line="240" w:lineRule="auto" w:before="106"/>
              <w:ind w:left="337" w:right="0"/>
              <w:jc w:val="left"/>
              <w:rPr>
                <w:rFonts w:ascii="Times New Roman" w:hAnsi="Times New Roman" w:cs="Times New Roman" w:eastAsia="Times New Roman" w:hint="default"/>
                <w:sz w:val="18"/>
                <w:szCs w:val="18"/>
              </w:rPr>
            </w:pPr>
            <w:r>
              <w:rPr>
                <w:rFonts w:ascii="Times New Roman"/>
                <w:sz w:val="18"/>
              </w:rPr>
              <w:t>187.10</w:t>
            </w:r>
          </w:p>
        </w:tc>
      </w:tr>
    </w:tbl>
    <w:p>
      <w:pPr>
        <w:spacing w:line="240" w:lineRule="auto" w:before="4"/>
        <w:rPr>
          <w:rFonts w:ascii="Times New Roman" w:hAnsi="Times New Roman" w:cs="Times New Roman" w:eastAsia="Times New Roman" w:hint="default"/>
          <w:sz w:val="7"/>
          <w:szCs w:val="7"/>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line="240" w:lineRule="auto" w:before="7"/>
        <w:rPr>
          <w:rFonts w:ascii="宋体" w:hAnsi="宋体" w:cs="宋体" w:eastAsia="宋体" w:hint="default"/>
          <w:sz w:val="11"/>
          <w:szCs w:val="11"/>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31"/>
        <w:gridCol w:w="594"/>
        <w:gridCol w:w="572"/>
        <w:gridCol w:w="571"/>
        <w:gridCol w:w="572"/>
        <w:gridCol w:w="685"/>
        <w:gridCol w:w="685"/>
        <w:gridCol w:w="685"/>
        <w:gridCol w:w="781"/>
        <w:gridCol w:w="665"/>
        <w:gridCol w:w="798"/>
        <w:gridCol w:w="797"/>
        <w:gridCol w:w="930"/>
      </w:tblGrid>
      <w:tr>
        <w:trPr>
          <w:trHeight w:val="402" w:hRule="exact"/>
        </w:trPr>
        <w:tc>
          <w:tcPr>
            <w:tcW w:w="12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36"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w:t>
            </w:r>
          </w:p>
        </w:tc>
      </w:tr>
      <w:tr>
        <w:trPr>
          <w:trHeight w:val="402" w:hRule="exact"/>
        </w:trPr>
        <w:tc>
          <w:tcPr>
            <w:tcW w:w="1231" w:type="dxa"/>
            <w:vMerge/>
            <w:tcBorders>
              <w:left w:val="single" w:sz="4" w:space="0" w:color="000000"/>
              <w:right w:val="single" w:sz="4" w:space="0" w:color="000000"/>
            </w:tcBorders>
            <w:shd w:val="clear" w:color="auto" w:fill="D3D3D3"/>
          </w:tcPr>
          <w:p>
            <w:pPr/>
          </w:p>
        </w:tc>
        <w:tc>
          <w:tcPr>
            <w:tcW w:w="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47"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47" w:right="20"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68"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3" w:right="32"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90" w:right="97"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3" w:hRule="exact"/>
        </w:trPr>
        <w:tc>
          <w:tcPr>
            <w:tcW w:w="1231" w:type="dxa"/>
            <w:vMerge/>
            <w:tcBorders>
              <w:left w:val="single" w:sz="4" w:space="0" w:color="000000"/>
              <w:bottom w:val="single" w:sz="4" w:space="0" w:color="000000"/>
              <w:right w:val="single" w:sz="4" w:space="0" w:color="000000"/>
            </w:tcBorders>
            <w:shd w:val="clear" w:color="auto" w:fill="D3D3D3"/>
          </w:tcPr>
          <w:p>
            <w:pPr/>
          </w:p>
        </w:tc>
        <w:tc>
          <w:tcPr>
            <w:tcW w:w="594" w:type="dxa"/>
            <w:vMerge/>
            <w:tcBorders>
              <w:left w:val="single" w:sz="4" w:space="0" w:color="000000"/>
              <w:bottom w:val="single" w:sz="4" w:space="0" w:color="000000"/>
              <w:right w:val="single" w:sz="4" w:space="0" w:color="000000"/>
            </w:tcBorders>
            <w:shd w:val="clear" w:color="auto" w:fill="D3D3D3"/>
          </w:tcPr>
          <w:p>
            <w:pPr/>
          </w:p>
        </w:tc>
        <w:tc>
          <w:tcPr>
            <w:tcW w:w="5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90" w:right="101"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90" w:right="9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5" w:type="dxa"/>
            <w:vMerge/>
            <w:tcBorders>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930"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 w:right="0"/>
              <w:jc w:val="left"/>
              <w:rPr>
                <w:rFonts w:ascii="Times New Roman" w:hAnsi="Times New Roman" w:cs="Times New Roman" w:eastAsia="Times New Roman" w:hint="default"/>
                <w:sz w:val="18"/>
                <w:szCs w:val="18"/>
              </w:rPr>
            </w:pPr>
            <w:r>
              <w:rPr>
                <w:rFonts w:ascii="Times New Roman"/>
                <w:sz w:val="18"/>
              </w:rPr>
              <w:t>324,47</w:t>
            </w:r>
          </w:p>
          <w:p>
            <w:pPr>
              <w:pStyle w:val="TableParagraph"/>
              <w:spacing w:line="240" w:lineRule="auto" w:before="104"/>
              <w:ind w:left="110" w:right="0"/>
              <w:jc w:val="left"/>
              <w:rPr>
                <w:rFonts w:ascii="Times New Roman" w:hAnsi="Times New Roman" w:cs="Times New Roman" w:eastAsia="Times New Roman" w:hint="default"/>
                <w:sz w:val="18"/>
                <w:szCs w:val="18"/>
              </w:rPr>
            </w:pPr>
            <w:r>
              <w:rPr>
                <w:rFonts w:ascii="Times New Roman"/>
                <w:sz w:val="18"/>
              </w:rPr>
              <w:t>5,501.</w:t>
            </w:r>
          </w:p>
          <w:p>
            <w:pPr>
              <w:pStyle w:val="TableParagraph"/>
              <w:spacing w:line="240" w:lineRule="auto" w:before="106"/>
              <w:ind w:left="380"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702,083</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,069.98</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69,528,5</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53.80</w:t>
            </w: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39,527,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567.18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281,757,0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22.93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1,278,314,6</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07.29</w:t>
            </w: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firstLine="360"/>
              <w:jc w:val="left"/>
              <w:rPr>
                <w:rFonts w:ascii="宋体" w:hAnsi="宋体" w:cs="宋体" w:eastAsia="宋体" w:hint="default"/>
                <w:sz w:val="18"/>
                <w:szCs w:val="18"/>
              </w:rPr>
            </w:pPr>
            <w:r>
              <w:rPr>
                <w:rFonts w:ascii="宋体" w:hAnsi="宋体" w:cs="宋体" w:eastAsia="宋体" w:hint="default"/>
                <w:spacing w:val="-18"/>
                <w:sz w:val="18"/>
                <w:szCs w:val="18"/>
              </w:rPr>
              <w:t>加：会计政</w:t>
            </w:r>
            <w:r>
              <w:rPr>
                <w:rFonts w:ascii="宋体" w:hAnsi="宋体" w:cs="宋体" w:eastAsia="宋体" w:hint="default"/>
                <w:sz w:val="18"/>
                <w:szCs w:val="18"/>
              </w:rPr>
              <w:t> 策变更</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16"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 w:right="0"/>
              <w:jc w:val="left"/>
              <w:rPr>
                <w:rFonts w:ascii="Times New Roman" w:hAnsi="Times New Roman" w:cs="Times New Roman" w:eastAsia="Times New Roman" w:hint="default"/>
                <w:sz w:val="18"/>
                <w:szCs w:val="18"/>
              </w:rPr>
            </w:pPr>
            <w:r>
              <w:rPr>
                <w:rFonts w:ascii="Times New Roman"/>
                <w:sz w:val="18"/>
              </w:rPr>
              <w:t>324,47</w:t>
            </w:r>
          </w:p>
          <w:p>
            <w:pPr>
              <w:pStyle w:val="TableParagraph"/>
              <w:spacing w:line="240" w:lineRule="auto" w:before="104"/>
              <w:ind w:left="110" w:right="0"/>
              <w:jc w:val="left"/>
              <w:rPr>
                <w:rFonts w:ascii="Times New Roman" w:hAnsi="Times New Roman" w:cs="Times New Roman" w:eastAsia="Times New Roman" w:hint="default"/>
                <w:sz w:val="18"/>
                <w:szCs w:val="18"/>
              </w:rPr>
            </w:pPr>
            <w:r>
              <w:rPr>
                <w:rFonts w:ascii="Times New Roman"/>
                <w:sz w:val="18"/>
              </w:rPr>
              <w:t>5,501.</w:t>
            </w:r>
          </w:p>
          <w:p>
            <w:pPr>
              <w:pStyle w:val="TableParagraph"/>
              <w:spacing w:line="240" w:lineRule="auto" w:before="106"/>
              <w:ind w:left="380"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702,083</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,069.98</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69,528,5</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53.80</w:t>
            </w: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39,527,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567.18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281,757,0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22.93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1,278,314,6</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07.29</w:t>
            </w: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 w:right="0"/>
              <w:jc w:val="left"/>
              <w:rPr>
                <w:rFonts w:ascii="Times New Roman" w:hAnsi="Times New Roman" w:cs="Times New Roman" w:eastAsia="Times New Roman" w:hint="default"/>
                <w:sz w:val="18"/>
                <w:szCs w:val="18"/>
              </w:rPr>
            </w:pPr>
            <w:r>
              <w:rPr>
                <w:rFonts w:ascii="Times New Roman"/>
                <w:sz w:val="18"/>
              </w:rPr>
              <w:t>156,61</w:t>
            </w:r>
          </w:p>
          <w:p>
            <w:pPr>
              <w:pStyle w:val="TableParagraph"/>
              <w:spacing w:line="240" w:lineRule="auto" w:before="104"/>
              <w:ind w:left="110" w:right="0"/>
              <w:jc w:val="left"/>
              <w:rPr>
                <w:rFonts w:ascii="Times New Roman" w:hAnsi="Times New Roman" w:cs="Times New Roman" w:eastAsia="Times New Roman" w:hint="default"/>
                <w:sz w:val="18"/>
                <w:szCs w:val="18"/>
              </w:rPr>
            </w:pPr>
            <w:r>
              <w:rPr>
                <w:rFonts w:ascii="Times New Roman"/>
                <w:sz w:val="18"/>
              </w:rPr>
              <w:t>6,994.</w:t>
            </w:r>
          </w:p>
          <w:p>
            <w:pPr>
              <w:pStyle w:val="TableParagraph"/>
              <w:spacing w:line="240" w:lineRule="auto" w:before="106"/>
              <w:ind w:left="380"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-222,13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2,091.0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-69,528,</w:t>
            </w:r>
          </w:p>
          <w:p>
            <w:pPr>
              <w:pStyle w:val="TableParagraph"/>
              <w:spacing w:line="240" w:lineRule="auto" w:before="105"/>
              <w:ind w:left="136" w:right="0"/>
              <w:jc w:val="center"/>
              <w:rPr>
                <w:rFonts w:ascii="Times New Roman" w:hAnsi="Times New Roman" w:cs="Times New Roman" w:eastAsia="Times New Roman" w:hint="default"/>
                <w:sz w:val="18"/>
                <w:szCs w:val="18"/>
              </w:rPr>
            </w:pPr>
            <w:r>
              <w:rPr>
                <w:rFonts w:ascii="Times New Roman"/>
                <w:sz w:val="18"/>
              </w:rPr>
              <w:t>553.80</w:t>
            </w: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5,576,3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81.38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31,036,39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2.22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40,626,230.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r>
      <w:tr>
        <w:trPr>
          <w:trHeight w:val="715"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总额</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55,763,81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3.81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55,763,813.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31"/>
        <w:gridCol w:w="594"/>
        <w:gridCol w:w="572"/>
        <w:gridCol w:w="571"/>
        <w:gridCol w:w="572"/>
        <w:gridCol w:w="685"/>
        <w:gridCol w:w="685"/>
        <w:gridCol w:w="685"/>
        <w:gridCol w:w="781"/>
        <w:gridCol w:w="665"/>
        <w:gridCol w:w="798"/>
        <w:gridCol w:w="797"/>
        <w:gridCol w:w="930"/>
      </w:tblGrid>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入和减少资本</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-5,620,</w:t>
            </w:r>
          </w:p>
          <w:p>
            <w:pPr>
              <w:pStyle w:val="TableParagraph"/>
              <w:spacing w:line="240" w:lineRule="auto" w:before="106"/>
              <w:ind w:left="65" w:right="0"/>
              <w:jc w:val="left"/>
              <w:rPr>
                <w:rFonts w:ascii="Times New Roman" w:hAnsi="Times New Roman" w:cs="Times New Roman" w:eastAsia="Times New Roman" w:hint="default"/>
                <w:sz w:val="18"/>
                <w:szCs w:val="18"/>
              </w:rPr>
            </w:pPr>
            <w:r>
              <w:rPr>
                <w:rFonts w:ascii="Times New Roman"/>
                <w:sz w:val="18"/>
              </w:rPr>
              <w:t>740.00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-59,894,</w:t>
            </w:r>
          </w:p>
          <w:p>
            <w:pPr>
              <w:pStyle w:val="TableParagraph"/>
              <w:spacing w:line="240" w:lineRule="auto" w:before="106"/>
              <w:ind w:left="134" w:right="0"/>
              <w:jc w:val="center"/>
              <w:rPr>
                <w:rFonts w:ascii="Times New Roman" w:hAnsi="Times New Roman" w:cs="Times New Roman" w:eastAsia="Times New Roman" w:hint="default"/>
                <w:sz w:val="18"/>
                <w:szCs w:val="18"/>
              </w:rPr>
            </w:pPr>
            <w:r>
              <w:rPr>
                <w:rFonts w:ascii="Times New Roman"/>
                <w:sz w:val="18"/>
              </w:rPr>
              <w:t>357.00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-69,528,</w:t>
            </w:r>
          </w:p>
          <w:p>
            <w:pPr>
              <w:pStyle w:val="TableParagraph"/>
              <w:spacing w:line="240" w:lineRule="auto" w:before="106"/>
              <w:ind w:left="136" w:right="0"/>
              <w:jc w:val="center"/>
              <w:rPr>
                <w:rFonts w:ascii="Times New Roman" w:hAnsi="Times New Roman" w:cs="Times New Roman" w:eastAsia="Times New Roman" w:hint="default"/>
                <w:sz w:val="18"/>
                <w:szCs w:val="18"/>
              </w:rPr>
            </w:pPr>
            <w:r>
              <w:rPr>
                <w:rFonts w:ascii="Times New Roman"/>
                <w:sz w:val="18"/>
              </w:rPr>
              <w:t>553.80</w:t>
            </w: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4,013,456.8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-5,620,</w:t>
            </w:r>
          </w:p>
          <w:p>
            <w:pPr>
              <w:pStyle w:val="TableParagraph"/>
              <w:spacing w:line="240" w:lineRule="auto" w:before="106"/>
              <w:ind w:left="65" w:right="0"/>
              <w:jc w:val="left"/>
              <w:rPr>
                <w:rFonts w:ascii="Times New Roman" w:hAnsi="Times New Roman" w:cs="Times New Roman" w:eastAsia="Times New Roman" w:hint="default"/>
                <w:sz w:val="18"/>
                <w:szCs w:val="18"/>
              </w:rPr>
            </w:pPr>
            <w:r>
              <w:rPr>
                <w:rFonts w:ascii="Times New Roman"/>
                <w:sz w:val="18"/>
              </w:rPr>
              <w:t>740.00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-63,907,</w:t>
            </w:r>
          </w:p>
          <w:p>
            <w:pPr>
              <w:pStyle w:val="TableParagraph"/>
              <w:spacing w:line="240" w:lineRule="auto" w:before="106"/>
              <w:ind w:left="134" w:right="0"/>
              <w:jc w:val="center"/>
              <w:rPr>
                <w:rFonts w:ascii="Times New Roman" w:hAnsi="Times New Roman" w:cs="Times New Roman" w:eastAsia="Times New Roman" w:hint="default"/>
                <w:sz w:val="18"/>
                <w:szCs w:val="18"/>
              </w:rPr>
            </w:pPr>
            <w:r>
              <w:rPr>
                <w:rFonts w:ascii="Times New Roman"/>
                <w:sz w:val="18"/>
              </w:rPr>
              <w:t>813.80</w:t>
            </w: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-69,528,553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.80</w:t>
            </w: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4,013,4</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56.80</w:t>
            </w: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4,013,456.8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-69,528,</w:t>
            </w:r>
          </w:p>
          <w:p>
            <w:pPr>
              <w:pStyle w:val="TableParagraph"/>
              <w:spacing w:line="240" w:lineRule="auto" w:before="106"/>
              <w:ind w:left="136" w:right="0"/>
              <w:jc w:val="center"/>
              <w:rPr>
                <w:rFonts w:ascii="Times New Roman" w:hAnsi="Times New Roman" w:cs="Times New Roman" w:eastAsia="Times New Roman" w:hint="default"/>
                <w:sz w:val="18"/>
                <w:szCs w:val="18"/>
              </w:rPr>
            </w:pPr>
            <w:r>
              <w:rPr>
                <w:rFonts w:ascii="Times New Roman"/>
                <w:sz w:val="18"/>
              </w:rPr>
              <w:t>553.80</w:t>
            </w: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69,528,553.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80</w:t>
            </w: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6"/>
                <w:sz w:val="18"/>
                <w:szCs w:val="18"/>
              </w:rPr>
              <w:t>）</w:t>
            </w:r>
            <w:r>
              <w:rPr>
                <w:rFonts w:ascii="宋体" w:hAnsi="宋体" w:cs="宋体" w:eastAsia="宋体" w:hint="default"/>
                <w:sz w:val="18"/>
                <w:szCs w:val="18"/>
              </w:rPr>
              <w:t>利润分配</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5,576,3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81.38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-24,727,4</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21.59</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-19,151,040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.21</w:t>
            </w: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5,576,3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81.38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-5,576,38</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1.38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z w:val="18"/>
                <w:szCs w:val="18"/>
              </w:rPr>
              <w:t> 股东）的分配</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-19,151,0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40.21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-19,151,040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.21</w:t>
            </w: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益内部结转</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162,23</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7,734.</w:t>
            </w:r>
          </w:p>
          <w:p>
            <w:pPr>
              <w:pStyle w:val="TableParagraph"/>
              <w:spacing w:line="240" w:lineRule="auto" w:before="106"/>
              <w:ind w:left="380"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7,734.0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162,23</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7,734.</w:t>
            </w:r>
          </w:p>
          <w:p>
            <w:pPr>
              <w:pStyle w:val="TableParagraph"/>
              <w:spacing w:line="240" w:lineRule="auto" w:before="106"/>
              <w:ind w:left="380"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7,734.0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6"/>
                <w:sz w:val="18"/>
                <w:szCs w:val="18"/>
              </w:rPr>
              <w:t>）</w:t>
            </w:r>
            <w:r>
              <w:rPr>
                <w:rFonts w:ascii="宋体" w:hAnsi="宋体" w:cs="宋体" w:eastAsia="宋体" w:hint="default"/>
                <w:sz w:val="18"/>
                <w:szCs w:val="18"/>
              </w:rPr>
              <w:t>专项储备</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31"/>
        <w:gridCol w:w="594"/>
        <w:gridCol w:w="572"/>
        <w:gridCol w:w="571"/>
        <w:gridCol w:w="572"/>
        <w:gridCol w:w="685"/>
        <w:gridCol w:w="685"/>
        <w:gridCol w:w="685"/>
        <w:gridCol w:w="781"/>
        <w:gridCol w:w="665"/>
        <w:gridCol w:w="798"/>
        <w:gridCol w:w="797"/>
        <w:gridCol w:w="930"/>
      </w:tblGrid>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481,09</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2,495.</w:t>
            </w:r>
          </w:p>
          <w:p>
            <w:pPr>
              <w:pStyle w:val="TableParagraph"/>
              <w:spacing w:line="240" w:lineRule="auto" w:before="106"/>
              <w:ind w:left="380"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479,950</w:t>
            </w:r>
          </w:p>
          <w:p>
            <w:pPr>
              <w:pStyle w:val="TableParagraph"/>
              <w:spacing w:line="240" w:lineRule="auto" w:before="106"/>
              <w:ind w:left="111" w:right="0"/>
              <w:jc w:val="left"/>
              <w:rPr>
                <w:rFonts w:ascii="Times New Roman" w:hAnsi="Times New Roman" w:cs="Times New Roman" w:eastAsia="Times New Roman" w:hint="default"/>
                <w:sz w:val="18"/>
                <w:szCs w:val="18"/>
              </w:rPr>
            </w:pPr>
            <w:r>
              <w:rPr>
                <w:rFonts w:ascii="Times New Roman"/>
                <w:sz w:val="18"/>
              </w:rPr>
              <w:t>,978.98</w:t>
            </w: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45,103,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948.56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312,793,4</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15.15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1,318,940,8</w:t>
            </w:r>
          </w:p>
          <w:p>
            <w:pPr>
              <w:pStyle w:val="TableParagraph"/>
              <w:spacing w:line="240" w:lineRule="auto" w:before="106"/>
              <w:ind w:left="493" w:right="0"/>
              <w:jc w:val="left"/>
              <w:rPr>
                <w:rFonts w:ascii="Times New Roman" w:hAnsi="Times New Roman" w:cs="Times New Roman" w:eastAsia="Times New Roman" w:hint="default"/>
                <w:sz w:val="18"/>
                <w:szCs w:val="18"/>
              </w:rPr>
            </w:pPr>
            <w:r>
              <w:rPr>
                <w:rFonts w:ascii="Times New Roman"/>
                <w:sz w:val="18"/>
              </w:rPr>
              <w:t>37.69</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1113"/>
        <w:jc w:val="left"/>
        <w:rPr>
          <w:b w:val="0"/>
          <w:bCs w:val="0"/>
        </w:rPr>
      </w:pPr>
      <w:r>
        <w:rPr/>
        <w:t>三、公司基本情况</w:t>
      </w:r>
      <w:r>
        <w:rPr>
          <w:b w:val="0"/>
          <w:bCs w:val="0"/>
        </w:rPr>
      </w:r>
    </w:p>
    <w:p>
      <w:pPr>
        <w:spacing w:line="240" w:lineRule="auto" w:before="6"/>
        <w:rPr>
          <w:rFonts w:ascii="宋体" w:hAnsi="宋体" w:cs="宋体" w:eastAsia="宋体" w:hint="default"/>
          <w:b/>
          <w:bCs/>
          <w:sz w:val="30"/>
          <w:szCs w:val="30"/>
        </w:rPr>
      </w:pPr>
    </w:p>
    <w:p>
      <w:pPr>
        <w:pStyle w:val="BodyText"/>
        <w:spacing w:line="386" w:lineRule="auto" w:before="0"/>
        <w:ind w:left="153" w:right="1131" w:firstLine="420"/>
        <w:jc w:val="both"/>
      </w:pPr>
      <w:r>
        <w:rPr/>
        <w:t>新开普电子股份有限公司（以下简称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新开普</w:t>
      </w:r>
      <w:r>
        <w:rPr>
          <w:rFonts w:ascii="Times New Roman" w:hAnsi="Times New Roman" w:cs="Times New Roman" w:eastAsia="Times New Roman" w:hint="default"/>
        </w:rPr>
        <w:t>”</w:t>
      </w:r>
      <w:r>
        <w:rPr/>
        <w:t>）系由郑州新开普电子技术有限公 司（以下简称</w:t>
      </w:r>
      <w:r>
        <w:rPr>
          <w:rFonts w:ascii="Times New Roman" w:hAnsi="Times New Roman" w:cs="Times New Roman" w:eastAsia="Times New Roman" w:hint="default"/>
        </w:rPr>
        <w:t>“</w:t>
      </w:r>
      <w:r>
        <w:rPr/>
        <w:t>有限公司</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月整体变更设立的股份有限公司，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日更名为新开普电子 股份有限公司。统一社会信用代码</w:t>
      </w:r>
      <w:r>
        <w:rPr>
          <w:rFonts w:ascii="Times New Roman" w:hAnsi="Times New Roman" w:cs="Times New Roman" w:eastAsia="Times New Roman" w:hint="default"/>
        </w:rPr>
        <w:t>91410100721832659Y</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月在深圳证券交易所上市。所属行业为 软件和信息技术服务业类。</w:t>
      </w:r>
    </w:p>
    <w:p>
      <w:pPr>
        <w:pStyle w:val="BodyText"/>
        <w:spacing w:line="386" w:lineRule="auto" w:before="65"/>
        <w:ind w:left="153" w:right="1131" w:firstLine="420"/>
        <w:jc w:val="both"/>
      </w:pPr>
      <w:r>
        <w:rPr>
          <w:spacing w:val="-1"/>
        </w:rPr>
        <w:t>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日止，本公司累计发行股本总数</w:t>
      </w:r>
      <w:r>
        <w:rPr>
          <w:rFonts w:ascii="Times New Roman" w:hAnsi="Times New Roman" w:cs="Times New Roman" w:eastAsia="Times New Roman" w:hint="default"/>
          <w:spacing w:val="-1"/>
        </w:rPr>
        <w:t>48,109.2495</w:t>
      </w:r>
      <w:r>
        <w:rPr>
          <w:spacing w:val="-1"/>
        </w:rPr>
        <w:t>万股，注册资本为</w:t>
      </w:r>
      <w:r>
        <w:rPr>
          <w:rFonts w:ascii="Times New Roman" w:hAnsi="Times New Roman" w:cs="Times New Roman" w:eastAsia="Times New Roman" w:hint="default"/>
          <w:spacing w:val="-1"/>
        </w:rPr>
        <w:t>48,109.2495</w:t>
      </w:r>
      <w:r>
        <w:rPr>
          <w:spacing w:val="-1"/>
        </w:rPr>
        <w:t>万元，公</w:t>
      </w:r>
      <w:r>
        <w:rPr/>
        <w:t> </w:t>
      </w:r>
      <w:r>
        <w:rPr>
          <w:spacing w:val="-1"/>
        </w:rPr>
        <w:t>司类型：股份有限公司（上市），公司注册地：郑州市高新技术产业开发区迎春街</w:t>
      </w:r>
      <w:r>
        <w:rPr>
          <w:rFonts w:ascii="Times New Roman" w:hAnsi="Times New Roman" w:cs="Times New Roman" w:eastAsia="Times New Roman" w:hint="default"/>
          <w:spacing w:val="-1"/>
        </w:rPr>
        <w:t>18</w:t>
      </w:r>
      <w:r>
        <w:rPr>
          <w:spacing w:val="-1"/>
        </w:rPr>
        <w:t>号，总部地址：郑州</w:t>
      </w:r>
      <w:r>
        <w:rPr>
          <w:spacing w:val="-87"/>
        </w:rPr>
        <w:t> </w:t>
      </w:r>
      <w:r>
        <w:rPr>
          <w:spacing w:val="-87"/>
        </w:rPr>
      </w:r>
      <w:r>
        <w:rPr/>
        <w:t>市高新技术产业开发区迎春街</w:t>
      </w:r>
      <w:r>
        <w:rPr>
          <w:rFonts w:ascii="Times New Roman" w:hAnsi="Times New Roman" w:cs="Times New Roman" w:eastAsia="Times New Roman" w:hint="default"/>
        </w:rPr>
        <w:t>18</w:t>
      </w:r>
      <w:r>
        <w:rPr/>
        <w:t>号，法人代表：杨维国，营业期限：长期。</w:t>
      </w:r>
    </w:p>
    <w:p>
      <w:pPr>
        <w:pStyle w:val="BodyText"/>
        <w:spacing w:line="408" w:lineRule="auto" w:before="35"/>
        <w:ind w:left="153" w:right="1108" w:firstLine="420"/>
        <w:jc w:val="both"/>
      </w:pPr>
      <w:r>
        <w:rPr>
          <w:spacing w:val="-1"/>
        </w:rPr>
        <w:t>本公司主要经营活动为：计算机系统集成、开发及运营维护，软件、智能卡机具、智能终端、电子仪</w:t>
      </w:r>
      <w:r>
        <w:rPr/>
        <w:t> 器仪表、电力电子产品、能源电子产品的设计、开发、生产、销售、维护；商用密码产品的生产与销售； </w:t>
      </w:r>
      <w:r>
        <w:rPr>
          <w:spacing w:val="-1"/>
        </w:rPr>
        <w:t>互联网信息技术和计算机技术的咨询、服务；电信业务经营；货物和技术的进出口业务（国家法律、法规</w:t>
      </w:r>
      <w:r>
        <w:rPr>
          <w:spacing w:val="-83"/>
        </w:rPr>
        <w:t> </w:t>
      </w:r>
      <w:r>
        <w:rPr>
          <w:spacing w:val="-83"/>
        </w:rPr>
      </w:r>
      <w:r>
        <w:rPr>
          <w:spacing w:val="-1"/>
        </w:rPr>
        <w:t>规定应经审批方可经营或禁止进出口的货物和技术除外）；电子设备安装与服务；房屋租赁；文化艺术交</w:t>
      </w:r>
      <w:r>
        <w:rPr>
          <w:spacing w:val="-82"/>
        </w:rPr>
        <w:t> </w:t>
      </w:r>
      <w:r>
        <w:rPr>
          <w:spacing w:val="-82"/>
        </w:rPr>
      </w:r>
      <w:r>
        <w:rPr>
          <w:spacing w:val="-1"/>
        </w:rPr>
        <w:t>流活动策划；设计、制作、代理、发布国内广告业务；教学设备、教学软件的技术开发、技术咨询、技术</w:t>
      </w:r>
      <w:r>
        <w:rPr>
          <w:spacing w:val="-86"/>
        </w:rPr>
        <w:t> </w:t>
      </w:r>
      <w:r>
        <w:rPr>
          <w:spacing w:val="-86"/>
        </w:rPr>
      </w:r>
      <w:r>
        <w:rPr>
          <w:spacing w:val="-1"/>
        </w:rPr>
        <w:t>服务；集成电路设计与销售。（依法须经批准的项目，经相关部门批准后方可开展经营活动），本公司的</w:t>
      </w:r>
      <w:r>
        <w:rPr>
          <w:spacing w:val="-83"/>
        </w:rPr>
        <w:t> </w:t>
      </w:r>
      <w:r>
        <w:rPr>
          <w:spacing w:val="-83"/>
        </w:rPr>
      </w:r>
      <w:r>
        <w:rPr/>
        <w:t>实际控制人为杨维国。</w:t>
      </w:r>
    </w:p>
    <w:p>
      <w:pPr>
        <w:pStyle w:val="BodyText"/>
        <w:spacing w:line="386" w:lineRule="auto"/>
        <w:ind w:left="574" w:right="4240" w:hanging="1"/>
        <w:jc w:val="left"/>
      </w:pPr>
      <w:r>
        <w:rPr/>
        <w:pict>
          <v:shape style="position:absolute;margin-left:63.66pt;margin-top:45.943993pt;width:475.3pt;height:151.950pt;mso-position-horizontal-relative:page;mso-position-vertical-relative:paragraph;z-index:34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86"/>
                    <w:gridCol w:w="2976"/>
                    <w:gridCol w:w="2836"/>
                  </w:tblGrid>
                  <w:tr>
                    <w:trPr>
                      <w:trHeight w:val="337" w:hRule="exact"/>
                    </w:trPr>
                    <w:tc>
                      <w:tcPr>
                        <w:tcW w:w="3686"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976"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2836"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级次</w:t>
                        </w:r>
                      </w:p>
                    </w:tc>
                  </w:tr>
                  <w:tr>
                    <w:trPr>
                      <w:trHeight w:val="337" w:hRule="exact"/>
                    </w:trPr>
                    <w:tc>
                      <w:tcPr>
                        <w:tcW w:w="3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8" w:right="0"/>
                          <w:jc w:val="left"/>
                          <w:rPr>
                            <w:rFonts w:ascii="宋体" w:hAnsi="宋体" w:cs="宋体" w:eastAsia="宋体" w:hint="default"/>
                            <w:sz w:val="18"/>
                            <w:szCs w:val="18"/>
                          </w:rPr>
                        </w:pPr>
                        <w:r>
                          <w:rPr>
                            <w:rFonts w:ascii="宋体" w:hAnsi="宋体" w:cs="宋体" w:eastAsia="宋体" w:hint="default"/>
                            <w:sz w:val="18"/>
                            <w:szCs w:val="18"/>
                          </w:rPr>
                          <w:t>北京迪科远望科技有限公司</w:t>
                        </w:r>
                      </w:p>
                    </w:tc>
                    <w:tc>
                      <w:tcPr>
                        <w:tcW w:w="2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2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二级</w:t>
                        </w:r>
                      </w:p>
                    </w:tc>
                  </w:tr>
                  <w:tr>
                    <w:trPr>
                      <w:trHeight w:val="337" w:hRule="exact"/>
                    </w:trPr>
                    <w:tc>
                      <w:tcPr>
                        <w:tcW w:w="3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8" w:right="0"/>
                          <w:jc w:val="left"/>
                          <w:rPr>
                            <w:rFonts w:ascii="宋体" w:hAnsi="宋体" w:cs="宋体" w:eastAsia="宋体" w:hint="default"/>
                            <w:sz w:val="18"/>
                            <w:szCs w:val="18"/>
                          </w:rPr>
                        </w:pPr>
                        <w:r>
                          <w:rPr>
                            <w:rFonts w:ascii="宋体" w:hAnsi="宋体" w:cs="宋体" w:eastAsia="宋体" w:hint="default"/>
                            <w:sz w:val="18"/>
                            <w:szCs w:val="18"/>
                          </w:rPr>
                          <w:t>上海树维信息科技有限公司</w:t>
                        </w:r>
                      </w:p>
                    </w:tc>
                    <w:tc>
                      <w:tcPr>
                        <w:tcW w:w="2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2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二级</w:t>
                        </w:r>
                      </w:p>
                    </w:tc>
                  </w:tr>
                  <w:tr>
                    <w:trPr>
                      <w:trHeight w:val="337" w:hRule="exact"/>
                    </w:trPr>
                    <w:tc>
                      <w:tcPr>
                        <w:tcW w:w="3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8" w:right="0"/>
                          <w:jc w:val="left"/>
                          <w:rPr>
                            <w:rFonts w:ascii="宋体" w:hAnsi="宋体" w:cs="宋体" w:eastAsia="宋体" w:hint="default"/>
                            <w:sz w:val="18"/>
                            <w:szCs w:val="18"/>
                          </w:rPr>
                        </w:pPr>
                        <w:r>
                          <w:rPr>
                            <w:rFonts w:ascii="宋体" w:hAnsi="宋体" w:cs="宋体" w:eastAsia="宋体" w:hint="default"/>
                            <w:sz w:val="18"/>
                            <w:szCs w:val="18"/>
                          </w:rPr>
                          <w:t>福建新开普信息科技有限公司</w:t>
                        </w:r>
                      </w:p>
                    </w:tc>
                    <w:tc>
                      <w:tcPr>
                        <w:tcW w:w="2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2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二级</w:t>
                        </w:r>
                      </w:p>
                    </w:tc>
                  </w:tr>
                  <w:tr>
                    <w:trPr>
                      <w:trHeight w:val="336" w:hRule="exact"/>
                    </w:trPr>
                    <w:tc>
                      <w:tcPr>
                        <w:tcW w:w="3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8" w:right="0"/>
                          <w:jc w:val="left"/>
                          <w:rPr>
                            <w:rFonts w:ascii="宋体" w:hAnsi="宋体" w:cs="宋体" w:eastAsia="宋体" w:hint="default"/>
                            <w:sz w:val="18"/>
                            <w:szCs w:val="18"/>
                          </w:rPr>
                        </w:pPr>
                        <w:r>
                          <w:rPr>
                            <w:rFonts w:ascii="宋体" w:hAnsi="宋体" w:cs="宋体" w:eastAsia="宋体" w:hint="default"/>
                            <w:sz w:val="18"/>
                            <w:szCs w:val="18"/>
                          </w:rPr>
                          <w:t>郑州新开普科技有限公司</w:t>
                        </w:r>
                      </w:p>
                    </w:tc>
                    <w:tc>
                      <w:tcPr>
                        <w:tcW w:w="2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2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二级</w:t>
                        </w:r>
                      </w:p>
                    </w:tc>
                  </w:tr>
                  <w:tr>
                    <w:trPr>
                      <w:trHeight w:val="337" w:hRule="exact"/>
                    </w:trPr>
                    <w:tc>
                      <w:tcPr>
                        <w:tcW w:w="3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8" w:right="0"/>
                          <w:jc w:val="left"/>
                          <w:rPr>
                            <w:rFonts w:ascii="宋体" w:hAnsi="宋体" w:cs="宋体" w:eastAsia="宋体" w:hint="default"/>
                            <w:sz w:val="18"/>
                            <w:szCs w:val="18"/>
                          </w:rPr>
                        </w:pPr>
                        <w:r>
                          <w:rPr>
                            <w:rFonts w:ascii="宋体" w:hAnsi="宋体" w:cs="宋体" w:eastAsia="宋体" w:hint="default"/>
                            <w:sz w:val="18"/>
                            <w:szCs w:val="18"/>
                          </w:rPr>
                          <w:t>完美数联（杭州）科技有限公司</w:t>
                        </w:r>
                      </w:p>
                    </w:tc>
                    <w:tc>
                      <w:tcPr>
                        <w:tcW w:w="2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2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二级</w:t>
                        </w:r>
                      </w:p>
                    </w:tc>
                  </w:tr>
                  <w:tr>
                    <w:trPr>
                      <w:trHeight w:val="337" w:hRule="exact"/>
                    </w:trPr>
                    <w:tc>
                      <w:tcPr>
                        <w:tcW w:w="3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8" w:right="0"/>
                          <w:jc w:val="left"/>
                          <w:rPr>
                            <w:rFonts w:ascii="宋体" w:hAnsi="宋体" w:cs="宋体" w:eastAsia="宋体" w:hint="default"/>
                            <w:sz w:val="18"/>
                            <w:szCs w:val="18"/>
                          </w:rPr>
                        </w:pPr>
                        <w:r>
                          <w:rPr>
                            <w:rFonts w:ascii="宋体" w:hAnsi="宋体" w:cs="宋体" w:eastAsia="宋体" w:hint="default"/>
                            <w:sz w:val="18"/>
                            <w:szCs w:val="18"/>
                          </w:rPr>
                          <w:t>北京华驰联创科技有限公司</w:t>
                        </w:r>
                      </w:p>
                    </w:tc>
                    <w:tc>
                      <w:tcPr>
                        <w:tcW w:w="2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2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三级</w:t>
                        </w:r>
                      </w:p>
                    </w:tc>
                  </w:tr>
                  <w:tr>
                    <w:trPr>
                      <w:trHeight w:val="337" w:hRule="exact"/>
                    </w:trPr>
                    <w:tc>
                      <w:tcPr>
                        <w:tcW w:w="3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8" w:right="0"/>
                          <w:jc w:val="left"/>
                          <w:rPr>
                            <w:rFonts w:ascii="宋体" w:hAnsi="宋体" w:cs="宋体" w:eastAsia="宋体" w:hint="default"/>
                            <w:sz w:val="18"/>
                            <w:szCs w:val="18"/>
                          </w:rPr>
                        </w:pPr>
                        <w:r>
                          <w:rPr>
                            <w:rFonts w:ascii="宋体" w:hAnsi="宋体" w:cs="宋体" w:eastAsia="宋体" w:hint="default"/>
                            <w:sz w:val="18"/>
                            <w:szCs w:val="18"/>
                          </w:rPr>
                          <w:t>上海新开普志成信息科技有限公司</w:t>
                        </w:r>
                      </w:p>
                    </w:tc>
                    <w:tc>
                      <w:tcPr>
                        <w:tcW w:w="2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2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二级</w:t>
                        </w:r>
                      </w:p>
                    </w:tc>
                  </w:tr>
                  <w:tr>
                    <w:trPr>
                      <w:trHeight w:val="337" w:hRule="exact"/>
                    </w:trPr>
                    <w:tc>
                      <w:tcPr>
                        <w:tcW w:w="3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8" w:right="0"/>
                          <w:jc w:val="left"/>
                          <w:rPr>
                            <w:rFonts w:ascii="宋体" w:hAnsi="宋体" w:cs="宋体" w:eastAsia="宋体" w:hint="default"/>
                            <w:sz w:val="18"/>
                            <w:szCs w:val="18"/>
                          </w:rPr>
                        </w:pPr>
                        <w:r>
                          <w:rPr>
                            <w:rFonts w:ascii="宋体" w:hAnsi="宋体" w:cs="宋体" w:eastAsia="宋体" w:hint="default"/>
                            <w:sz w:val="18"/>
                            <w:szCs w:val="18"/>
                          </w:rPr>
                          <w:t>北京希嘉创智教育科技有限公司</w:t>
                        </w:r>
                      </w:p>
                    </w:tc>
                    <w:tc>
                      <w:tcPr>
                        <w:tcW w:w="2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2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二级</w:t>
                        </w:r>
                      </w:p>
                    </w:tc>
                  </w:tr>
                </w:tbl>
                <w:p>
                  <w:pPr/>
                </w:p>
              </w:txbxContent>
            </v:textbox>
            <w10:wrap type="none"/>
          </v:shape>
        </w:pict>
      </w:r>
      <w:r>
        <w:rPr/>
        <w:t>本财务报表业经公司董事会于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日批准报出。 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before="0"/>
        <w:ind w:left="574" w:right="993"/>
        <w:jc w:val="left"/>
      </w:pPr>
      <w:r>
        <w:rPr/>
        <w:t>本期合并财务报表范围及其变化情况详见本附注“八、合并范围的变更” 和</w:t>
      </w:r>
      <w:r>
        <w:rPr>
          <w:spacing w:val="-24"/>
        </w:rPr>
        <w:t> </w:t>
      </w:r>
      <w:r>
        <w:rPr/>
        <w:t>“九、在其他主体中的</w:t>
      </w:r>
    </w:p>
    <w:p>
      <w:pPr>
        <w:spacing w:after="0" w:line="240"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240" w:lineRule="auto" w:before="35"/>
        <w:ind w:right="1113"/>
        <w:jc w:val="left"/>
      </w:pPr>
      <w:r>
        <w:rPr/>
        <w:t>权益”。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ind w:right="1113"/>
        <w:jc w:val="left"/>
        <w:rPr>
          <w:b w:val="0"/>
          <w:bCs w:val="0"/>
        </w:rPr>
      </w:pP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30"/>
          <w:szCs w:val="30"/>
        </w:rPr>
      </w:pPr>
    </w:p>
    <w:p>
      <w:pPr>
        <w:pStyle w:val="BodyText"/>
        <w:spacing w:line="386" w:lineRule="auto" w:before="0"/>
        <w:ind w:left="153" w:right="1126" w:firstLine="420"/>
        <w:jc w:val="left"/>
      </w:pPr>
      <w:r>
        <w:rPr>
          <w:spacing w:val="-1"/>
        </w:rPr>
        <w:t>公司以持续经营为基础，根据实际发生的交易和事项，按照财政部颁布的《企业会计准则</w:t>
      </w:r>
      <w:r>
        <w:rPr>
          <w:rFonts w:ascii="Times New Roman" w:hAnsi="Times New Roman" w:cs="Times New Roman" w:eastAsia="Times New Roman" w:hint="default"/>
          <w:spacing w:val="-1"/>
        </w:rPr>
        <w:t>——</w:t>
      </w:r>
      <w:r>
        <w:rPr>
          <w:spacing w:val="-1"/>
        </w:rPr>
        <w:t>基本准</w:t>
      </w:r>
      <w:r>
        <w:rPr/>
        <w:t> 则》和各项具体会计准则、企业会计准则应用指南、企业会计准则解释及其他相关规定（以下合称</w:t>
      </w:r>
      <w:r>
        <w:rPr>
          <w:rFonts w:ascii="Times New Roman" w:hAnsi="Times New Roman" w:cs="Times New Roman" w:eastAsia="Times New Roman" w:hint="default"/>
        </w:rPr>
        <w:t>“</w:t>
      </w:r>
      <w:r>
        <w:rPr/>
        <w:t>企业 会计准则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9"/>
        </w:rPr>
        <w:t> </w:t>
      </w:r>
      <w:r>
        <w:rPr/>
        <w:t>号</w:t>
      </w:r>
      <w:r>
        <w:rPr>
          <w:rFonts w:ascii="Times New Roman" w:hAnsi="Times New Roman" w:cs="Times New Roman" w:eastAsia="Times New Roman" w:hint="default"/>
        </w:rPr>
        <w:t>——</w:t>
      </w:r>
      <w:r>
        <w:rPr/>
        <w:t>财务报 告的一般规定》的披露规定编制财务报表。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3"/>
        <w:spacing w:line="240" w:lineRule="auto"/>
        <w:ind w:right="1113"/>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30"/>
          <w:szCs w:val="30"/>
        </w:rPr>
      </w:pPr>
    </w:p>
    <w:p>
      <w:pPr>
        <w:pStyle w:val="BodyText"/>
        <w:spacing w:line="386" w:lineRule="auto" w:before="0"/>
        <w:ind w:left="153" w:right="1113" w:firstLine="420"/>
        <w:jc w:val="left"/>
      </w:pPr>
      <w:r>
        <w:rPr>
          <w:spacing w:val="-1"/>
        </w:rPr>
        <w:t>本公司不存在导致对报告期末起</w:t>
      </w:r>
      <w:r>
        <w:rPr>
          <w:rFonts w:ascii="Times New Roman" w:hAnsi="Times New Roman" w:cs="Times New Roman" w:eastAsia="Times New Roman" w:hint="default"/>
          <w:spacing w:val="-1"/>
        </w:rPr>
        <w:t>12</w:t>
      </w:r>
      <w:r>
        <w:rPr>
          <w:spacing w:val="-1"/>
        </w:rPr>
        <w:t>个月内的持续经营能力产生重大疑虑的事项或情况，本财务报表以</w:t>
      </w:r>
      <w:r>
        <w:rPr/>
        <w:t> 持续经营为基础编制</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Heading2"/>
        <w:spacing w:line="240" w:lineRule="auto"/>
        <w:ind w:right="1113"/>
        <w:jc w:val="left"/>
        <w:rPr>
          <w:b w:val="0"/>
          <w:bCs w:val="0"/>
        </w:rPr>
      </w:pPr>
      <w:r>
        <w:rPr/>
        <w:t>五、重要会计政策及会计估计</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11"/>
        <w:rPr>
          <w:rFonts w:ascii="宋体" w:hAnsi="宋体" w:cs="宋体" w:eastAsia="宋体" w:hint="default"/>
          <w:sz w:val="18"/>
          <w:szCs w:val="18"/>
        </w:rPr>
      </w:pPr>
    </w:p>
    <w:p>
      <w:pPr>
        <w:pStyle w:val="BodyText"/>
        <w:spacing w:line="240" w:lineRule="auto" w:before="0"/>
        <w:ind w:left="574" w:right="1113"/>
        <w:jc w:val="left"/>
      </w:pPr>
      <w:r>
        <w:rPr/>
        <w:t>以下披露内容已涵盖了本公司根据实际生产经营特点制定的具体会计政策和会计估计。详见本附注</w:t>
      </w:r>
    </w:p>
    <w:p>
      <w:pPr>
        <w:spacing w:line="240" w:lineRule="auto" w:before="10"/>
        <w:rPr>
          <w:rFonts w:ascii="宋体" w:hAnsi="宋体" w:cs="宋体" w:eastAsia="宋体" w:hint="default"/>
          <w:sz w:val="14"/>
          <w:szCs w:val="14"/>
        </w:rPr>
      </w:pPr>
    </w:p>
    <w:p>
      <w:pPr>
        <w:pStyle w:val="BodyText"/>
        <w:spacing w:line="240" w:lineRule="auto" w:before="0"/>
        <w:ind w:right="1113"/>
        <w:jc w:val="left"/>
      </w:pPr>
      <w:r>
        <w:rPr>
          <w:rFonts w:ascii="Times New Roman" w:hAnsi="Times New Roman" w:cs="Times New Roman" w:eastAsia="Times New Roman" w:hint="default"/>
        </w:rPr>
        <w:t>“</w:t>
      </w:r>
      <w:r>
        <w:rPr/>
        <w:t>收入</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23"/>
          <w:szCs w:val="23"/>
        </w:rPr>
      </w:pPr>
    </w:p>
    <w:p>
      <w:pPr>
        <w:spacing w:line="690" w:lineRule="atLeast" w:before="0"/>
        <w:ind w:left="573" w:right="111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本财务报表符合财政部颁布的企业会计准则的要求，真实、完整地反映了本公司</w:t>
      </w:r>
      <w:r>
        <w:rPr>
          <w:rFonts w:ascii="Times New Roman" w:hAnsi="Times New Roman" w:cs="Times New Roman" w:eastAsia="Times New Roman" w:hint="default"/>
          <w:spacing w:val="-1"/>
          <w:sz w:val="21"/>
          <w:szCs w:val="21"/>
        </w:rPr>
        <w:t>2019</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日的合</w:t>
      </w:r>
    </w:p>
    <w:p>
      <w:pPr>
        <w:pStyle w:val="BodyText"/>
        <w:spacing w:line="240" w:lineRule="auto" w:before="177"/>
        <w:ind w:right="1113"/>
        <w:jc w:val="left"/>
      </w:pPr>
      <w:r>
        <w:rPr/>
        <w:t>并及母公司财务状况以及</w:t>
      </w:r>
      <w:r>
        <w:rPr>
          <w:rFonts w:ascii="Times New Roman" w:hAnsi="Times New Roman" w:cs="Times New Roman" w:eastAsia="Times New Roman" w:hint="default"/>
        </w:rPr>
        <w:t>2019</w:t>
      </w:r>
      <w:r>
        <w:rPr/>
        <w:t>年度的合并及母公司经营成果和现金流量。</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2"/>
          <w:szCs w:val="32"/>
        </w:rPr>
      </w:pPr>
    </w:p>
    <w:p>
      <w:pPr>
        <w:pStyle w:val="Heading3"/>
        <w:spacing w:line="240" w:lineRule="auto"/>
        <w:ind w:right="1113"/>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573" w:right="1113"/>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after="0" w:line="240" w:lineRule="auto"/>
        <w:jc w:val="left"/>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both"/>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573" w:right="1113"/>
        <w:jc w:val="left"/>
      </w:pPr>
      <w:r>
        <w:rPr/>
        <w:t>本公司营业周期为</w:t>
      </w:r>
      <w:r>
        <w:rPr>
          <w:rFonts w:ascii="Times New Roman" w:hAnsi="Times New Roman" w:cs="Times New Roman" w:eastAsia="Times New Roman" w:hint="default"/>
        </w:rPr>
        <w:t>12</w:t>
      </w:r>
      <w:r>
        <w:rPr/>
        <w:t>个月。</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574" w:right="1113"/>
        <w:jc w:val="left"/>
      </w:pPr>
      <w:r>
        <w:rPr/>
        <w:t>本公司采用人民币为记账本位币。</w:t>
      </w:r>
    </w:p>
    <w:p>
      <w:pPr>
        <w:spacing w:line="240" w:lineRule="auto" w:before="9"/>
        <w:rPr>
          <w:rFonts w:ascii="宋体" w:hAnsi="宋体" w:cs="宋体" w:eastAsia="宋体" w:hint="default"/>
          <w:sz w:val="26"/>
          <w:szCs w:val="26"/>
        </w:rPr>
      </w:pPr>
    </w:p>
    <w:p>
      <w:pPr>
        <w:spacing w:line="670" w:lineRule="atLeast" w:before="0"/>
        <w:ind w:left="573" w:right="111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同一控制下企业合并：合并方在企业合并中取得的资产和负债，按照合并日被合并方资产、负债（包</w:t>
      </w:r>
    </w:p>
    <w:p>
      <w:pPr>
        <w:spacing w:line="240" w:lineRule="auto" w:before="10"/>
        <w:rPr>
          <w:rFonts w:ascii="宋体" w:hAnsi="宋体" w:cs="宋体" w:eastAsia="宋体" w:hint="default"/>
          <w:sz w:val="14"/>
          <w:szCs w:val="14"/>
        </w:rPr>
      </w:pPr>
    </w:p>
    <w:p>
      <w:pPr>
        <w:pStyle w:val="BodyText"/>
        <w:spacing w:line="408" w:lineRule="auto" w:before="0"/>
        <w:ind w:left="153" w:right="1131"/>
        <w:jc w:val="both"/>
      </w:pPr>
      <w:r>
        <w:rPr>
          <w:spacing w:val="-1"/>
        </w:rPr>
        <w:t>括最终控制方收购被合并方而形成的商誉）在最终控制方合并财务报表中的账面价值计量。在合并中取得</w:t>
      </w:r>
      <w:r>
        <w:rPr>
          <w:spacing w:val="-81"/>
        </w:rPr>
        <w:t> </w:t>
      </w:r>
      <w:r>
        <w:rPr>
          <w:spacing w:val="-81"/>
        </w:rPr>
      </w:r>
      <w:r>
        <w:rPr>
          <w:spacing w:val="-1"/>
        </w:rPr>
        <w:t>的净资产账面价值与支付的合并对价账面价值（或发行股份面值总额）的差额，调整资本公积中的股本溢</w:t>
      </w:r>
      <w:r>
        <w:rPr>
          <w:spacing w:val="-83"/>
        </w:rPr>
        <w:t> </w:t>
      </w:r>
      <w:r>
        <w:rPr>
          <w:spacing w:val="-83"/>
        </w:rPr>
      </w:r>
      <w:r>
        <w:rPr/>
        <w:t>价，资本公积中的股本溢价不足冲减的，调整留存收益。</w:t>
      </w:r>
    </w:p>
    <w:p>
      <w:pPr>
        <w:pStyle w:val="BodyText"/>
        <w:spacing w:line="408" w:lineRule="auto"/>
        <w:ind w:left="153" w:right="1131" w:firstLine="420"/>
        <w:jc w:val="both"/>
      </w:pPr>
      <w:r>
        <w:rPr>
          <w:spacing w:val="-1"/>
        </w:rPr>
        <w:t>非同一控制下企业合并：购买方在购买日对作为企业合并对价付出的资产、发生或承担的负债按照公</w:t>
      </w:r>
      <w:r>
        <w:rPr/>
        <w:t> </w:t>
      </w:r>
      <w:r>
        <w:rPr>
          <w:spacing w:val="-1"/>
        </w:rPr>
        <w:t>允价值计量，公允价值与其账面价值的差额，计入当期损益。合并成本大于合并中取得的被购买方可辨认</w:t>
      </w:r>
      <w:r>
        <w:rPr>
          <w:spacing w:val="-83"/>
        </w:rPr>
        <w:t> </w:t>
      </w:r>
      <w:r>
        <w:rPr>
          <w:spacing w:val="-83"/>
        </w:rPr>
      </w:r>
      <w:r>
        <w:rPr>
          <w:spacing w:val="-1"/>
        </w:rPr>
        <w:t>净资产公允价值份额的差额，确认为商誉；合并成本小于合并中取得的被购买方可辨认净资产公允价值份</w:t>
      </w:r>
      <w:r>
        <w:rPr>
          <w:spacing w:val="-81"/>
        </w:rPr>
        <w:t> </w:t>
      </w:r>
      <w:r>
        <w:rPr>
          <w:spacing w:val="-81"/>
        </w:rPr>
      </w:r>
      <w:r>
        <w:rPr/>
        <w:t>额的差额，计入当期损益。</w:t>
      </w:r>
    </w:p>
    <w:p>
      <w:pPr>
        <w:pStyle w:val="BodyText"/>
        <w:spacing w:line="408" w:lineRule="auto"/>
        <w:ind w:left="153" w:right="1130" w:firstLine="420"/>
        <w:jc w:val="both"/>
      </w:pPr>
      <w:r>
        <w:rPr>
          <w:spacing w:val="-1"/>
        </w:rPr>
        <w:t>为企业合并发生的直接相关费用于发生时计入当期损益；为企业合并而发行权益性证券或债务性证券</w:t>
      </w:r>
      <w:r>
        <w:rPr/>
        <w:t> 的交易费用，计入权益性证券或债务性证券的初始确认金额。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3" w:right="0"/>
        <w:jc w:val="both"/>
        <w:rPr>
          <w:b w:val="0"/>
          <w:bCs w:val="0"/>
        </w:rPr>
      </w:pPr>
      <w:r>
        <w:rPr>
          <w:rFonts w:ascii="Times New Roman" w:hAnsi="Times New Roman" w:cs="Times New Roman" w:eastAsia="Times New Roman" w:hint="default"/>
        </w:rPr>
        <w:t>1</w:t>
      </w:r>
      <w:r>
        <w:rPr/>
        <w:t>、合并范围</w:t>
      </w:r>
      <w:r>
        <w:rPr>
          <w:b w:val="0"/>
          <w:bCs w:val="0"/>
        </w:rPr>
      </w:r>
    </w:p>
    <w:p>
      <w:pPr>
        <w:pStyle w:val="BodyText"/>
        <w:spacing w:line="240" w:lineRule="auto" w:before="99"/>
        <w:ind w:left="573" w:right="1113"/>
        <w:jc w:val="left"/>
      </w:pPr>
      <w:r>
        <w:rPr/>
        <w:t>合并财务报表的合并范围以控制为基础确定，合并范围包括本公司及全部子公司。</w:t>
      </w:r>
    </w:p>
    <w:p>
      <w:pPr>
        <w:spacing w:line="240" w:lineRule="auto" w:before="0"/>
        <w:rPr>
          <w:rFonts w:ascii="宋体" w:hAnsi="宋体" w:cs="宋体" w:eastAsia="宋体" w:hint="default"/>
          <w:sz w:val="20"/>
          <w:szCs w:val="20"/>
        </w:rPr>
      </w:pPr>
    </w:p>
    <w:p>
      <w:pPr>
        <w:pStyle w:val="Heading3"/>
        <w:spacing w:line="240" w:lineRule="auto" w:before="165"/>
        <w:ind w:left="153" w:right="0"/>
        <w:jc w:val="both"/>
        <w:rPr>
          <w:b w:val="0"/>
          <w:bCs w:val="0"/>
        </w:rPr>
      </w:pPr>
      <w:r>
        <w:rPr>
          <w:rFonts w:ascii="Times New Roman" w:hAnsi="Times New Roman" w:cs="Times New Roman" w:eastAsia="Times New Roman" w:hint="default"/>
        </w:rPr>
        <w:t>2</w:t>
      </w:r>
      <w:r>
        <w:rPr/>
        <w:t>、合并程序</w:t>
      </w:r>
      <w:r>
        <w:rPr>
          <w:b w:val="0"/>
          <w:bCs w:val="0"/>
        </w:rPr>
      </w:r>
    </w:p>
    <w:p>
      <w:pPr>
        <w:pStyle w:val="BodyText"/>
        <w:spacing w:line="408" w:lineRule="auto" w:before="99"/>
        <w:ind w:left="153" w:right="1130" w:firstLine="420"/>
        <w:jc w:val="both"/>
      </w:pPr>
      <w:r>
        <w:rPr>
          <w:spacing w:val="-1"/>
        </w:rPr>
        <w:t>本公司以自身和各子公司的财务报表为基础，根据其他有关资料，编制合并财务报表。本公司编制合</w:t>
      </w:r>
      <w:r>
        <w:rPr/>
        <w:t> </w:t>
      </w:r>
      <w:r>
        <w:rPr>
          <w:spacing w:val="-1"/>
        </w:rPr>
        <w:t>并财务报表，将整个企业集团视为一个会计主体，依据相关企业会计准则的确认、计量和列报要求，按照</w:t>
      </w:r>
      <w:r>
        <w:rPr>
          <w:spacing w:val="-82"/>
        </w:rPr>
        <w:t> </w:t>
      </w:r>
      <w:r>
        <w:rPr>
          <w:spacing w:val="-82"/>
        </w:rPr>
      </w:r>
      <w:r>
        <w:rPr/>
        <w:t>统一的会计政策，反映本企业集团整体财务状况、经营成果和现金流量。</w:t>
      </w:r>
    </w:p>
    <w:p>
      <w:pPr>
        <w:pStyle w:val="BodyText"/>
        <w:spacing w:line="408" w:lineRule="auto"/>
        <w:ind w:left="153" w:right="1131" w:firstLine="420"/>
        <w:jc w:val="both"/>
      </w:pPr>
      <w:r>
        <w:rPr>
          <w:spacing w:val="-1"/>
        </w:rPr>
        <w:t>所有纳入合并财务报表合并范围的子公司所采用的会计政策、会计期间与本公司一致，如子公司采用</w:t>
      </w:r>
      <w:r>
        <w:rPr/>
        <w:t> </w:t>
      </w:r>
      <w:r>
        <w:rPr>
          <w:spacing w:val="-1"/>
        </w:rPr>
        <w:t>的会计政策、会计期间与本公司不一致的，在编制合并财务报表时，按本公司的会计政策、会计期间进行</w:t>
      </w:r>
    </w:p>
    <w:p>
      <w:pPr>
        <w:spacing w:after="0" w:line="408" w:lineRule="auto"/>
        <w:jc w:val="both"/>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31"/>
        <w:jc w:val="both"/>
      </w:pPr>
      <w:r>
        <w:rPr>
          <w:spacing w:val="-1"/>
        </w:rPr>
        <w:t>必要的调整。对于非同一控制下企业合并取得的子公司，以购买日可辨认净资产公允价值为基础对其财务</w:t>
      </w:r>
      <w:r>
        <w:rPr>
          <w:spacing w:val="-81"/>
        </w:rPr>
        <w:t> </w:t>
      </w:r>
      <w:r>
        <w:rPr>
          <w:spacing w:val="-81"/>
        </w:rPr>
      </w:r>
      <w:r>
        <w:rPr>
          <w:spacing w:val="-1"/>
        </w:rPr>
        <w:t>报表进行调整。对于同一控制下企业合并取得的子公司，以其资产、负债（包括最终控制方收购该子公司</w:t>
      </w:r>
      <w:r>
        <w:rPr>
          <w:spacing w:val="-82"/>
        </w:rPr>
        <w:t> </w:t>
      </w:r>
      <w:r>
        <w:rPr>
          <w:spacing w:val="-82"/>
        </w:rPr>
      </w:r>
      <w:r>
        <w:rPr/>
        <w:t>而形成的商誉）在最终控制方财务报表中的账面价值为基础对其财务报表进行调整。</w:t>
      </w:r>
    </w:p>
    <w:p>
      <w:pPr>
        <w:pStyle w:val="BodyText"/>
        <w:spacing w:line="408" w:lineRule="auto"/>
        <w:ind w:left="153" w:right="1131" w:firstLine="420"/>
        <w:jc w:val="both"/>
      </w:pPr>
      <w:r>
        <w:rPr>
          <w:spacing w:val="-1"/>
        </w:rPr>
        <w:t>子公司所有者权益、当期净损益和当期综合收益中属于少数股东的份额分别在合并资产负债表中所有</w:t>
      </w:r>
      <w:r>
        <w:rPr/>
        <w:t> </w:t>
      </w:r>
      <w:r>
        <w:rPr>
          <w:spacing w:val="-1"/>
        </w:rPr>
        <w:t>者权益项目下、合并利润表中净利润项目下和综合收益总额项目下单独列示。子公司少数股东分担的当期</w:t>
      </w:r>
      <w:r>
        <w:rPr>
          <w:spacing w:val="-81"/>
        </w:rPr>
        <w:t> </w:t>
      </w:r>
      <w:r>
        <w:rPr>
          <w:spacing w:val="-81"/>
        </w:rPr>
      </w:r>
      <w:r>
        <w:rPr/>
        <w:t>亏损超过了少数股东在该子公司期初所有者权益中所享有份额而形成的余额，冲减少数股东权益。</w:t>
      </w:r>
    </w:p>
    <w:p>
      <w:pPr>
        <w:pStyle w:val="BodyText"/>
        <w:spacing w:line="386" w:lineRule="auto"/>
        <w:ind w:left="574" w:right="1113" w:hanging="1"/>
        <w:jc w:val="left"/>
      </w:pPr>
      <w:r>
        <w:rPr/>
        <w:t>（</w:t>
      </w:r>
      <w:r>
        <w:rPr>
          <w:rFonts w:ascii="Times New Roman" w:hAnsi="Times New Roman" w:cs="Times New Roman" w:eastAsia="Times New Roman" w:hint="default"/>
        </w:rPr>
        <w:t>1</w:t>
      </w:r>
      <w:r>
        <w:rPr/>
        <w:t>）增加子公司或业务 </w:t>
      </w:r>
      <w:r>
        <w:rPr>
          <w:spacing w:val="-1"/>
        </w:rPr>
        <w:t>在报告期内，若因同一控制下企业合并增加子公司或业务的，则调整合并资产负债表的期初数；将子</w:t>
      </w:r>
    </w:p>
    <w:p>
      <w:pPr>
        <w:pStyle w:val="BodyText"/>
        <w:spacing w:line="408" w:lineRule="auto" w:before="65"/>
        <w:ind w:right="1129"/>
        <w:jc w:val="both"/>
      </w:pPr>
      <w:r>
        <w:rPr>
          <w:spacing w:val="-1"/>
        </w:rPr>
        <w:t>公司或业务合并当期期初至报告期末的收入、费用、利润纳入合并利润表；将子公司或业务合并当期期初</w:t>
      </w:r>
      <w:r>
        <w:rPr>
          <w:spacing w:val="-83"/>
        </w:rPr>
        <w:t> </w:t>
      </w:r>
      <w:r>
        <w:rPr>
          <w:spacing w:val="-83"/>
        </w:rPr>
      </w:r>
      <w:r>
        <w:rPr>
          <w:spacing w:val="-1"/>
        </w:rPr>
        <w:t>至报告期末的现金流量纳入合并现金流量表，同时对比较报表的相关项目进行调整，视同合并后的报告主</w:t>
      </w:r>
      <w:r>
        <w:rPr>
          <w:spacing w:val="-81"/>
        </w:rPr>
        <w:t> </w:t>
      </w:r>
      <w:r>
        <w:rPr>
          <w:spacing w:val="-81"/>
        </w:rPr>
      </w:r>
      <w:r>
        <w:rPr/>
        <w:t>体自最终控制方开始控制时点起一直存在。</w:t>
      </w:r>
    </w:p>
    <w:p>
      <w:pPr>
        <w:pStyle w:val="BodyText"/>
        <w:spacing w:line="408" w:lineRule="auto"/>
        <w:ind w:right="1129" w:firstLine="420"/>
        <w:jc w:val="both"/>
      </w:pPr>
      <w:r>
        <w:rPr>
          <w:spacing w:val="-1"/>
        </w:rPr>
        <w:t>因追加投资等原因能够对同一控制下的被投资方实施控制的，视同参与合并的各方在最终控制方开始</w:t>
      </w:r>
      <w:r>
        <w:rPr/>
        <w:t> </w:t>
      </w:r>
      <w:r>
        <w:rPr>
          <w:spacing w:val="-1"/>
        </w:rPr>
        <w:t>控制时即以目前的状态存在进行调整。在取得被合并方控制权之前持有的股权投资，在取得原股权之日与</w:t>
      </w:r>
      <w:r>
        <w:rPr>
          <w:spacing w:val="-81"/>
        </w:rPr>
        <w:t> </w:t>
      </w:r>
      <w:r>
        <w:rPr>
          <w:spacing w:val="-81"/>
        </w:rPr>
      </w:r>
      <w:r>
        <w:rPr>
          <w:spacing w:val="-1"/>
        </w:rPr>
        <w:t>合并方和被合并方同处于同一控制之日孰晚日起至合并日之间已确认有关损益、其他综合收益以及其他净</w:t>
      </w:r>
      <w:r>
        <w:rPr>
          <w:spacing w:val="-81"/>
        </w:rPr>
        <w:t> </w:t>
      </w:r>
      <w:r>
        <w:rPr>
          <w:spacing w:val="-81"/>
        </w:rPr>
      </w:r>
      <w:r>
        <w:rPr/>
        <w:t>资产变动，分别冲减比较报表期间的期初留存收益或当期损益。</w:t>
      </w:r>
    </w:p>
    <w:p>
      <w:pPr>
        <w:pStyle w:val="BodyText"/>
        <w:spacing w:line="408" w:lineRule="auto"/>
        <w:ind w:right="1131" w:firstLine="420"/>
        <w:jc w:val="both"/>
      </w:pPr>
      <w:r>
        <w:rPr>
          <w:spacing w:val="-1"/>
        </w:rPr>
        <w:t>在报告期内，若因非同一控制下企业合并增加子公司或业务的，则不调整合并资产负债表期初数；将</w:t>
      </w:r>
      <w:r>
        <w:rPr/>
        <w:t> </w:t>
      </w:r>
      <w:r>
        <w:rPr>
          <w:spacing w:val="-1"/>
        </w:rPr>
        <w:t>该子公司或业务自购买日至报告期末的收入、费用、利润纳入合并利润表；该子公司或业务自购买日至报</w:t>
      </w:r>
      <w:r>
        <w:rPr>
          <w:spacing w:val="-83"/>
        </w:rPr>
        <w:t> </w:t>
      </w:r>
      <w:r>
        <w:rPr>
          <w:spacing w:val="-83"/>
        </w:rPr>
      </w:r>
      <w:r>
        <w:rPr/>
        <w:t>告期末的现金流量纳入合并现金流量表。</w:t>
      </w:r>
    </w:p>
    <w:p>
      <w:pPr>
        <w:pStyle w:val="BodyText"/>
        <w:spacing w:line="408" w:lineRule="auto"/>
        <w:ind w:right="1129" w:firstLine="420"/>
        <w:jc w:val="both"/>
      </w:pPr>
      <w:r>
        <w:rPr>
          <w:spacing w:val="-1"/>
        </w:rPr>
        <w:t>因追加投资等原因能够对非同一控制下的被投资方实施控制的，对于购买日之前持有的被购买方的股</w:t>
      </w:r>
      <w:r>
        <w:rPr/>
        <w:t> </w:t>
      </w:r>
      <w:r>
        <w:rPr>
          <w:spacing w:val="-1"/>
        </w:rPr>
        <w:t>权，本公司按照该股权在购买日的公允价值进行重新计量，公允价值与其账面价值的差额计入当期投资收</w:t>
      </w:r>
      <w:r>
        <w:rPr>
          <w:spacing w:val="-81"/>
        </w:rPr>
        <w:t> </w:t>
      </w:r>
      <w:r>
        <w:rPr>
          <w:spacing w:val="-81"/>
        </w:rPr>
      </w:r>
      <w:r>
        <w:rPr>
          <w:spacing w:val="-1"/>
        </w:rPr>
        <w:t>益。购买日之前持有的被购买方的股权涉及权益法核算下的其他综合收益以及除净损益、其他综合收益和</w:t>
      </w:r>
      <w:r>
        <w:rPr>
          <w:spacing w:val="-81"/>
        </w:rPr>
        <w:t> </w:t>
      </w:r>
      <w:r>
        <w:rPr>
          <w:spacing w:val="-81"/>
        </w:rPr>
      </w:r>
      <w:r>
        <w:rPr>
          <w:spacing w:val="-1"/>
        </w:rPr>
        <w:t>利润分配之外的其他所有者权益变动的，与其相关的其他综合收益、其他所有者权益变动转为购买日所属</w:t>
      </w:r>
      <w:r>
        <w:rPr>
          <w:spacing w:val="-81"/>
        </w:rPr>
        <w:t> </w:t>
      </w:r>
      <w:r>
        <w:rPr>
          <w:spacing w:val="-81"/>
        </w:rPr>
      </w:r>
      <w:r>
        <w:rPr/>
        <w:t>当期投资收益，由于被投资方重新计量设定受益计划净负债或净资产变动而产生的其他综合收益除外。</w:t>
      </w:r>
    </w:p>
    <w:p>
      <w:pPr>
        <w:pStyle w:val="BodyText"/>
        <w:spacing w:line="240" w:lineRule="auto"/>
        <w:ind w:left="574" w:right="1113"/>
        <w:jc w:val="left"/>
      </w:pPr>
      <w:r>
        <w:rPr/>
        <w:t>（</w:t>
      </w:r>
      <w:r>
        <w:rPr>
          <w:rFonts w:ascii="Times New Roman" w:hAnsi="Times New Roman" w:cs="Times New Roman" w:eastAsia="Times New Roman" w:hint="default"/>
        </w:rPr>
        <w:t>2</w:t>
      </w:r>
      <w:r>
        <w:rPr/>
        <w:t>）处置子公司或业务</w:t>
      </w:r>
    </w:p>
    <w:p>
      <w:pPr>
        <w:pStyle w:val="BodyText"/>
        <w:spacing w:line="408" w:lineRule="auto" w:before="177"/>
        <w:ind w:left="574" w:right="1113"/>
        <w:jc w:val="left"/>
      </w:pPr>
      <w:r>
        <w:rPr/>
        <w:t>①一般处理方法 </w:t>
      </w:r>
      <w:r>
        <w:rPr>
          <w:spacing w:val="-1"/>
        </w:rPr>
        <w:t>在报告期内，本公司处置子公司或业务，则该子公司或业务期初至处置日的收入、费用、利润纳入合</w:t>
      </w:r>
    </w:p>
    <w:p>
      <w:pPr>
        <w:pStyle w:val="BodyText"/>
        <w:spacing w:line="408" w:lineRule="auto"/>
        <w:ind w:left="574" w:right="1113" w:hanging="420"/>
        <w:jc w:val="left"/>
      </w:pPr>
      <w:r>
        <w:rPr/>
        <w:t>并利润表；该子公司或业务期初至处置日的现金流量纳入合并现金流量表。 </w:t>
      </w:r>
      <w:r>
        <w:rPr>
          <w:spacing w:val="-1"/>
        </w:rPr>
        <w:t>因处置部分股权投资或其他原因丧失了对被投资方控制权时，对于处置后的剩余股权投资，本公司按</w:t>
      </w:r>
    </w:p>
    <w:p>
      <w:pPr>
        <w:pStyle w:val="BodyText"/>
        <w:spacing w:line="408" w:lineRule="auto"/>
        <w:ind w:right="1129"/>
        <w:jc w:val="both"/>
      </w:pPr>
      <w:r>
        <w:rPr>
          <w:spacing w:val="-1"/>
        </w:rPr>
        <w:t>照其在丧失控制权日的公允价值进行重新计量。处置股权取得的对价与剩余股权公允价值之和，减去按原</w:t>
      </w:r>
      <w:r>
        <w:rPr>
          <w:spacing w:val="-81"/>
        </w:rPr>
        <w:t> </w:t>
      </w:r>
      <w:r>
        <w:rPr>
          <w:spacing w:val="-81"/>
        </w:rPr>
      </w:r>
      <w:r>
        <w:rPr>
          <w:spacing w:val="-1"/>
        </w:rPr>
        <w:t>持股比例计算应享有原有子公司自购买日或合并日开始持续计算的净资产的份额与商誉之和的差额，计入</w:t>
      </w:r>
    </w:p>
    <w:p>
      <w:pPr>
        <w:spacing w:after="0" w:line="408" w:lineRule="auto"/>
        <w:jc w:val="both"/>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31"/>
        <w:jc w:val="both"/>
      </w:pPr>
      <w:r>
        <w:rPr>
          <w:spacing w:val="-1"/>
        </w:rPr>
        <w:t>丧失控制权当期的投资收益。与原有子公司股权投资相关的其他综合收益或除净损益、其他综合收益及利</w:t>
      </w:r>
      <w:r>
        <w:rPr>
          <w:spacing w:val="-81"/>
        </w:rPr>
        <w:t> </w:t>
      </w:r>
      <w:r>
        <w:rPr>
          <w:spacing w:val="-81"/>
        </w:rPr>
      </w:r>
      <w:r>
        <w:rPr>
          <w:spacing w:val="-1"/>
        </w:rPr>
        <w:t>润分配之外的其他所有者权益变动，在丧失控制权时转为当期投资收益，由于被投资方重新计量设定受益</w:t>
      </w:r>
      <w:r>
        <w:rPr>
          <w:spacing w:val="-81"/>
        </w:rPr>
        <w:t> </w:t>
      </w:r>
      <w:r>
        <w:rPr>
          <w:spacing w:val="-81"/>
        </w:rPr>
      </w:r>
      <w:r>
        <w:rPr/>
        <w:t>计划净负债或净资产变动而产生的其他综合收益除外。</w:t>
      </w:r>
    </w:p>
    <w:p>
      <w:pPr>
        <w:pStyle w:val="BodyText"/>
        <w:spacing w:line="240" w:lineRule="auto"/>
        <w:ind w:left="574" w:right="993"/>
        <w:jc w:val="left"/>
      </w:pPr>
      <w:r>
        <w:rPr/>
        <w:t>因其他投资方对子公司增资而导致本公司持股比例下降从而丧失控制权的，按照上述原则进行会计处</w:t>
      </w: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t>理。</w:t>
      </w:r>
    </w:p>
    <w:p>
      <w:pPr>
        <w:spacing w:line="240" w:lineRule="auto" w:before="10"/>
        <w:rPr>
          <w:rFonts w:ascii="宋体" w:hAnsi="宋体" w:cs="宋体" w:eastAsia="宋体" w:hint="default"/>
          <w:sz w:val="14"/>
          <w:szCs w:val="14"/>
        </w:rPr>
      </w:pPr>
    </w:p>
    <w:p>
      <w:pPr>
        <w:pStyle w:val="BodyText"/>
        <w:spacing w:line="408" w:lineRule="auto" w:before="0"/>
        <w:ind w:left="574" w:right="1113"/>
        <w:jc w:val="left"/>
      </w:pPr>
      <w:r>
        <w:rPr/>
        <w:t>②分步处置子公司 </w:t>
      </w:r>
      <w:r>
        <w:rPr>
          <w:spacing w:val="-1"/>
        </w:rPr>
        <w:t>通过多次交易分步处置对子公司股权投资直至丧失控制权的，处置对子公司股权投资的各项交易的条</w:t>
      </w:r>
    </w:p>
    <w:p>
      <w:pPr>
        <w:pStyle w:val="BodyText"/>
        <w:spacing w:line="408" w:lineRule="auto"/>
        <w:ind w:right="1131"/>
        <w:jc w:val="both"/>
      </w:pPr>
      <w:r>
        <w:rPr>
          <w:spacing w:val="-1"/>
        </w:rPr>
        <w:t>款、条件以及经济影响符合以下一种或多种情况，通常表明应将多次交易事项作为一揽子交易进行会计处</w:t>
      </w:r>
      <w:r>
        <w:rPr>
          <w:spacing w:val="-81"/>
        </w:rPr>
        <w:t> </w:t>
      </w:r>
      <w:r>
        <w:rPr>
          <w:spacing w:val="-81"/>
        </w:rPr>
      </w:r>
      <w:r>
        <w:rPr/>
        <w:t>理：</w:t>
      </w:r>
    </w:p>
    <w:p>
      <w:pPr>
        <w:pStyle w:val="BodyText"/>
        <w:spacing w:line="408" w:lineRule="auto"/>
        <w:ind w:left="574" w:right="1113"/>
        <w:jc w:val="left"/>
      </w:pPr>
      <w:r>
        <w:rPr/>
        <w:t>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 </w:t>
      </w:r>
      <w:r>
        <w:rPr>
          <w:spacing w:val="-1"/>
        </w:rPr>
        <w:t>处置对子公司股权投资直至丧失控制权的各项交易属于一揽子交易的，本公司将各项交易作为一项处</w:t>
      </w:r>
    </w:p>
    <w:p>
      <w:pPr>
        <w:pStyle w:val="BodyText"/>
        <w:spacing w:line="408" w:lineRule="auto"/>
        <w:ind w:right="1131"/>
        <w:jc w:val="both"/>
      </w:pPr>
      <w:r>
        <w:rPr>
          <w:spacing w:val="-1"/>
        </w:rPr>
        <w:t>置子公司并丧失控制权的交易进行会计处理；但是，在丧失控制权之前每一次处置价款与处置投资对应的</w:t>
      </w:r>
      <w:r>
        <w:rPr>
          <w:spacing w:val="-81"/>
        </w:rPr>
        <w:t> </w:t>
      </w:r>
      <w:r>
        <w:rPr>
          <w:spacing w:val="-81"/>
        </w:rPr>
      </w:r>
      <w:r>
        <w:rPr>
          <w:spacing w:val="-1"/>
        </w:rPr>
        <w:t>享有该子公司净资产份额的差额，在合并财务报表中确认为其他综合收益，在丧失控制权时一并转入丧失</w:t>
      </w:r>
      <w:r>
        <w:rPr>
          <w:spacing w:val="-81"/>
        </w:rPr>
        <w:t> </w:t>
      </w:r>
      <w:r>
        <w:rPr>
          <w:spacing w:val="-81"/>
        </w:rPr>
      </w:r>
      <w:r>
        <w:rPr/>
        <w:t>控制权当期的损益。</w:t>
      </w:r>
    </w:p>
    <w:p>
      <w:pPr>
        <w:pStyle w:val="BodyText"/>
        <w:spacing w:line="408" w:lineRule="auto"/>
        <w:ind w:right="1131" w:firstLine="420"/>
        <w:jc w:val="both"/>
      </w:pPr>
      <w:r>
        <w:rPr>
          <w:spacing w:val="-1"/>
        </w:rPr>
        <w:t>处置对子公司股权投资直至丧失控制权的各项交易不属于一揽子交易的，在丧失控制权之前，按不丧</w:t>
      </w:r>
      <w:r>
        <w:rPr/>
        <w:t> </w:t>
      </w:r>
      <w:r>
        <w:rPr>
          <w:spacing w:val="-1"/>
        </w:rPr>
        <w:t>失控制权的情况下部分处置对子公司的股权投资的相关政策进行会计处理；在丧失控制权时，按处置子公</w:t>
      </w:r>
      <w:r>
        <w:rPr>
          <w:spacing w:val="-81"/>
        </w:rPr>
        <w:t> </w:t>
      </w:r>
      <w:r>
        <w:rPr>
          <w:spacing w:val="-81"/>
        </w:rPr>
      </w:r>
      <w:r>
        <w:rPr/>
        <w:t>司一般处理方法进行会计处理。</w:t>
      </w:r>
    </w:p>
    <w:p>
      <w:pPr>
        <w:pStyle w:val="BodyText"/>
        <w:spacing w:line="386" w:lineRule="auto"/>
        <w:ind w:left="574" w:right="1113"/>
        <w:jc w:val="left"/>
      </w:pPr>
      <w:r>
        <w:rPr/>
        <w:t>（</w:t>
      </w:r>
      <w:r>
        <w:rPr>
          <w:rFonts w:ascii="Times New Roman" w:hAnsi="Times New Roman" w:cs="Times New Roman" w:eastAsia="Times New Roman" w:hint="default"/>
        </w:rPr>
        <w:t>3</w:t>
      </w:r>
      <w:r>
        <w:rPr/>
        <w:t>）购买子公司少数股权 </w:t>
      </w:r>
      <w:r>
        <w:rPr>
          <w:spacing w:val="-1"/>
        </w:rPr>
        <w:t>本公司因购买少数股权新取得的长期股权投资与按照新增持股比例计算应享有子公司自购买日（或合</w:t>
      </w:r>
    </w:p>
    <w:p>
      <w:pPr>
        <w:pStyle w:val="BodyText"/>
        <w:spacing w:line="408" w:lineRule="auto" w:before="65"/>
        <w:ind w:right="1130"/>
        <w:jc w:val="both"/>
      </w:pPr>
      <w:r>
        <w:rPr>
          <w:spacing w:val="-1"/>
        </w:rPr>
        <w:t>并日）开始持续计算的净资产份额之间的差额，调整合并资产负债表中的资本公积中的股本溢价，资本公</w:t>
      </w:r>
      <w:r>
        <w:rPr>
          <w:spacing w:val="-83"/>
        </w:rPr>
        <w:t> </w:t>
      </w:r>
      <w:r>
        <w:rPr>
          <w:spacing w:val="-83"/>
        </w:rPr>
      </w:r>
      <w:r>
        <w:rPr/>
        <w:t>积中的股本溢价不足冲减的，调整留存收益。</w:t>
      </w:r>
    </w:p>
    <w:p>
      <w:pPr>
        <w:pStyle w:val="BodyText"/>
        <w:spacing w:line="386" w:lineRule="auto"/>
        <w:ind w:left="574" w:right="1300"/>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w:t>
      </w:r>
    </w:p>
    <w:p>
      <w:pPr>
        <w:pStyle w:val="BodyText"/>
        <w:spacing w:line="408" w:lineRule="auto" w:before="65"/>
        <w:ind w:right="1130"/>
        <w:jc w:val="both"/>
      </w:pPr>
      <w:r>
        <w:rPr>
          <w:spacing w:val="-1"/>
        </w:rPr>
        <w:t>资相对应享有子公司自购买日或合并日开始持续计算的净资产份额之间的差额，调整合并资产负债表中的</w:t>
      </w:r>
      <w:r>
        <w:rPr>
          <w:spacing w:val="-81"/>
        </w:rPr>
        <w:t> </w:t>
      </w:r>
      <w:r>
        <w:rPr>
          <w:spacing w:val="-81"/>
        </w:rPr>
      </w:r>
      <w:r>
        <w:rPr/>
        <w:t>资本公积中的股本溢价，资本公积中的股本溢价不足冲减的，调整留存收益。</w:t>
      </w:r>
    </w:p>
    <w:p>
      <w:pPr>
        <w:spacing w:after="0" w:line="408" w:lineRule="auto"/>
        <w:jc w:val="both"/>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1113"/>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74" w:right="1090"/>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ind w:left="574" w:right="1113"/>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177"/>
        <w:ind w:left="574" w:right="1113"/>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177"/>
        <w:ind w:left="574" w:right="1113"/>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177"/>
        <w:ind w:left="574" w:right="1113"/>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386" w:lineRule="auto" w:before="177"/>
        <w:ind w:left="574" w:right="3295"/>
        <w:jc w:val="left"/>
      </w:pPr>
      <w:r>
        <w:rPr/>
        <w:t>（</w:t>
      </w:r>
      <w:r>
        <w:rPr>
          <w:rFonts w:ascii="Times New Roman" w:hAnsi="Times New Roman" w:cs="Times New Roman" w:eastAsia="Times New Roman" w:hint="default"/>
        </w:rPr>
        <w:t>5</w:t>
      </w:r>
      <w:r>
        <w:rPr/>
        <w:t>）确认单独所发生的费用，以及按本公司份额确认共同经营发生的费用。 本公司对合营企业投资的会计政策见本附注“长期股权投资”。</w:t>
      </w:r>
    </w:p>
    <w:p>
      <w:pPr>
        <w:spacing w:line="240" w:lineRule="auto" w:before="12"/>
        <w:rPr>
          <w:rFonts w:ascii="宋体" w:hAnsi="宋体" w:cs="宋体" w:eastAsia="宋体" w:hint="default"/>
          <w:sz w:val="16"/>
          <w:szCs w:val="16"/>
        </w:rPr>
      </w:pPr>
    </w:p>
    <w:p>
      <w:pPr>
        <w:spacing w:line="670" w:lineRule="atLeast" w:before="0"/>
        <w:ind w:left="574" w:right="111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在编制现金流量表时，将本公司库存现金以及可以随时用于支付的存款确认为现金。将同时具备期限</w:t>
      </w:r>
    </w:p>
    <w:p>
      <w:pPr>
        <w:spacing w:line="240" w:lineRule="auto" w:before="10"/>
        <w:rPr>
          <w:rFonts w:ascii="宋体" w:hAnsi="宋体" w:cs="宋体" w:eastAsia="宋体" w:hint="default"/>
          <w:sz w:val="14"/>
          <w:szCs w:val="14"/>
        </w:rPr>
      </w:pPr>
    </w:p>
    <w:p>
      <w:pPr>
        <w:pStyle w:val="BodyText"/>
        <w:spacing w:line="408" w:lineRule="auto" w:before="0"/>
        <w:ind w:right="1113"/>
        <w:jc w:val="left"/>
      </w:pPr>
      <w:r>
        <w:rPr>
          <w:spacing w:val="-1"/>
        </w:rPr>
        <w:t>短（从购买日起三个月内到期）流动性强、易于转换为已知现金、价值变动风险很小四个条件的投资，确</w:t>
      </w:r>
      <w:r>
        <w:rPr>
          <w:spacing w:val="-83"/>
        </w:rPr>
        <w:t> </w:t>
      </w:r>
      <w:r>
        <w:rPr>
          <w:spacing w:val="-83"/>
        </w:rPr>
      </w:r>
      <w:r>
        <w:rPr/>
        <w:t>定为现金等价物。</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30"/>
          <w:szCs w:val="30"/>
        </w:rPr>
      </w:pPr>
    </w:p>
    <w:p>
      <w:pPr>
        <w:pStyle w:val="BodyText"/>
        <w:spacing w:line="386" w:lineRule="auto" w:before="0"/>
        <w:ind w:left="573" w:right="2771"/>
        <w:jc w:val="left"/>
      </w:pPr>
      <w:r>
        <w:rPr/>
        <w:t>（</w:t>
      </w:r>
      <w:r>
        <w:rPr>
          <w:rFonts w:ascii="Times New Roman" w:hAnsi="Times New Roman" w:cs="Times New Roman" w:eastAsia="Times New Roman" w:hint="default"/>
        </w:rPr>
        <w:t>1</w:t>
      </w:r>
      <w:r>
        <w:rPr/>
        <w:t>）外币业务 外币业务采用交易发生日的即期汇率作为折算汇率将外币金额折合成人民币记账。</w:t>
      </w:r>
    </w:p>
    <w:p>
      <w:pPr>
        <w:pStyle w:val="BodyText"/>
        <w:spacing w:line="408" w:lineRule="auto" w:before="65"/>
        <w:ind w:left="153" w:right="1131" w:firstLine="420"/>
        <w:jc w:val="both"/>
      </w:pPr>
      <w:r>
        <w:rPr>
          <w:spacing w:val="-1"/>
        </w:rPr>
        <w:t>资产负债表日外币货币性项目余额按资产负债表日即期汇率折算，由此产生的汇兑差额，除属于与购</w:t>
      </w:r>
      <w:r>
        <w:rPr/>
        <w:t> </w:t>
      </w:r>
      <w:r>
        <w:rPr>
          <w:spacing w:val="-1"/>
        </w:rPr>
        <w:t>建符合资本化条件的资产相关的外币专门借款产生的汇兑差额按照借款费用资本化的原则处理外，均计入</w:t>
      </w:r>
      <w:r>
        <w:rPr>
          <w:spacing w:val="-81"/>
        </w:rPr>
        <w:t> </w:t>
      </w:r>
      <w:r>
        <w:rPr>
          <w:spacing w:val="-81"/>
        </w:rPr>
      </w:r>
      <w:r>
        <w:rPr/>
        <w:t>当期损益。</w:t>
      </w:r>
    </w:p>
    <w:p>
      <w:pPr>
        <w:spacing w:line="240" w:lineRule="auto" w:before="5"/>
        <w:rPr>
          <w:rFonts w:ascii="宋体" w:hAnsi="宋体" w:cs="宋体" w:eastAsia="宋体" w:hint="default"/>
          <w:sz w:val="27"/>
          <w:szCs w:val="27"/>
        </w:rPr>
      </w:pPr>
    </w:p>
    <w:p>
      <w:pPr>
        <w:pStyle w:val="BodyText"/>
        <w:spacing w:line="386" w:lineRule="auto" w:before="0"/>
        <w:ind w:left="573" w:right="1208"/>
        <w:jc w:val="left"/>
      </w:pPr>
      <w:r>
        <w:rPr/>
        <w:t>（</w:t>
      </w:r>
      <w:r>
        <w:rPr>
          <w:rFonts w:ascii="Times New Roman" w:hAnsi="Times New Roman" w:cs="Times New Roman" w:eastAsia="Times New Roman" w:hint="default"/>
        </w:rPr>
        <w:t>2</w:t>
      </w:r>
      <w:r>
        <w:rPr/>
        <w:t>）外币财务报表的折算 资产负债表中的资产和负债项目，采用资产负债表日的即期汇率折算；所有者权益项目除</w:t>
      </w:r>
      <w:r>
        <w:rPr>
          <w:rFonts w:ascii="Times New Roman" w:hAnsi="Times New Roman" w:cs="Times New Roman" w:eastAsia="Times New Roman" w:hint="default"/>
        </w:rPr>
        <w:t>“</w:t>
      </w:r>
      <w:r>
        <w:rPr/>
        <w:t>未分配利</w:t>
      </w:r>
    </w:p>
    <w:p>
      <w:pPr>
        <w:pStyle w:val="BodyText"/>
        <w:spacing w:line="408" w:lineRule="auto" w:before="35"/>
        <w:ind w:left="153" w:right="1113"/>
        <w:jc w:val="left"/>
      </w:pPr>
      <w:r>
        <w:rPr>
          <w:spacing w:val="-1"/>
        </w:rPr>
        <w:t>润”项目外，其他项目采用发生时的即期汇率折算。利润表中的收入和费用项目，采用交易发生日的即期</w:t>
      </w:r>
      <w:r>
        <w:rPr>
          <w:spacing w:val="-82"/>
        </w:rPr>
        <w:t> </w:t>
      </w:r>
      <w:r>
        <w:rPr>
          <w:spacing w:val="-82"/>
        </w:rPr>
      </w:r>
      <w:r>
        <w:rPr/>
        <w:t>汇率折算。</w:t>
      </w:r>
    </w:p>
    <w:p>
      <w:pPr>
        <w:pStyle w:val="BodyText"/>
        <w:spacing w:line="240" w:lineRule="auto"/>
        <w:ind w:left="573" w:right="993"/>
        <w:jc w:val="left"/>
      </w:pPr>
      <w:r>
        <w:rPr/>
        <w:t>处置境外经营时，将与该境外经营相关的外币财务报表折算差额，自所有者权益项目转入处置当期损</w:t>
      </w:r>
    </w:p>
    <w:p>
      <w:pPr>
        <w:spacing w:after="0" w:line="240"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240" w:lineRule="auto" w:before="35"/>
        <w:ind w:right="1113"/>
        <w:jc w:val="left"/>
      </w:pPr>
      <w:r>
        <w:rPr/>
        <w:t>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3"/>
        <w:spacing w:line="240" w:lineRule="auto"/>
        <w:ind w:right="1113"/>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573" w:right="1113"/>
        <w:jc w:val="left"/>
      </w:pPr>
      <w:r>
        <w:rPr/>
        <w:t>金融工具包括金融资产、金融负债和权益工具。</w:t>
      </w:r>
    </w:p>
    <w:p>
      <w:pPr>
        <w:spacing w:line="240" w:lineRule="auto" w:before="10"/>
        <w:rPr>
          <w:rFonts w:ascii="宋体" w:hAnsi="宋体" w:cs="宋体" w:eastAsia="宋体" w:hint="default"/>
          <w:sz w:val="14"/>
          <w:szCs w:val="14"/>
        </w:rPr>
      </w:pPr>
    </w:p>
    <w:p>
      <w:pPr>
        <w:pStyle w:val="Heading3"/>
        <w:spacing w:line="386" w:lineRule="auto"/>
        <w:ind w:left="573" w:right="7171"/>
        <w:jc w:val="left"/>
        <w:rPr>
          <w:b w:val="0"/>
          <w:bCs w:val="0"/>
        </w:rPr>
      </w:pPr>
      <w:r>
        <w:rPr/>
        <w:t>（</w:t>
      </w:r>
      <w:r>
        <w:rPr>
          <w:rFonts w:ascii="Times New Roman" w:hAnsi="Times New Roman" w:cs="Times New Roman" w:eastAsia="Times New Roman" w:hint="default"/>
        </w:rPr>
        <w:t>1</w:t>
      </w:r>
      <w:r>
        <w:rPr/>
        <w:t>）金融工具的分类</w:t>
      </w:r>
      <w:r>
        <w:rPr>
          <w:spacing w:val="1"/>
          <w:w w:val="99"/>
        </w:rPr>
        <w:t> </w:t>
      </w:r>
      <w:r>
        <w:rPr/>
        <w:t>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日起适用的会计政策</w:t>
      </w:r>
      <w:r>
        <w:rPr>
          <w:b w:val="0"/>
          <w:bCs w:val="0"/>
        </w:rPr>
      </w:r>
    </w:p>
    <w:p>
      <w:pPr>
        <w:pStyle w:val="BodyText"/>
        <w:spacing w:line="408" w:lineRule="auto" w:before="35"/>
        <w:ind w:right="1113" w:firstLine="420"/>
        <w:jc w:val="left"/>
      </w:pPr>
      <w:r>
        <w:rPr/>
        <w:t>根据本公司管理金融资产的业务模式和金融资产的合同现金流量特征，金融资产于初始确认时分类 </w:t>
      </w:r>
      <w:r>
        <w:rPr>
          <w:spacing w:val="-1"/>
        </w:rPr>
        <w:t>为：以摊余成本计量的金融资产、以公允价值计量且其变动计入其他综合收益的金融资产（债务工具）和</w:t>
      </w:r>
      <w:r>
        <w:rPr>
          <w:spacing w:val="-82"/>
        </w:rPr>
        <w:t> </w:t>
      </w:r>
      <w:r>
        <w:rPr>
          <w:spacing w:val="-82"/>
        </w:rPr>
      </w:r>
      <w:r>
        <w:rPr/>
        <w:t>以公允价值计量且其变动计入当期损益的金融资产。</w:t>
      </w:r>
    </w:p>
    <w:p>
      <w:pPr>
        <w:pStyle w:val="BodyText"/>
        <w:spacing w:line="408" w:lineRule="auto"/>
        <w:ind w:right="1113" w:firstLine="420"/>
        <w:jc w:val="left"/>
      </w:pPr>
      <w:r>
        <w:rPr/>
        <w:t>业务模式是以收取合同现金流量为目标且合同现金流量仅为对本金和以未偿付本金金额为基础的利 </w:t>
      </w:r>
      <w:r>
        <w:rPr>
          <w:spacing w:val="-1"/>
        </w:rPr>
        <w:t>息的支付的，分类为以摊余成本计量的金融资产；业务模式既以收取合同现金流量又以出售该金融资产为</w:t>
      </w:r>
      <w:r>
        <w:rPr>
          <w:spacing w:val="-81"/>
        </w:rPr>
        <w:t> </w:t>
      </w:r>
      <w:r>
        <w:rPr>
          <w:spacing w:val="-81"/>
        </w:rPr>
      </w:r>
      <w:r>
        <w:rPr>
          <w:spacing w:val="-1"/>
        </w:rPr>
        <w:t>目标且合同现金流量仅为对本金和以未偿付本金金额为基础的利息的支付的，分类为以公允价值计量且其</w:t>
      </w:r>
      <w:r>
        <w:rPr>
          <w:spacing w:val="-81"/>
        </w:rPr>
        <w:t> </w:t>
      </w:r>
      <w:r>
        <w:rPr>
          <w:spacing w:val="-81"/>
        </w:rPr>
      </w:r>
      <w:r>
        <w:rPr>
          <w:spacing w:val="-1"/>
        </w:rPr>
        <w:t>变动计入其他综合收益的金融资产（债务工具）；除此之外的其他金融资产，分类为以公允价值计量且其</w:t>
      </w:r>
      <w:r>
        <w:rPr>
          <w:spacing w:val="-82"/>
        </w:rPr>
        <w:t> </w:t>
      </w:r>
      <w:r>
        <w:rPr>
          <w:spacing w:val="-82"/>
        </w:rPr>
      </w:r>
      <w:r>
        <w:rPr/>
        <w:t>变动计入当期损益的金融资产。</w:t>
      </w:r>
    </w:p>
    <w:p>
      <w:pPr>
        <w:pStyle w:val="BodyText"/>
        <w:spacing w:line="408" w:lineRule="auto"/>
        <w:ind w:right="1113" w:firstLine="420"/>
        <w:jc w:val="left"/>
      </w:pPr>
      <w:r>
        <w:rPr>
          <w:spacing w:val="-1"/>
        </w:rPr>
        <w:t>对于非交易性权益工具投资，本公司在初始确认时确定是否将其指定为以公允价值计量且其变动计入</w:t>
      </w:r>
      <w:r>
        <w:rPr/>
        <w:t> 其他综合收益的金融资产（权益工具）。</w:t>
      </w:r>
    </w:p>
    <w:p>
      <w:pPr>
        <w:pStyle w:val="BodyText"/>
        <w:spacing w:line="408" w:lineRule="auto"/>
        <w:ind w:right="1113" w:firstLine="420"/>
        <w:jc w:val="left"/>
      </w:pPr>
      <w:r>
        <w:rPr>
          <w:spacing w:val="-1"/>
        </w:rPr>
        <w:t>金融负债于初始确认时分类为：以公允价值计量且其变动计入当期损益的金融负债和以摊余成本计量</w:t>
      </w:r>
      <w:r>
        <w:rPr/>
        <w:t> 的金融负债。</w:t>
      </w:r>
    </w:p>
    <w:p>
      <w:pPr>
        <w:spacing w:line="240" w:lineRule="auto" w:before="5"/>
        <w:rPr>
          <w:rFonts w:ascii="宋体" w:hAnsi="宋体" w:cs="宋体" w:eastAsia="宋体" w:hint="default"/>
          <w:sz w:val="27"/>
          <w:szCs w:val="27"/>
        </w:rPr>
      </w:pPr>
    </w:p>
    <w:p>
      <w:pPr>
        <w:pStyle w:val="BodyText"/>
        <w:spacing w:line="408" w:lineRule="auto" w:before="0"/>
        <w:ind w:right="1300" w:firstLine="420"/>
        <w:jc w:val="left"/>
      </w:pPr>
      <w:r>
        <w:rPr/>
        <w:t>符合以下条件之一的金融负债可在初始计量时指定为以公允价值计量且其变动计入当期损益的金融 负债：</w:t>
      </w:r>
    </w:p>
    <w:p>
      <w:pPr>
        <w:pStyle w:val="BodyText"/>
        <w:spacing w:line="240" w:lineRule="auto"/>
        <w:ind w:left="574" w:right="1113"/>
        <w:jc w:val="left"/>
      </w:pPr>
      <w:r>
        <w:rPr>
          <w:rFonts w:ascii="Times New Roman" w:hAnsi="Times New Roman" w:cs="Times New Roman" w:eastAsia="Times New Roman" w:hint="default"/>
        </w:rPr>
        <w:t>1</w:t>
      </w:r>
      <w:r>
        <w:rPr/>
        <w:t>）该项指定能够消除或显著减少会计错配。</w:t>
      </w:r>
    </w:p>
    <w:p>
      <w:pPr>
        <w:pStyle w:val="BodyText"/>
        <w:spacing w:line="386" w:lineRule="auto" w:before="177"/>
        <w:ind w:right="1195" w:firstLine="420"/>
        <w:jc w:val="left"/>
      </w:pPr>
      <w:r>
        <w:rPr>
          <w:rFonts w:ascii="Times New Roman" w:hAnsi="Times New Roman" w:cs="Times New Roman" w:eastAsia="Times New Roman" w:hint="default"/>
        </w:rPr>
        <w:t>2</w:t>
      </w:r>
      <w:r>
        <w:rPr/>
        <w:t>）根据正式书面文件载明的企业风险管理或投资策略，以公允价值为基础对金融负债组合或金融资 产和金融负债组合进行管理和业绩评价，并在企业内部以此为基础向关键管理人员报告。</w:t>
      </w:r>
    </w:p>
    <w:p>
      <w:pPr>
        <w:pStyle w:val="BodyText"/>
        <w:spacing w:line="240" w:lineRule="auto" w:before="65"/>
        <w:ind w:left="574" w:right="1113"/>
        <w:jc w:val="left"/>
      </w:pPr>
      <w:r>
        <w:rPr>
          <w:rFonts w:ascii="Times New Roman" w:hAnsi="Times New Roman" w:cs="Times New Roman" w:eastAsia="Times New Roman" w:hint="default"/>
        </w:rPr>
        <w:t>3</w:t>
      </w:r>
      <w:r>
        <w:rPr/>
        <w:t>）该金融负债包含需单独分拆的嵌入衍生工具。</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spacing w:line="386" w:lineRule="auto" w:before="0"/>
        <w:ind w:left="574" w:right="111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日前适用的会计政策</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金融资产和金融负债于初始确认时分类为：以公允价值计量且其变动计入当期损益的金融资产或金融</w:t>
      </w:r>
    </w:p>
    <w:p>
      <w:pPr>
        <w:pStyle w:val="BodyText"/>
        <w:spacing w:line="240" w:lineRule="auto" w:before="65"/>
        <w:ind w:right="993"/>
        <w:jc w:val="left"/>
      </w:pPr>
      <w:r>
        <w:rPr/>
        <w:t>负债，包括交易性金融资产或金融负债和直接指定为以公允价值计量且其变动计入当期损益的金融资产或</w:t>
      </w:r>
    </w:p>
    <w:p>
      <w:pPr>
        <w:spacing w:after="0" w:line="240"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240" w:lineRule="auto" w:before="35"/>
        <w:ind w:right="1113"/>
        <w:jc w:val="left"/>
      </w:pPr>
      <w:r>
        <w:rPr/>
        <w:t>金融负债；持有至到期投资；应收款项；可供出售金融资产；其他金融负债等。</w:t>
      </w:r>
    </w:p>
    <w:p>
      <w:pPr>
        <w:spacing w:line="240" w:lineRule="auto" w:before="0"/>
        <w:rPr>
          <w:rFonts w:ascii="宋体" w:hAnsi="宋体" w:cs="宋体" w:eastAsia="宋体" w:hint="default"/>
          <w:sz w:val="20"/>
          <w:szCs w:val="20"/>
        </w:rPr>
      </w:pPr>
    </w:p>
    <w:p>
      <w:pPr>
        <w:pStyle w:val="Heading3"/>
        <w:spacing w:line="321" w:lineRule="auto" w:before="165"/>
        <w:ind w:left="574" w:right="6850" w:firstLine="2"/>
        <w:jc w:val="left"/>
        <w:rPr>
          <w:b w:val="0"/>
          <w:bCs w:val="0"/>
        </w:rPr>
      </w:pPr>
      <w:r>
        <w:rPr/>
        <w:t>（</w:t>
      </w:r>
      <w:r>
        <w:rPr>
          <w:rFonts w:ascii="Times New Roman" w:hAnsi="Times New Roman" w:cs="Times New Roman" w:eastAsia="Times New Roman" w:hint="default"/>
        </w:rPr>
        <w:t>2</w:t>
      </w:r>
      <w:r>
        <w:rPr/>
        <w:t>）金融工具的确认依据和计量方法</w:t>
      </w:r>
      <w:r>
        <w:rPr>
          <w:w w:val="99"/>
        </w:rPr>
        <w:t> </w:t>
      </w:r>
      <w:r>
        <w:rPr/>
        <w:t>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日起适用的会计政策</w:t>
      </w:r>
      <w:r>
        <w:rPr>
          <w:b w:val="0"/>
          <w:bCs w:val="0"/>
        </w:rPr>
      </w:r>
    </w:p>
    <w:p>
      <w:pPr>
        <w:pStyle w:val="BodyText"/>
        <w:spacing w:line="386" w:lineRule="auto" w:before="98"/>
        <w:ind w:left="574" w:right="1113"/>
        <w:jc w:val="left"/>
      </w:pPr>
      <w:r>
        <w:rPr>
          <w:rFonts w:ascii="Times New Roman" w:hAnsi="Times New Roman" w:cs="Times New Roman" w:eastAsia="Times New Roman" w:hint="default"/>
        </w:rPr>
        <w:t>1</w:t>
      </w:r>
      <w:r>
        <w:rPr/>
        <w:t>）以摊余成本计量的金融资产 </w:t>
      </w:r>
      <w:r>
        <w:rPr>
          <w:spacing w:val="-1"/>
        </w:rPr>
        <w:t>以摊余成本计量的金融资产包括应收票据、应收账款、其他应收款、长期应收款、债权投资等，按公</w:t>
      </w:r>
    </w:p>
    <w:p>
      <w:pPr>
        <w:pStyle w:val="BodyText"/>
        <w:spacing w:line="408" w:lineRule="auto" w:before="65"/>
        <w:ind w:right="1113"/>
        <w:jc w:val="left"/>
      </w:pPr>
      <w:r>
        <w:rPr>
          <w:spacing w:val="-1"/>
        </w:rPr>
        <w:t>允价值进行初始计量，相关交易费用计入初始确认金额；不包含重大融资成分的应收账款以及本公司决定</w:t>
      </w:r>
      <w:r>
        <w:rPr>
          <w:spacing w:val="-81"/>
        </w:rPr>
        <w:t> </w:t>
      </w:r>
      <w:r>
        <w:rPr>
          <w:spacing w:val="-81"/>
        </w:rPr>
      </w:r>
      <w:r>
        <w:rPr/>
        <w:t>不考虑不超过一年的融资成分的应收账款，以合同交易价格进行初始计量。</w:t>
      </w:r>
    </w:p>
    <w:p>
      <w:pPr>
        <w:pStyle w:val="BodyText"/>
        <w:spacing w:line="408" w:lineRule="auto"/>
        <w:ind w:left="574" w:right="2980"/>
        <w:jc w:val="left"/>
      </w:pPr>
      <w:r>
        <w:rPr/>
        <w:t>持有期间采用实际利率法计算的利息计入当期损益。 收回或处置时，将取得的价款与该金融资产账面价值之间的差额计入当期损益。</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386" w:lineRule="auto" w:before="0"/>
        <w:ind w:left="574" w:right="1113"/>
        <w:jc w:val="left"/>
      </w:pPr>
      <w:r>
        <w:rPr>
          <w:rFonts w:ascii="Times New Roman" w:hAnsi="Times New Roman" w:cs="Times New Roman" w:eastAsia="Times New Roman" w:hint="default"/>
        </w:rPr>
        <w:t>2</w:t>
      </w:r>
      <w:r>
        <w:rPr/>
        <w:t>）以公允价值计量且其变动计入其他综合收益的金融资产（债务工具） </w:t>
      </w:r>
      <w:r>
        <w:rPr>
          <w:spacing w:val="-1"/>
        </w:rPr>
        <w:t>以公允价值计量且其变动计入其他综合收益的金融资产（债务工具）包括应收款项融资、其他债权投</w:t>
      </w:r>
    </w:p>
    <w:p>
      <w:pPr>
        <w:pStyle w:val="BodyText"/>
        <w:spacing w:line="408" w:lineRule="auto" w:before="65"/>
        <w:ind w:right="1021"/>
        <w:jc w:val="left"/>
      </w:pPr>
      <w:r>
        <w:rPr>
          <w:spacing w:val="-3"/>
        </w:rPr>
        <w:t>资等，按公允价值进行初始计量，相关交易费用计入初始确认金额。该金融资产按公允价值进行后续计量，</w:t>
      </w:r>
      <w:r>
        <w:rPr>
          <w:spacing w:val="-90"/>
        </w:rPr>
        <w:t> </w:t>
      </w:r>
      <w:r>
        <w:rPr>
          <w:spacing w:val="-90"/>
        </w:rPr>
      </w:r>
      <w:r>
        <w:rPr/>
        <w:t>公允价值变动除采用实际利率法计算的利息、减值损失或利得和汇兑损益之外，均计入其他综合收益。</w:t>
      </w:r>
    </w:p>
    <w:p>
      <w:pPr>
        <w:pStyle w:val="BodyText"/>
        <w:spacing w:line="240" w:lineRule="auto"/>
        <w:ind w:left="573" w:right="1113"/>
        <w:jc w:val="left"/>
      </w:pPr>
      <w:r>
        <w:rPr/>
        <w:t>终止确认时，之前计入其他综合收益的累计利得或损失从其他综合收益中转出，计入当期损益。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86" w:lineRule="auto" w:before="137"/>
        <w:ind w:left="573" w:right="1113"/>
        <w:jc w:val="left"/>
      </w:pPr>
      <w:r>
        <w:rPr>
          <w:rFonts w:ascii="Times New Roman" w:hAnsi="Times New Roman" w:cs="Times New Roman" w:eastAsia="Times New Roman" w:hint="default"/>
        </w:rPr>
        <w:t>3</w:t>
      </w:r>
      <w:r>
        <w:rPr/>
        <w:t>）以公允价值计量且其变动计入其他综合收益的金融资产（权益工具） </w:t>
      </w:r>
      <w:r>
        <w:rPr>
          <w:spacing w:val="-1"/>
        </w:rPr>
        <w:t>以公允价值计量且其变动计入其他综合收益的金融资产（权益工具）包括其他权益工具投资等，按公</w:t>
      </w:r>
    </w:p>
    <w:p>
      <w:pPr>
        <w:pStyle w:val="BodyText"/>
        <w:spacing w:line="408" w:lineRule="auto" w:before="65"/>
        <w:ind w:left="153" w:right="1113"/>
        <w:jc w:val="left"/>
      </w:pPr>
      <w:r>
        <w:rPr>
          <w:spacing w:val="-1"/>
        </w:rPr>
        <w:t>允价值进行初始计量，相关交易费用计入初始确认金额。该金融资产按公允价值进行后续计量，公允价值</w:t>
      </w:r>
      <w:r>
        <w:rPr>
          <w:spacing w:val="-83"/>
        </w:rPr>
        <w:t> </w:t>
      </w:r>
      <w:r>
        <w:rPr>
          <w:spacing w:val="-83"/>
        </w:rPr>
      </w:r>
      <w:r>
        <w:rPr/>
        <w:t>变动计入其他综合收益。取得的股利计入当期损益。</w:t>
      </w:r>
    </w:p>
    <w:p>
      <w:pPr>
        <w:pStyle w:val="BodyText"/>
        <w:spacing w:line="240" w:lineRule="auto"/>
        <w:ind w:left="573" w:right="1113"/>
        <w:jc w:val="left"/>
      </w:pPr>
      <w:r>
        <w:rPr/>
        <w:t>终止确认时，之前计入其他综合收益的累计利得或损失从其他综合收益中转出，计入留存收益。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86" w:lineRule="auto" w:before="137"/>
        <w:ind w:left="573" w:right="1113"/>
        <w:jc w:val="left"/>
      </w:pPr>
      <w:r>
        <w:rPr>
          <w:rFonts w:ascii="Times New Roman" w:hAnsi="Times New Roman" w:cs="Times New Roman" w:eastAsia="Times New Roman" w:hint="default"/>
        </w:rPr>
        <w:t>4</w:t>
      </w:r>
      <w:r>
        <w:rPr/>
        <w:t>）以公允价值计量且其变动计入当期损益的金融资产 </w:t>
      </w:r>
      <w:r>
        <w:rPr>
          <w:spacing w:val="-1"/>
        </w:rPr>
        <w:t>以公允价值计量且其变动计入当期损益的金融资产包括交易性金融资产、衍生金融资产、其他非流动</w:t>
      </w:r>
    </w:p>
    <w:p>
      <w:pPr>
        <w:pStyle w:val="BodyText"/>
        <w:spacing w:line="408" w:lineRule="auto" w:before="65"/>
        <w:ind w:left="153" w:right="1113"/>
        <w:jc w:val="left"/>
      </w:pPr>
      <w:r>
        <w:rPr>
          <w:spacing w:val="-1"/>
        </w:rPr>
        <w:t>金融资产等，按公允价值进行初始计量，相关交易费用计入当期损益。该金融资产按公允价值进行后续计</w:t>
      </w:r>
      <w:r>
        <w:rPr>
          <w:spacing w:val="-83"/>
        </w:rPr>
        <w:t> </w:t>
      </w:r>
      <w:r>
        <w:rPr>
          <w:spacing w:val="-83"/>
        </w:rPr>
      </w:r>
      <w:r>
        <w:rPr/>
        <w:t>量，公允价值变动计入当期损益。</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386" w:lineRule="auto" w:before="0"/>
        <w:ind w:left="573" w:right="1113"/>
        <w:jc w:val="left"/>
      </w:pPr>
      <w:r>
        <w:rPr>
          <w:rFonts w:ascii="Times New Roman" w:hAnsi="Times New Roman" w:cs="Times New Roman" w:eastAsia="Times New Roman" w:hint="default"/>
        </w:rPr>
        <w:t>5</w:t>
      </w:r>
      <w:r>
        <w:rPr/>
        <w:t>）以公允价值计量且其变动计入当期损益的金融负债 </w:t>
      </w:r>
      <w:r>
        <w:rPr>
          <w:spacing w:val="-1"/>
        </w:rPr>
        <w:t>以公允价值计量且其变动计入当期损益的金融负债包括交易性金融负债、衍生金融负债等，按公允价</w:t>
      </w:r>
    </w:p>
    <w:p>
      <w:pPr>
        <w:spacing w:after="0" w:line="386"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13"/>
        <w:jc w:val="left"/>
      </w:pPr>
      <w:r>
        <w:rPr>
          <w:spacing w:val="-1"/>
        </w:rPr>
        <w:t>值进行初始计量，相关交易费用计入当期损益。该金融负债按公允价值进行后续计量，公允价值变动计入</w:t>
      </w:r>
      <w:r>
        <w:rPr>
          <w:spacing w:val="-83"/>
        </w:rPr>
        <w:t> </w:t>
      </w:r>
      <w:r>
        <w:rPr>
          <w:spacing w:val="-83"/>
        </w:rPr>
      </w:r>
      <w:r>
        <w:rPr/>
        <w:t>当期损益。</w:t>
      </w:r>
    </w:p>
    <w:p>
      <w:pPr>
        <w:pStyle w:val="BodyText"/>
        <w:spacing w:line="240" w:lineRule="auto"/>
        <w:ind w:left="574" w:right="1113"/>
        <w:jc w:val="left"/>
      </w:pPr>
      <w:r>
        <w:rPr/>
        <w:t>终止确认时，其账面价值与支付的对价之间的差额计入当期损益。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86" w:lineRule="auto" w:before="137"/>
        <w:ind w:left="574" w:right="1015"/>
        <w:jc w:val="left"/>
      </w:pPr>
      <w:r>
        <w:rPr>
          <w:rFonts w:ascii="Times New Roman" w:hAnsi="Times New Roman" w:cs="Times New Roman" w:eastAsia="Times New Roman" w:hint="default"/>
        </w:rPr>
        <w:t>6</w:t>
      </w:r>
      <w:r>
        <w:rPr/>
        <w:t>）以摊余成本计量的金融负债 </w:t>
      </w:r>
      <w:r>
        <w:rPr>
          <w:spacing w:val="-3"/>
        </w:rPr>
        <w:t>以摊余成本计量的金融负债包括短期借款、应付票据、应付账款、其他应付款、长期借款、应付债券、</w:t>
      </w:r>
    </w:p>
    <w:p>
      <w:pPr>
        <w:pStyle w:val="BodyText"/>
        <w:spacing w:line="408" w:lineRule="auto" w:before="65"/>
        <w:ind w:left="573" w:right="3191" w:hanging="420"/>
        <w:jc w:val="left"/>
      </w:pPr>
      <w:r>
        <w:rPr/>
        <w:t>长期应付款，按公允价值进行初始计量，相关交易费用计入初始确认金额。 持有期间采用实际利率法计算的利息计入当期损益。 终止确认时，将支付的对价与该金融负债账面价值之间的差额计入当期损益。</w:t>
      </w:r>
    </w:p>
    <w:p>
      <w:pPr>
        <w:spacing w:line="240" w:lineRule="auto" w:before="5"/>
        <w:rPr>
          <w:rFonts w:ascii="宋体" w:hAnsi="宋体" w:cs="宋体" w:eastAsia="宋体" w:hint="default"/>
          <w:sz w:val="27"/>
          <w:szCs w:val="27"/>
        </w:rPr>
      </w:pPr>
    </w:p>
    <w:p>
      <w:pPr>
        <w:pStyle w:val="Heading3"/>
        <w:spacing w:line="240" w:lineRule="auto"/>
        <w:ind w:left="573" w:right="1113"/>
        <w:jc w:val="left"/>
        <w:rPr>
          <w:b w:val="0"/>
          <w:bCs w:val="0"/>
        </w:rPr>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日前适用的会计政策</w:t>
      </w:r>
      <w:r>
        <w:rPr>
          <w:b w:val="0"/>
          <w:bCs w:val="0"/>
        </w:rPr>
      </w:r>
    </w:p>
    <w:p>
      <w:pPr>
        <w:pStyle w:val="BodyText"/>
        <w:spacing w:line="386" w:lineRule="auto" w:before="177"/>
        <w:ind w:left="573" w:right="1113"/>
        <w:jc w:val="left"/>
      </w:pPr>
      <w:r>
        <w:rPr>
          <w:rFonts w:ascii="Times New Roman" w:hAnsi="Times New Roman" w:cs="Times New Roman" w:eastAsia="Times New Roman" w:hint="default"/>
        </w:rPr>
        <w:t>1</w:t>
      </w:r>
      <w:r>
        <w:rPr/>
        <w:t>）以公允价值计量且其变动计入当期损益的金融资产（金融负债） </w:t>
      </w:r>
      <w:r>
        <w:rPr>
          <w:spacing w:val="-1"/>
        </w:rPr>
        <w:t>取得时以公允价值（扣除已宣告但尚未发放的现金股利或已到付息期但尚未领取的债券利息）作为初</w:t>
      </w:r>
    </w:p>
    <w:p>
      <w:pPr>
        <w:pStyle w:val="BodyText"/>
        <w:spacing w:line="403" w:lineRule="auto" w:before="65"/>
        <w:ind w:left="573" w:right="1016" w:hanging="420"/>
        <w:jc w:val="left"/>
      </w:pPr>
      <w:r>
        <w:rPr/>
        <w:t>始确认金额，相关的交易费用计入当期损益。</w:t>
      </w:r>
      <w:r>
        <w:rPr>
          <w:spacing w:val="-1"/>
        </w:rPr>
        <w:t> </w:t>
      </w:r>
      <w:r>
        <w:rPr/>
        <w:t>持有期间将取得的利息或现金股利确认为投资收益，期末将公允价值变动计入当期损益。</w:t>
      </w:r>
      <w:r>
        <w:rPr>
          <w:spacing w:val="-1"/>
        </w:rPr>
        <w:t> </w:t>
      </w:r>
      <w:r>
        <w:rPr/>
        <w:t>处置时，其公允价值与初始入账金额之间的差额确认为投资收益，同时调整公允价值变动损益。</w:t>
      </w:r>
      <w:r>
        <w:rPr/>
        <w:t> </w:t>
      </w:r>
      <w:r>
        <w:rPr>
          <w:rFonts w:ascii="Times New Roman" w:hAnsi="Times New Roman" w:cs="Times New Roman" w:eastAsia="Times New Roman" w:hint="default"/>
        </w:rPr>
        <w:t>2</w:t>
      </w:r>
      <w:r>
        <w:rPr/>
        <w:t>）持有至到期投资 </w:t>
      </w:r>
      <w:r>
        <w:rPr>
          <w:spacing w:val="-3"/>
        </w:rPr>
        <w:t>取得时按公允价值（扣除已到付息期但尚未领取的债券利息）和相关交易费用之和作为初始确认金额。</w:t>
      </w:r>
      <w:r>
        <w:rPr/>
        <w:t> 持有期间按照摊余成本和实际利率计算确认利息收入，计入投资收益。实际利率在取得时确定，在该</w:t>
      </w:r>
    </w:p>
    <w:p>
      <w:pPr>
        <w:pStyle w:val="BodyText"/>
        <w:spacing w:line="408" w:lineRule="auto" w:before="50"/>
        <w:ind w:left="573" w:right="4031" w:hanging="420"/>
        <w:jc w:val="left"/>
      </w:pPr>
      <w:r>
        <w:rPr/>
        <w:t>预期存续期间或适用的更短期间内保持不变。</w:t>
      </w:r>
      <w:r>
        <w:rPr>
          <w:spacing w:val="-1"/>
        </w:rPr>
        <w:t> </w:t>
      </w:r>
      <w:r>
        <w:rPr/>
        <w:t>处置时，将所取得价款与该投资账面价值之间的差额计入投资收益。</w:t>
      </w:r>
      <w:r>
        <w:rPr/>
        <w:t> </w:t>
      </w:r>
      <w:r>
        <w:rPr>
          <w:rFonts w:ascii="Times New Roman" w:hAnsi="Times New Roman" w:cs="Times New Roman" w:eastAsia="Times New Roman" w:hint="default"/>
        </w:rPr>
        <w:t>3</w:t>
      </w:r>
      <w:r>
        <w:rPr/>
        <w:t>）应收款项</w:t>
      </w:r>
    </w:p>
    <w:p>
      <w:pPr>
        <w:pStyle w:val="BodyText"/>
        <w:spacing w:line="408" w:lineRule="auto" w:before="14"/>
        <w:ind w:left="153" w:right="1130" w:firstLine="420"/>
        <w:jc w:val="both"/>
      </w:pPr>
      <w:r>
        <w:rPr>
          <w:spacing w:val="-1"/>
        </w:rPr>
        <w:t>公司对外销售商品或提供劳务形成的应收债权，以及公司持有的其他企业的不包括在活跃市场上有报</w:t>
      </w:r>
      <w:r>
        <w:rPr/>
        <w:t> </w:t>
      </w:r>
      <w:r>
        <w:rPr>
          <w:spacing w:val="-1"/>
        </w:rPr>
        <w:t>价的债务工具的债权，包括应收账款、其他应收款等，以向购货方应收的合同或协议价款作为初始确认金</w:t>
      </w:r>
      <w:r>
        <w:rPr>
          <w:spacing w:val="-83"/>
        </w:rPr>
        <w:t> </w:t>
      </w:r>
      <w:r>
        <w:rPr>
          <w:spacing w:val="-83"/>
        </w:rPr>
      </w:r>
      <w:r>
        <w:rPr/>
        <w:t>额；具有融资性质的，按其现值进行初始确认。</w:t>
      </w:r>
    </w:p>
    <w:p>
      <w:pPr>
        <w:pStyle w:val="BodyText"/>
        <w:spacing w:line="398" w:lineRule="auto"/>
        <w:ind w:left="573" w:right="1113"/>
        <w:jc w:val="left"/>
      </w:pPr>
      <w:r>
        <w:rPr/>
        <w:t>收回或处置时，将取得的价款与该应收款项账面价值之间的差额计入当期损益。 </w:t>
      </w:r>
      <w:r>
        <w:rPr>
          <w:rFonts w:ascii="Times New Roman" w:hAnsi="Times New Roman" w:cs="Times New Roman" w:eastAsia="Times New Roman" w:hint="default"/>
        </w:rPr>
        <w:t>4</w:t>
      </w:r>
      <w:r>
        <w:rPr/>
        <w:t>）可供出售金融资产 </w:t>
      </w:r>
      <w:r>
        <w:rPr>
          <w:spacing w:val="-1"/>
        </w:rPr>
        <w:t>取得时按公允价值（扣除已宣告但尚未发放的现金股利或已到付息期但尚未领取的债券利息）和相关</w:t>
      </w:r>
    </w:p>
    <w:p>
      <w:pPr>
        <w:pStyle w:val="BodyText"/>
        <w:spacing w:line="408" w:lineRule="auto" w:before="54"/>
        <w:ind w:left="574" w:right="1113" w:hanging="420"/>
        <w:jc w:val="left"/>
      </w:pPr>
      <w:r>
        <w:rPr/>
        <w:t>交易费用之和作为初始确认金额。 </w:t>
      </w:r>
      <w:r>
        <w:rPr>
          <w:spacing w:val="-1"/>
        </w:rPr>
        <w:t>持有期间将取得的利息或现金股利确认为投资收益。期末以公允价值计量且将公允价值变动计入其他</w:t>
      </w:r>
    </w:p>
    <w:p>
      <w:pPr>
        <w:spacing w:after="0" w:line="408"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13"/>
        <w:jc w:val="left"/>
      </w:pPr>
      <w:r>
        <w:rPr>
          <w:spacing w:val="-1"/>
        </w:rPr>
        <w:t>综合收益。但是，在活跃市场中没有报价且其公允价值不能可靠计量的权益工具投资，以及与该权益工具</w:t>
      </w:r>
      <w:r>
        <w:rPr>
          <w:spacing w:val="-83"/>
        </w:rPr>
        <w:t> </w:t>
      </w:r>
      <w:r>
        <w:rPr>
          <w:spacing w:val="-83"/>
        </w:rPr>
      </w:r>
      <w:r>
        <w:rPr/>
        <w:t>挂钩并须通过交付该权益工具结算的衍生金融资产，按照成本计量。</w:t>
      </w:r>
    </w:p>
    <w:p>
      <w:pPr>
        <w:pStyle w:val="BodyText"/>
        <w:spacing w:line="408" w:lineRule="auto"/>
        <w:ind w:right="1113" w:firstLine="420"/>
        <w:jc w:val="left"/>
      </w:pPr>
      <w:r>
        <w:rPr>
          <w:spacing w:val="-1"/>
        </w:rPr>
        <w:t>处置时，将取得的价款与该金融资产账面价值之间的差额，计入投资损益；同时，将原直接计入其他</w:t>
      </w:r>
      <w:r>
        <w:rPr/>
        <w:t> 综合收益的公允价值变动累计额对应处置部分的金额转出，计入当期损益。</w:t>
      </w:r>
    </w:p>
    <w:p>
      <w:pPr>
        <w:pStyle w:val="BodyText"/>
        <w:spacing w:line="386" w:lineRule="auto"/>
        <w:ind w:left="574" w:right="2560" w:hanging="1"/>
        <w:jc w:val="left"/>
      </w:pP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line="240" w:lineRule="auto" w:before="11"/>
        <w:rPr>
          <w:rFonts w:ascii="宋体" w:hAnsi="宋体" w:cs="宋体" w:eastAsia="宋体" w:hint="default"/>
          <w:sz w:val="22"/>
          <w:szCs w:val="22"/>
        </w:rPr>
      </w:pPr>
    </w:p>
    <w:p>
      <w:pPr>
        <w:spacing w:line="321" w:lineRule="auto" w:before="0"/>
        <w:ind w:left="574" w:right="1113" w:hanging="8"/>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公司发生金融资产转移时，如已将金融资产所有权上几乎所有的风险和报酬转移给转入方，则终止确</w:t>
      </w:r>
    </w:p>
    <w:p>
      <w:pPr>
        <w:pStyle w:val="BodyText"/>
        <w:spacing w:line="408" w:lineRule="auto" w:before="122"/>
        <w:ind w:left="574" w:right="1090" w:hanging="420"/>
        <w:jc w:val="left"/>
      </w:pPr>
      <w:r>
        <w:rPr/>
        <w:t>认该金融资产；如保留了金融资产所有权上几乎所有的风险和报酬的，则不终止确认该金融资产。</w:t>
      </w:r>
      <w:r>
        <w:rPr>
          <w:spacing w:val="-1"/>
        </w:rPr>
        <w:t> </w:t>
      </w:r>
      <w:r>
        <w:rPr/>
        <w:t>在判断金融资产转移是否满足上述金融资产终止确认条件时，采用实质重于形式的原则。</w:t>
      </w:r>
      <w:r>
        <w:rPr>
          <w:spacing w:val="-1"/>
        </w:rPr>
        <w:t> </w:t>
      </w:r>
      <w:r>
        <w:rPr/>
        <w:t>公司将金融资产转移区分为金融资产整体转移和部分转移。金融资产整体转移满足终止确认条件的，</w:t>
      </w:r>
    </w:p>
    <w:p>
      <w:pPr>
        <w:pStyle w:val="BodyText"/>
        <w:spacing w:line="240" w:lineRule="auto"/>
        <w:ind w:right="1113"/>
        <w:jc w:val="left"/>
      </w:pPr>
      <w:r>
        <w:rPr/>
        <w:t>将下列两项金额的差额计入当期损益：</w:t>
      </w:r>
    </w:p>
    <w:p>
      <w:pPr>
        <w:spacing w:line="240" w:lineRule="auto" w:before="10"/>
        <w:rPr>
          <w:rFonts w:ascii="宋体" w:hAnsi="宋体" w:cs="宋体" w:eastAsia="宋体" w:hint="default"/>
          <w:sz w:val="14"/>
          <w:szCs w:val="14"/>
        </w:rPr>
      </w:pPr>
    </w:p>
    <w:p>
      <w:pPr>
        <w:pStyle w:val="BodyText"/>
        <w:spacing w:line="240" w:lineRule="auto" w:before="0"/>
        <w:ind w:left="574" w:right="1113"/>
        <w:jc w:val="left"/>
      </w:pPr>
      <w:r>
        <w:rPr>
          <w:rFonts w:ascii="Times New Roman" w:hAnsi="Times New Roman" w:cs="Times New Roman" w:eastAsia="Times New Roman" w:hint="default"/>
        </w:rPr>
        <w:t>1</w:t>
      </w:r>
      <w:r>
        <w:rPr/>
        <w:t>）所转移金融资产的账面价值；</w:t>
      </w:r>
    </w:p>
    <w:p>
      <w:pPr>
        <w:pStyle w:val="BodyText"/>
        <w:spacing w:line="386" w:lineRule="auto" w:before="177"/>
        <w:ind w:right="1195" w:firstLine="420"/>
        <w:jc w:val="left"/>
      </w:pPr>
      <w:r>
        <w:rPr>
          <w:rFonts w:ascii="Times New Roman" w:hAnsi="Times New Roman" w:cs="Times New Roman" w:eastAsia="Times New Roman" w:hint="default"/>
        </w:rPr>
        <w:t>2</w:t>
      </w:r>
      <w:r>
        <w:rPr/>
        <w:t>）因转移而收到的对价，与原直接计入所有者权益的公允价值变动累计额（涉及转移的金融资产为 以公允价值计量且其变动计入其他综合收益的金融资产（债务工具）可供出售金融资产的情形）之和。</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408" w:lineRule="auto" w:before="0"/>
        <w:ind w:right="1113" w:firstLine="420"/>
        <w:jc w:val="left"/>
      </w:pPr>
      <w:r>
        <w:rPr>
          <w:spacing w:val="-1"/>
        </w:rPr>
        <w:t>金融资产部分转移满足终止确认条件的，将所转移金融资产整体的账面价值，在终止确认部分和未终</w:t>
      </w:r>
      <w:r>
        <w:rPr/>
        <w:t> 止确认部分之间，按照各自的相对公允价值进行分摊，并将下列两项金额的差额计入当期损益：</w:t>
      </w:r>
    </w:p>
    <w:p>
      <w:pPr>
        <w:pStyle w:val="BodyText"/>
        <w:spacing w:line="240" w:lineRule="auto"/>
        <w:ind w:left="574" w:right="1113"/>
        <w:jc w:val="left"/>
      </w:pPr>
      <w:r>
        <w:rPr>
          <w:rFonts w:ascii="Times New Roman" w:hAnsi="Times New Roman" w:cs="Times New Roman" w:eastAsia="Times New Roman" w:hint="default"/>
        </w:rPr>
        <w:t>1</w:t>
      </w:r>
      <w:r>
        <w:rPr/>
        <w:t>）终止确认部分的账面价值；</w:t>
      </w:r>
    </w:p>
    <w:p>
      <w:pPr>
        <w:pStyle w:val="BodyText"/>
        <w:spacing w:line="398" w:lineRule="auto" w:before="177"/>
        <w:ind w:right="1113" w:firstLine="420"/>
        <w:jc w:val="left"/>
      </w:pPr>
      <w:r>
        <w:rPr>
          <w:rFonts w:ascii="Times New Roman" w:hAnsi="Times New Roman" w:cs="Times New Roman" w:eastAsia="Times New Roman" w:hint="default"/>
        </w:rPr>
        <w:t>2</w:t>
      </w:r>
      <w:r>
        <w:rPr/>
        <w:t>）终止确认部分的对价，与原直接计入所有者权益的公允价值变动累计额中对应终止确认部分的金 </w:t>
      </w:r>
      <w:r>
        <w:rPr>
          <w:spacing w:val="-1"/>
        </w:rPr>
        <w:t>额（涉及转移的金融资产为以公允价值计量且其变动计入其他综合收益的金融资产（债务工具）可供出售</w:t>
      </w:r>
      <w:r>
        <w:rPr>
          <w:spacing w:val="-83"/>
        </w:rPr>
        <w:t> </w:t>
      </w:r>
      <w:r>
        <w:rPr>
          <w:spacing w:val="-83"/>
        </w:rPr>
      </w:r>
      <w:r>
        <w:rPr/>
        <w:t>金融资产的情形）之和。</w:t>
      </w:r>
    </w:p>
    <w:p>
      <w:pPr>
        <w:pStyle w:val="BodyText"/>
        <w:spacing w:line="240" w:lineRule="auto" w:before="54"/>
        <w:ind w:left="574" w:right="1113"/>
        <w:jc w:val="left"/>
      </w:pPr>
      <w:r>
        <w:rPr/>
        <w:t>金融资产转移不满足终止确认条件的，继续确认该金融资产，所收到的对价确认为一项金融负债。</w:t>
      </w:r>
    </w:p>
    <w:p>
      <w:pPr>
        <w:spacing w:line="240" w:lineRule="auto" w:before="0"/>
        <w:rPr>
          <w:rFonts w:ascii="宋体" w:hAnsi="宋体" w:cs="宋体" w:eastAsia="宋体" w:hint="default"/>
          <w:sz w:val="20"/>
          <w:szCs w:val="20"/>
        </w:rPr>
      </w:pPr>
    </w:p>
    <w:p>
      <w:pPr>
        <w:spacing w:line="321" w:lineRule="auto" w:before="165"/>
        <w:ind w:left="574" w:right="1113" w:hanging="8"/>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99"/>
          <w:sz w:val="21"/>
          <w:szCs w:val="21"/>
        </w:rPr>
        <w:t> </w:t>
      </w:r>
      <w:r>
        <w:rPr>
          <w:rFonts w:ascii="宋体" w:hAnsi="宋体" w:cs="宋体" w:eastAsia="宋体" w:hint="default"/>
          <w:spacing w:val="-1"/>
          <w:sz w:val="21"/>
          <w:szCs w:val="21"/>
        </w:rPr>
        <w:t>金融负债的现时义务全部或部分已经解除的，则终止确认该金融负债或其一部分；本公司若与债权人</w:t>
      </w:r>
    </w:p>
    <w:p>
      <w:pPr>
        <w:pStyle w:val="BodyText"/>
        <w:spacing w:line="408" w:lineRule="auto" w:before="122"/>
        <w:ind w:right="1113"/>
        <w:jc w:val="left"/>
      </w:pPr>
      <w:r>
        <w:rPr>
          <w:spacing w:val="-1"/>
        </w:rPr>
        <w:t>签定协议，以承担新金融负债方式替换现存金融负债，且新金融负债与现存金融负债的合同条款实质上不</w:t>
      </w:r>
      <w:r>
        <w:rPr>
          <w:spacing w:val="-81"/>
        </w:rPr>
        <w:t> </w:t>
      </w:r>
      <w:r>
        <w:rPr>
          <w:spacing w:val="-81"/>
        </w:rPr>
      </w:r>
      <w:r>
        <w:rPr/>
        <w:t>同的，则终止确认现存金融负债，并同时确认新金融负债。</w:t>
      </w:r>
    </w:p>
    <w:p>
      <w:pPr>
        <w:pStyle w:val="BodyText"/>
        <w:spacing w:line="408" w:lineRule="auto"/>
        <w:ind w:right="1113" w:firstLine="420"/>
        <w:jc w:val="left"/>
      </w:pPr>
      <w:r>
        <w:rPr>
          <w:spacing w:val="-1"/>
        </w:rPr>
        <w:t>对现存金融负债全部或部分合同条款作出实质性修改的，则终止确认现存金融负债或其一部分，同时</w:t>
      </w:r>
      <w:r>
        <w:rPr/>
        <w:t> 将修改条款后的金融负债确认为一项新金融负债。</w:t>
      </w:r>
    </w:p>
    <w:p>
      <w:pPr>
        <w:spacing w:after="0" w:line="408"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31" w:firstLine="420"/>
        <w:jc w:val="both"/>
      </w:pPr>
      <w:r>
        <w:rPr>
          <w:spacing w:val="-1"/>
        </w:rPr>
        <w:t>金融负债全部或部分终止确认时，终止确认的金融负债账面价值与支付对价（包括转出的非现金资产</w:t>
      </w:r>
      <w:r>
        <w:rPr/>
        <w:t> 或承担的新金融负债）之间的差额，计入当期损益。</w:t>
      </w:r>
    </w:p>
    <w:p>
      <w:pPr>
        <w:pStyle w:val="BodyText"/>
        <w:spacing w:line="408" w:lineRule="auto"/>
        <w:ind w:right="1131" w:firstLine="420"/>
        <w:jc w:val="both"/>
      </w:pPr>
      <w:r>
        <w:rPr>
          <w:spacing w:val="-1"/>
        </w:rPr>
        <w:t>本公司若回购部分金融负债的，在回购日按照继续确认部分与终止确认部分的相对公允价值，将该金</w:t>
      </w:r>
      <w:r>
        <w:rPr/>
        <w:t> </w:t>
      </w:r>
      <w:r>
        <w:rPr>
          <w:spacing w:val="-1"/>
        </w:rPr>
        <w:t>融负债整体的账面价值进行分配。分配给终止确认部分的账面价值与支付的对价（包括转出的非现金资产</w:t>
      </w:r>
      <w:r>
        <w:rPr>
          <w:spacing w:val="-81"/>
        </w:rPr>
        <w:t> </w:t>
      </w:r>
      <w:r>
        <w:rPr>
          <w:spacing w:val="-81"/>
        </w:rPr>
      </w:r>
      <w:r>
        <w:rPr/>
        <w:t>或承担的新金融负债）之间的差额，计入当期损益。</w:t>
      </w:r>
    </w:p>
    <w:p>
      <w:pPr>
        <w:spacing w:line="240" w:lineRule="auto" w:before="5"/>
        <w:rPr>
          <w:rFonts w:ascii="宋体" w:hAnsi="宋体" w:cs="宋体" w:eastAsia="宋体" w:hint="default"/>
          <w:sz w:val="21"/>
          <w:szCs w:val="21"/>
        </w:rPr>
      </w:pPr>
    </w:p>
    <w:p>
      <w:pPr>
        <w:spacing w:line="321" w:lineRule="auto" w:before="0"/>
        <w:ind w:left="574" w:right="1113" w:hanging="8"/>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）金融资产和金融负债的公允价值的确定方法</w:t>
      </w:r>
      <w:r>
        <w:rPr>
          <w:rFonts w:ascii="宋体" w:hAnsi="宋体" w:cs="宋体" w:eastAsia="宋体" w:hint="default"/>
          <w:b/>
          <w:bCs/>
          <w:w w:val="99"/>
          <w:sz w:val="21"/>
          <w:szCs w:val="21"/>
        </w:rPr>
        <w:t> </w:t>
      </w:r>
      <w:r>
        <w:rPr>
          <w:rFonts w:ascii="宋体" w:hAnsi="宋体" w:cs="宋体" w:eastAsia="宋体" w:hint="default"/>
          <w:spacing w:val="-1"/>
          <w:sz w:val="21"/>
          <w:szCs w:val="21"/>
        </w:rPr>
        <w:t>存在活跃市场的金融工具，以活跃市场中的报价确定其公允价值。不存在活跃市场的金融工具，采用</w:t>
      </w:r>
    </w:p>
    <w:p>
      <w:pPr>
        <w:pStyle w:val="BodyText"/>
        <w:spacing w:line="408" w:lineRule="auto" w:before="122"/>
        <w:ind w:right="1108"/>
        <w:jc w:val="both"/>
      </w:pPr>
      <w:r>
        <w:rPr>
          <w:spacing w:val="-1"/>
        </w:rPr>
        <w:t>估值技术确定其公允价值。在估值时，本公司采用在当前情况下适用并且有足够可利用数据和其他信息支</w:t>
      </w:r>
      <w:r>
        <w:rPr>
          <w:spacing w:val="-81"/>
        </w:rPr>
        <w:t> </w:t>
      </w:r>
      <w:r>
        <w:rPr>
          <w:spacing w:val="-81"/>
        </w:rPr>
      </w:r>
      <w:r>
        <w:rPr/>
        <w:t>持的估值技术，选择与市场参与者在相关资产或负债的交易中所考虑的资产或负债特征相一致的输入值， </w:t>
      </w:r>
      <w:r>
        <w:rPr>
          <w:spacing w:val="-1"/>
        </w:rPr>
        <w:t>并优先使用相关可观察输入值。只有在相关可观察输入值无法取得或取得不切实可行的情况下，才使用不</w:t>
      </w:r>
      <w:r>
        <w:rPr>
          <w:spacing w:val="-81"/>
        </w:rPr>
        <w:t> </w:t>
      </w:r>
      <w:r>
        <w:rPr>
          <w:spacing w:val="-81"/>
        </w:rPr>
      </w:r>
      <w:r>
        <w:rPr/>
        <w:t>可观察输入值。</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3"/>
        <w:spacing w:line="386" w:lineRule="auto"/>
        <w:ind w:left="574" w:right="6009"/>
        <w:jc w:val="left"/>
        <w:rPr>
          <w:b w:val="0"/>
          <w:bCs w:val="0"/>
        </w:rPr>
      </w:pPr>
      <w:r>
        <w:rPr/>
        <w:t>（</w:t>
      </w:r>
      <w:r>
        <w:rPr>
          <w:rFonts w:ascii="Times New Roman" w:hAnsi="Times New Roman" w:cs="Times New Roman" w:eastAsia="Times New Roman" w:hint="default"/>
        </w:rPr>
        <w:t>6</w:t>
      </w:r>
      <w:r>
        <w:rPr/>
        <w:t>）金融资产减值的测试方法及会计处理方法</w:t>
      </w:r>
      <w:r>
        <w:rPr>
          <w:w w:val="99"/>
        </w:rPr>
        <w:t> </w:t>
      </w:r>
      <w:r>
        <w:rPr/>
        <w:t>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日起适用的会计政策</w:t>
      </w:r>
      <w:r>
        <w:rPr>
          <w:b w:val="0"/>
          <w:bCs w:val="0"/>
        </w:rPr>
      </w:r>
    </w:p>
    <w:p>
      <w:pPr>
        <w:pStyle w:val="BodyText"/>
        <w:spacing w:line="408" w:lineRule="auto" w:before="35"/>
        <w:ind w:right="1108" w:firstLine="420"/>
        <w:jc w:val="both"/>
      </w:pPr>
      <w:r>
        <w:rPr>
          <w:spacing w:val="-1"/>
        </w:rPr>
        <w:t>本公司考虑所有合理且有依据的信息，包括前瞻性信息，以单项或组合的方式对以摊余成本计量的金</w:t>
      </w:r>
      <w:r>
        <w:rPr/>
        <w:t> 融资产和以公允价值计量且其变动计入其他综合收益的金融资产（债务工具）的预期信用损失进行估计。 预期信用损失的计量取决于金融资产自初始确认后是否发生信用风险显著增加。</w:t>
      </w:r>
    </w:p>
    <w:p>
      <w:pPr>
        <w:pStyle w:val="BodyText"/>
        <w:spacing w:line="400" w:lineRule="auto"/>
        <w:ind w:right="1129" w:firstLine="420"/>
        <w:jc w:val="both"/>
      </w:pPr>
      <w:r>
        <w:rPr>
          <w:spacing w:val="-1"/>
        </w:rPr>
        <w:t>如果该金融工具的信用风险自初始确认后已显著增加，本公司按照相当于该金融工具整个存续期内预</w:t>
      </w:r>
      <w:r>
        <w:rPr/>
        <w:t> </w:t>
      </w:r>
      <w:r>
        <w:rPr>
          <w:spacing w:val="-1"/>
        </w:rPr>
        <w:t>期信用损失的金额计量其损失准备；如果该金融工具的信用风险自初始确认后并未显著增加，本公司按照</w:t>
      </w:r>
      <w:r>
        <w:rPr>
          <w:spacing w:val="-81"/>
        </w:rPr>
        <w:t> </w:t>
      </w:r>
      <w:r>
        <w:rPr>
          <w:spacing w:val="-81"/>
        </w:rPr>
      </w:r>
      <w:r>
        <w:rPr>
          <w:spacing w:val="-1"/>
        </w:rPr>
        <w:t>相当于该金融工具未来</w:t>
      </w:r>
      <w:r>
        <w:rPr>
          <w:rFonts w:ascii="Times New Roman" w:hAnsi="Times New Roman" w:cs="Times New Roman" w:eastAsia="Times New Roman" w:hint="default"/>
          <w:spacing w:val="-1"/>
        </w:rPr>
        <w:t>12</w:t>
      </w:r>
      <w:r>
        <w:rPr>
          <w:spacing w:val="-1"/>
        </w:rPr>
        <w:t>个月内预期信用损失的金额计量其损失准备。由此形成的损失准备的增加或转回</w:t>
      </w:r>
      <w:r>
        <w:rPr>
          <w:spacing w:val="-83"/>
        </w:rPr>
        <w:t> </w:t>
      </w:r>
      <w:r>
        <w:rPr>
          <w:spacing w:val="-83"/>
        </w:rPr>
      </w:r>
      <w:r>
        <w:rPr/>
        <w:t>金额，作为减值损失或利得计入当期损益。</w:t>
      </w:r>
    </w:p>
    <w:p>
      <w:pPr>
        <w:pStyle w:val="BodyText"/>
        <w:spacing w:line="386" w:lineRule="auto" w:before="52"/>
        <w:ind w:right="1129" w:firstLine="420"/>
        <w:jc w:val="both"/>
      </w:pPr>
      <w:r>
        <w:rPr>
          <w:spacing w:val="-1"/>
        </w:rPr>
        <w:t>通常逾期超过</w:t>
      </w:r>
      <w:r>
        <w:rPr>
          <w:rFonts w:ascii="Times New Roman" w:hAnsi="Times New Roman" w:cs="Times New Roman" w:eastAsia="Times New Roman" w:hint="default"/>
          <w:spacing w:val="-1"/>
        </w:rPr>
        <w:t>30</w:t>
      </w:r>
      <w:r>
        <w:rPr>
          <w:spacing w:val="-1"/>
        </w:rPr>
        <w:t>日，本公司即认为该金融工具的信用风险已显著增加，除非有确凿证据证明该金融工</w:t>
      </w:r>
      <w:r>
        <w:rPr/>
        <w:t> 具的信用风险自初始确认后并未显著增加。</w:t>
      </w:r>
    </w:p>
    <w:p>
      <w:pPr>
        <w:pStyle w:val="BodyText"/>
        <w:spacing w:line="408" w:lineRule="auto" w:before="65"/>
        <w:ind w:right="1131" w:firstLine="420"/>
        <w:jc w:val="both"/>
      </w:pPr>
      <w:r>
        <w:rPr>
          <w:spacing w:val="-1"/>
        </w:rPr>
        <w:t>如果金融工具于资产负债表日的信用风险较低，本公司即认为该金融工具的信用风险自初始确认后并</w:t>
      </w:r>
      <w:r>
        <w:rPr/>
        <w:t> 未显著增加。</w:t>
      </w:r>
    </w:p>
    <w:p>
      <w:pPr>
        <w:pStyle w:val="BodyText"/>
        <w:spacing w:line="408" w:lineRule="auto"/>
        <w:ind w:right="1131" w:firstLine="420"/>
        <w:jc w:val="both"/>
      </w:pPr>
      <w:r>
        <w:rPr>
          <w:spacing w:val="-1"/>
        </w:rPr>
        <w:t>如果有客观证据表明某项金融资产已经发生信用减值，则本公司在单项基础上对该金融资产计提减值</w:t>
      </w:r>
      <w:r>
        <w:rPr/>
        <w:t> 准备。</w:t>
      </w:r>
    </w:p>
    <w:p>
      <w:pPr>
        <w:pStyle w:val="BodyText"/>
        <w:spacing w:line="408" w:lineRule="auto"/>
        <w:ind w:right="1129" w:firstLine="420"/>
        <w:jc w:val="both"/>
      </w:pPr>
      <w:r>
        <w:rPr>
          <w:spacing w:val="-1"/>
        </w:rPr>
        <w:t>对于应收账款，无论是否包含重大融资成分，本公司始终按照相当于整个存续期内预期信用损失的金</w:t>
      </w:r>
      <w:r>
        <w:rPr/>
        <w:t> 额计量其损失准备。</w:t>
      </w:r>
    </w:p>
    <w:p>
      <w:pPr>
        <w:spacing w:after="0" w:line="408" w:lineRule="auto"/>
        <w:jc w:val="both"/>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31" w:firstLine="420"/>
        <w:jc w:val="both"/>
      </w:pPr>
      <w:r>
        <w:rPr>
          <w:spacing w:val="-1"/>
        </w:rPr>
        <w:t>对于租赁应收款、公司通过销售商品或提供劳务形成的长期应收款，本公司选择始终按照相当于整个</w:t>
      </w:r>
      <w:r>
        <w:rPr/>
        <w:t> 存续期内预期信用损失的金额计量其损失准备。</w:t>
      </w:r>
    </w:p>
    <w:p>
      <w:pPr>
        <w:spacing w:line="240" w:lineRule="auto" w:before="5"/>
        <w:rPr>
          <w:rFonts w:ascii="宋体" w:hAnsi="宋体" w:cs="宋体" w:eastAsia="宋体" w:hint="default"/>
          <w:sz w:val="27"/>
          <w:szCs w:val="27"/>
        </w:rPr>
      </w:pPr>
    </w:p>
    <w:p>
      <w:pPr>
        <w:spacing w:line="386" w:lineRule="auto" w:before="0"/>
        <w:ind w:left="574" w:right="111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日前适用的会计政策</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除以公允价值计量且其变动计入当期损益的金融资产外，本公司于资产负债表日对金融资产的账面价</w:t>
      </w:r>
    </w:p>
    <w:p>
      <w:pPr>
        <w:pStyle w:val="BodyText"/>
        <w:spacing w:line="398" w:lineRule="auto" w:before="65"/>
        <w:ind w:left="574" w:right="1113" w:hanging="420"/>
        <w:jc w:val="left"/>
      </w:pPr>
      <w:r>
        <w:rPr/>
        <w:t>值进行检查，如果有客观证据表明某项金融资产发生减值的，计提减值准备。 </w:t>
      </w:r>
      <w:r>
        <w:rPr>
          <w:rFonts w:ascii="Times New Roman" w:hAnsi="Times New Roman" w:cs="Times New Roman" w:eastAsia="Times New Roman" w:hint="default"/>
        </w:rPr>
        <w:t>1</w:t>
      </w:r>
      <w:r>
        <w:rPr/>
        <w:t>）可供出售金融资产的减值准备： </w:t>
      </w:r>
      <w:r>
        <w:rPr>
          <w:spacing w:val="-1"/>
        </w:rPr>
        <w:t>期末如果可供出售权益工具投资的公允价值发生严重下降，或在综合考虑各种相关因素后，预期这种</w:t>
      </w:r>
    </w:p>
    <w:p>
      <w:pPr>
        <w:pStyle w:val="BodyText"/>
        <w:spacing w:line="408" w:lineRule="auto" w:before="54"/>
        <w:ind w:right="1113"/>
        <w:jc w:val="left"/>
      </w:pPr>
      <w:r>
        <w:rPr>
          <w:spacing w:val="-1"/>
        </w:rPr>
        <w:t>下降趋势属于非暂时性的，就认定其已发生减值，将原直接计入所有者权益的公允价值下降形成的累计损</w:t>
      </w:r>
      <w:r>
        <w:rPr>
          <w:spacing w:val="-81"/>
        </w:rPr>
        <w:t> </w:t>
      </w:r>
      <w:r>
        <w:rPr>
          <w:spacing w:val="-81"/>
        </w:rPr>
      </w:r>
      <w:r>
        <w:rPr/>
        <w:t>失一并转出，确认减值损失。</w:t>
      </w:r>
    </w:p>
    <w:p>
      <w:pPr>
        <w:pStyle w:val="BodyText"/>
        <w:spacing w:line="408" w:lineRule="auto"/>
        <w:ind w:right="1130" w:firstLine="420"/>
        <w:jc w:val="both"/>
      </w:pPr>
      <w:r>
        <w:rPr>
          <w:spacing w:val="-1"/>
        </w:rPr>
        <w:t>对于已确认减值损失的可供出售债务工具，在随后的会计期间公允价值已上升且客观上与确认原减值</w:t>
      </w:r>
      <w:r>
        <w:rPr/>
        <w:t> 损失确认后发生的事项有关的，原确认的减值损失予以转回，计入当期损益。</w:t>
      </w:r>
    </w:p>
    <w:p>
      <w:pPr>
        <w:pStyle w:val="BodyText"/>
        <w:spacing w:line="240" w:lineRule="auto"/>
        <w:ind w:left="574" w:right="1113"/>
        <w:jc w:val="left"/>
      </w:pPr>
      <w:r>
        <w:rPr/>
        <w:t>可供出售权益工具投资发生的减值损失，不通过损益转回。</w:t>
      </w:r>
    </w:p>
    <w:p>
      <w:pPr>
        <w:spacing w:line="240" w:lineRule="auto" w:before="10"/>
        <w:rPr>
          <w:rFonts w:ascii="宋体" w:hAnsi="宋体" w:cs="宋体" w:eastAsia="宋体" w:hint="default"/>
          <w:sz w:val="14"/>
          <w:szCs w:val="14"/>
        </w:rPr>
      </w:pPr>
    </w:p>
    <w:p>
      <w:pPr>
        <w:pStyle w:val="BodyText"/>
        <w:spacing w:line="240" w:lineRule="auto" w:before="0"/>
        <w:ind w:left="574" w:right="1113"/>
        <w:jc w:val="left"/>
      </w:pPr>
      <w:r>
        <w:rPr>
          <w:rFonts w:ascii="Times New Roman" w:hAnsi="Times New Roman" w:cs="Times New Roman" w:eastAsia="Times New Roman" w:hint="default"/>
        </w:rPr>
        <w:t>2</w:t>
      </w:r>
      <w:r>
        <w:rPr/>
        <w:t>）应收款项坏账准备：</w:t>
      </w:r>
    </w:p>
    <w:p>
      <w:pPr>
        <w:pStyle w:val="BodyText"/>
        <w:spacing w:line="408" w:lineRule="auto" w:before="177"/>
        <w:ind w:left="574" w:right="1113"/>
        <w:jc w:val="left"/>
      </w:pPr>
      <w:r>
        <w:rPr/>
        <w:t>①单项金额重大并单独计提坏账准备的应收款项： </w:t>
      </w:r>
      <w:r>
        <w:rPr>
          <w:spacing w:val="-1"/>
        </w:rPr>
        <w:t>单项金额重大的判断依据或金额标准：本公司将金额为人民币</w:t>
      </w:r>
      <w:r>
        <w:rPr>
          <w:rFonts w:ascii="Times New Roman" w:hAnsi="Times New Roman" w:cs="Times New Roman" w:eastAsia="Times New Roman" w:hint="default"/>
          <w:spacing w:val="-1"/>
        </w:rPr>
        <w:t>100.00</w:t>
      </w:r>
      <w:r>
        <w:rPr>
          <w:spacing w:val="-1"/>
        </w:rPr>
        <w:t>万元以上的应收账款及</w:t>
      </w:r>
      <w:r>
        <w:rPr>
          <w:rFonts w:ascii="Times New Roman" w:hAnsi="Times New Roman" w:cs="Times New Roman" w:eastAsia="Times New Roman" w:hint="default"/>
          <w:spacing w:val="-1"/>
        </w:rPr>
        <w:t>50.00</w:t>
      </w:r>
      <w:r>
        <w:rPr>
          <w:spacing w:val="-1"/>
        </w:rPr>
        <w:t>万元</w:t>
      </w:r>
    </w:p>
    <w:p>
      <w:pPr>
        <w:pStyle w:val="BodyText"/>
        <w:spacing w:line="408" w:lineRule="auto" w:before="14"/>
        <w:ind w:left="573" w:right="5921" w:hanging="420"/>
        <w:jc w:val="left"/>
      </w:pPr>
      <w:r>
        <w:rPr/>
        <w:t>以上的其他应收款确认为单项金额重大的应收款项。 单项金额重大并单独计提坏账准备的计提方法：</w:t>
      </w:r>
    </w:p>
    <w:p>
      <w:pPr>
        <w:pStyle w:val="BodyText"/>
        <w:spacing w:line="408" w:lineRule="auto"/>
        <w:ind w:left="153" w:right="1131" w:firstLine="420"/>
        <w:jc w:val="both"/>
      </w:pPr>
      <w:r>
        <w:rPr>
          <w:spacing w:val="-1"/>
        </w:rPr>
        <w:t>本公司对单项金额重大的应收款项单独进行减值测试，如有客观证据表明其已发生减值，按预计未来</w:t>
      </w:r>
      <w:r>
        <w:rPr/>
        <w:t> </w:t>
      </w:r>
      <w:r>
        <w:rPr>
          <w:spacing w:val="-1"/>
        </w:rPr>
        <w:t>现金流量现值低于其账面价值的差额计提坏账准备，计入当期损益。单独测试未发生减值的应收款项，将</w:t>
      </w:r>
      <w:r>
        <w:rPr>
          <w:spacing w:val="-83"/>
        </w:rPr>
        <w:t> </w:t>
      </w:r>
      <w:r>
        <w:rPr>
          <w:spacing w:val="-83"/>
        </w:rPr>
      </w:r>
      <w:r>
        <w:rPr>
          <w:spacing w:val="-1"/>
        </w:rPr>
        <w:t>其归入相应信用风险特征组合计提坏账准备。其中，合并范围内的关联方、押金、保证金不计提坏账；其</w:t>
      </w:r>
      <w:r>
        <w:rPr>
          <w:spacing w:val="-83"/>
        </w:rPr>
        <w:t> </w:t>
      </w:r>
      <w:r>
        <w:rPr>
          <w:spacing w:val="-83"/>
        </w:rPr>
      </w:r>
      <w:r>
        <w:rPr/>
        <w:t>他关联方及非关联方的应收款项，以账龄为信用风险组合，按账龄分析法计提坏账准备。</w:t>
      </w:r>
    </w:p>
    <w:p>
      <w:pPr>
        <w:pStyle w:val="BodyText"/>
        <w:spacing w:line="240" w:lineRule="auto"/>
        <w:ind w:left="573" w:right="1113"/>
        <w:jc w:val="left"/>
      </w:pPr>
      <w:r>
        <w:rPr/>
        <w:t>②按信用风险特征组合计提坏账准备应收款项：</w:t>
      </w:r>
    </w:p>
    <w:p>
      <w:pPr>
        <w:spacing w:line="240" w:lineRule="auto" w:before="5"/>
        <w:rPr>
          <w:rFonts w:ascii="宋体" w:hAnsi="宋体" w:cs="宋体" w:eastAsia="宋体" w:hint="default"/>
          <w:sz w:val="10"/>
          <w:szCs w:val="10"/>
        </w:rPr>
      </w:pPr>
    </w:p>
    <w:tbl>
      <w:tblPr>
        <w:tblW w:w="0" w:type="auto"/>
        <w:jc w:val="left"/>
        <w:tblInd w:w="577" w:type="dxa"/>
        <w:tblLayout w:type="fixed"/>
        <w:tblCellMar>
          <w:top w:w="0" w:type="dxa"/>
          <w:left w:w="0" w:type="dxa"/>
          <w:bottom w:w="0" w:type="dxa"/>
          <w:right w:w="0" w:type="dxa"/>
        </w:tblCellMar>
        <w:tblLook w:val="01E0"/>
      </w:tblPr>
      <w:tblGrid>
        <w:gridCol w:w="2724"/>
        <w:gridCol w:w="6206"/>
      </w:tblGrid>
      <w:tr>
        <w:trPr>
          <w:trHeight w:val="326" w:hRule="exact"/>
        </w:trPr>
        <w:tc>
          <w:tcPr>
            <w:tcW w:w="8930" w:type="dxa"/>
            <w:gridSpan w:val="2"/>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14"/>
              <w:ind w:left="14"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43" w:hRule="exact"/>
        </w:trPr>
        <w:tc>
          <w:tcPr>
            <w:tcW w:w="2724"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6206" w:type="dxa"/>
            <w:tcBorders>
              <w:top w:val="single" w:sz="6" w:space="0" w:color="BFBFBF"/>
              <w:left w:val="single" w:sz="2" w:space="0" w:color="000000"/>
              <w:bottom w:val="single" w:sz="2" w:space="0" w:color="000000"/>
              <w:right w:val="single" w:sz="2"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除保证金等外无特殊减值迹象的应收款项</w:t>
            </w:r>
          </w:p>
        </w:tc>
      </w:tr>
      <w:tr>
        <w:trPr>
          <w:trHeight w:val="341" w:hRule="exact"/>
        </w:trPr>
        <w:tc>
          <w:tcPr>
            <w:tcW w:w="2724"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合并关联方、保证金等组合</w:t>
            </w:r>
          </w:p>
        </w:tc>
        <w:tc>
          <w:tcPr>
            <w:tcW w:w="6206" w:type="dxa"/>
            <w:tcBorders>
              <w:top w:val="single" w:sz="2" w:space="0" w:color="000000"/>
              <w:left w:val="single" w:sz="2" w:space="0" w:color="000000"/>
              <w:bottom w:val="single" w:sz="4" w:space="0" w:color="BFBFBF"/>
              <w:right w:val="single" w:sz="2"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保证金等无减值迹象的应收款项</w:t>
            </w:r>
          </w:p>
        </w:tc>
      </w:tr>
      <w:tr>
        <w:trPr>
          <w:trHeight w:val="326" w:hRule="exact"/>
        </w:trPr>
        <w:tc>
          <w:tcPr>
            <w:tcW w:w="8930" w:type="dxa"/>
            <w:gridSpan w:val="2"/>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16"/>
              <w:ind w:left="2670"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按信用风险特征组合计提坏账准备的计提方法</w:t>
            </w:r>
          </w:p>
        </w:tc>
      </w:tr>
      <w:tr>
        <w:trPr>
          <w:trHeight w:val="343" w:hRule="exact"/>
        </w:trPr>
        <w:tc>
          <w:tcPr>
            <w:tcW w:w="2724"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6"/>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6206" w:type="dxa"/>
            <w:tcBorders>
              <w:top w:val="single" w:sz="6" w:space="0" w:color="BFBFBF"/>
              <w:left w:val="single" w:sz="2" w:space="0" w:color="000000"/>
              <w:bottom w:val="single" w:sz="2" w:space="0" w:color="000000"/>
              <w:right w:val="single" w:sz="2" w:space="0" w:color="000000"/>
            </w:tcBorders>
          </w:tcPr>
          <w:p>
            <w:pPr>
              <w:pStyle w:val="TableParagraph"/>
              <w:spacing w:line="240" w:lineRule="auto" w:before="21"/>
              <w:ind w:left="26"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337" w:hRule="exact"/>
        </w:trPr>
        <w:tc>
          <w:tcPr>
            <w:tcW w:w="2724"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合并关联方、保证金等组合</w:t>
            </w:r>
          </w:p>
        </w:tc>
        <w:tc>
          <w:tcPr>
            <w:tcW w:w="62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26"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63"/>
        <w:ind w:left="574" w:right="1113"/>
        <w:jc w:val="left"/>
      </w:pPr>
      <w:r>
        <w:rPr/>
        <w:t>组合中，采用账龄分析法计提坏账准备的：</w:t>
      </w:r>
    </w:p>
    <w:p>
      <w:pPr>
        <w:spacing w:line="240" w:lineRule="auto" w:before="7"/>
        <w:rPr>
          <w:rFonts w:ascii="宋体" w:hAnsi="宋体" w:cs="宋体" w:eastAsia="宋体" w:hint="default"/>
          <w:sz w:val="10"/>
          <w:szCs w:val="10"/>
        </w:rPr>
      </w:pPr>
    </w:p>
    <w:tbl>
      <w:tblPr>
        <w:tblW w:w="0" w:type="auto"/>
        <w:jc w:val="left"/>
        <w:tblInd w:w="577" w:type="dxa"/>
        <w:tblLayout w:type="fixed"/>
        <w:tblCellMar>
          <w:top w:w="0" w:type="dxa"/>
          <w:left w:w="0" w:type="dxa"/>
          <w:bottom w:w="0" w:type="dxa"/>
          <w:right w:w="0" w:type="dxa"/>
        </w:tblCellMar>
        <w:tblLook w:val="01E0"/>
      </w:tblPr>
      <w:tblGrid>
        <w:gridCol w:w="2993"/>
        <w:gridCol w:w="2528"/>
        <w:gridCol w:w="3409"/>
      </w:tblGrid>
      <w:tr>
        <w:trPr>
          <w:trHeight w:val="329" w:hRule="exact"/>
        </w:trPr>
        <w:tc>
          <w:tcPr>
            <w:tcW w:w="2993"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528"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13"/>
              <w:ind w:left="285" w:right="0"/>
              <w:jc w:val="left"/>
              <w:rPr>
                <w:rFonts w:ascii="宋体" w:hAnsi="宋体" w:cs="宋体" w:eastAsia="宋体"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409"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13"/>
              <w:ind w:left="635"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37" w:hRule="exact"/>
        </w:trPr>
        <w:tc>
          <w:tcPr>
            <w:tcW w:w="2993"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528" w:type="dxa"/>
            <w:tcBorders>
              <w:top w:val="single" w:sz="6" w:space="0" w:color="BFBFBF"/>
              <w:left w:val="single" w:sz="2" w:space="0" w:color="000000"/>
              <w:bottom w:val="single" w:sz="2" w:space="0" w:color="000000"/>
              <w:right w:val="single" w:sz="2" w:space="0" w:color="000000"/>
            </w:tcBorders>
          </w:tcPr>
          <w:p>
            <w:pPr>
              <w:pStyle w:val="TableParagraph"/>
              <w:spacing w:line="240" w:lineRule="auto" w:before="54"/>
              <w:ind w:left="1387" w:right="0"/>
              <w:jc w:val="left"/>
              <w:rPr>
                <w:rFonts w:ascii="Times New Roman" w:hAnsi="Times New Roman" w:cs="Times New Roman" w:eastAsia="Times New Roman" w:hint="default"/>
                <w:sz w:val="18"/>
                <w:szCs w:val="18"/>
              </w:rPr>
            </w:pPr>
            <w:r>
              <w:rPr>
                <w:rFonts w:ascii="Times New Roman"/>
                <w:sz w:val="18"/>
              </w:rPr>
              <w:t>5.00</w:t>
            </w:r>
          </w:p>
        </w:tc>
        <w:tc>
          <w:tcPr>
            <w:tcW w:w="3409" w:type="dxa"/>
            <w:tcBorders>
              <w:top w:val="single" w:sz="6" w:space="0" w:color="BFBFBF"/>
              <w:left w:val="single" w:sz="2" w:space="0" w:color="000000"/>
              <w:bottom w:val="single" w:sz="2" w:space="0" w:color="000000"/>
              <w:right w:val="single" w:sz="2" w:space="0" w:color="000000"/>
            </w:tcBorders>
          </w:tcPr>
          <w:p>
            <w:pPr>
              <w:pStyle w:val="TableParagraph"/>
              <w:spacing w:line="240" w:lineRule="auto" w:before="54"/>
              <w:ind w:left="566" w:right="0"/>
              <w:jc w:val="center"/>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577" w:type="dxa"/>
        <w:tblLayout w:type="fixed"/>
        <w:tblCellMar>
          <w:top w:w="0" w:type="dxa"/>
          <w:left w:w="0" w:type="dxa"/>
          <w:bottom w:w="0" w:type="dxa"/>
          <w:right w:w="0" w:type="dxa"/>
        </w:tblCellMar>
        <w:tblLook w:val="01E0"/>
      </w:tblPr>
      <w:tblGrid>
        <w:gridCol w:w="2993"/>
        <w:gridCol w:w="2528"/>
        <w:gridCol w:w="3409"/>
      </w:tblGrid>
      <w:tr>
        <w:trPr>
          <w:trHeight w:val="337" w:hRule="exact"/>
        </w:trPr>
        <w:tc>
          <w:tcPr>
            <w:tcW w:w="2993"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5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773"/>
              <w:jc w:val="right"/>
              <w:rPr>
                <w:rFonts w:ascii="Times New Roman" w:hAnsi="Times New Roman" w:cs="Times New Roman" w:eastAsia="Times New Roman" w:hint="default"/>
                <w:sz w:val="18"/>
                <w:szCs w:val="18"/>
              </w:rPr>
            </w:pPr>
            <w:r>
              <w:rPr>
                <w:rFonts w:ascii="Times New Roman"/>
                <w:sz w:val="18"/>
              </w:rPr>
              <w:t>10.00</w:t>
            </w:r>
          </w:p>
        </w:tc>
        <w:tc>
          <w:tcPr>
            <w:tcW w:w="34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213"/>
              <w:jc w:val="right"/>
              <w:rPr>
                <w:rFonts w:ascii="Times New Roman" w:hAnsi="Times New Roman" w:cs="Times New Roman" w:eastAsia="Times New Roman" w:hint="default"/>
                <w:sz w:val="18"/>
                <w:szCs w:val="18"/>
              </w:rPr>
            </w:pPr>
            <w:r>
              <w:rPr>
                <w:rFonts w:ascii="Times New Roman"/>
                <w:sz w:val="18"/>
              </w:rPr>
              <w:t>10.00</w:t>
            </w:r>
          </w:p>
        </w:tc>
      </w:tr>
      <w:tr>
        <w:trPr>
          <w:trHeight w:val="337" w:hRule="exact"/>
        </w:trPr>
        <w:tc>
          <w:tcPr>
            <w:tcW w:w="2993"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5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773"/>
              <w:jc w:val="right"/>
              <w:rPr>
                <w:rFonts w:ascii="Times New Roman" w:hAnsi="Times New Roman" w:cs="Times New Roman" w:eastAsia="Times New Roman" w:hint="default"/>
                <w:sz w:val="18"/>
                <w:szCs w:val="18"/>
              </w:rPr>
            </w:pPr>
            <w:r>
              <w:rPr>
                <w:rFonts w:ascii="Times New Roman"/>
                <w:sz w:val="18"/>
              </w:rPr>
              <w:t>30.00</w:t>
            </w:r>
          </w:p>
        </w:tc>
        <w:tc>
          <w:tcPr>
            <w:tcW w:w="34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213"/>
              <w:jc w:val="right"/>
              <w:rPr>
                <w:rFonts w:ascii="Times New Roman" w:hAnsi="Times New Roman" w:cs="Times New Roman" w:eastAsia="Times New Roman" w:hint="default"/>
                <w:sz w:val="18"/>
                <w:szCs w:val="18"/>
              </w:rPr>
            </w:pPr>
            <w:r>
              <w:rPr>
                <w:rFonts w:ascii="Times New Roman"/>
                <w:sz w:val="18"/>
              </w:rPr>
              <w:t>30.00</w:t>
            </w:r>
          </w:p>
        </w:tc>
      </w:tr>
      <w:tr>
        <w:trPr>
          <w:trHeight w:val="336" w:hRule="exact"/>
        </w:trPr>
        <w:tc>
          <w:tcPr>
            <w:tcW w:w="2993"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25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773"/>
              <w:jc w:val="right"/>
              <w:rPr>
                <w:rFonts w:ascii="Times New Roman" w:hAnsi="Times New Roman" w:cs="Times New Roman" w:eastAsia="Times New Roman" w:hint="default"/>
                <w:sz w:val="18"/>
                <w:szCs w:val="18"/>
              </w:rPr>
            </w:pPr>
            <w:r>
              <w:rPr>
                <w:rFonts w:ascii="Times New Roman"/>
                <w:sz w:val="18"/>
              </w:rPr>
              <w:t>50.00</w:t>
            </w:r>
          </w:p>
        </w:tc>
        <w:tc>
          <w:tcPr>
            <w:tcW w:w="34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213"/>
              <w:jc w:val="right"/>
              <w:rPr>
                <w:rFonts w:ascii="Times New Roman" w:hAnsi="Times New Roman" w:cs="Times New Roman" w:eastAsia="Times New Roman" w:hint="default"/>
                <w:sz w:val="18"/>
                <w:szCs w:val="18"/>
              </w:rPr>
            </w:pPr>
            <w:r>
              <w:rPr>
                <w:rFonts w:ascii="Times New Roman"/>
                <w:sz w:val="18"/>
              </w:rPr>
              <w:t>50.00</w:t>
            </w:r>
          </w:p>
        </w:tc>
      </w:tr>
      <w:tr>
        <w:trPr>
          <w:trHeight w:val="337" w:hRule="exact"/>
        </w:trPr>
        <w:tc>
          <w:tcPr>
            <w:tcW w:w="2993"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5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728"/>
              <w:jc w:val="right"/>
              <w:rPr>
                <w:rFonts w:ascii="Times New Roman" w:hAnsi="Times New Roman" w:cs="Times New Roman" w:eastAsia="Times New Roman" w:hint="default"/>
                <w:sz w:val="18"/>
                <w:szCs w:val="18"/>
              </w:rPr>
            </w:pPr>
            <w:r>
              <w:rPr>
                <w:rFonts w:ascii="Times New Roman"/>
                <w:sz w:val="18"/>
              </w:rPr>
              <w:t>100.00</w:t>
            </w:r>
          </w:p>
        </w:tc>
        <w:tc>
          <w:tcPr>
            <w:tcW w:w="34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169"/>
              <w:jc w:val="right"/>
              <w:rPr>
                <w:rFonts w:ascii="Times New Roman" w:hAnsi="Times New Roman" w:cs="Times New Roman" w:eastAsia="Times New Roman" w:hint="default"/>
                <w:sz w:val="18"/>
                <w:szCs w:val="18"/>
              </w:rPr>
            </w:pPr>
            <w:r>
              <w:rPr>
                <w:rFonts w:ascii="Times New Roman"/>
                <w:sz w:val="18"/>
              </w:rPr>
              <w:t>100.00</w:t>
            </w:r>
          </w:p>
        </w:tc>
      </w:tr>
      <w:tr>
        <w:trPr>
          <w:trHeight w:val="337" w:hRule="exact"/>
        </w:trPr>
        <w:tc>
          <w:tcPr>
            <w:tcW w:w="2993"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5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728"/>
              <w:jc w:val="right"/>
              <w:rPr>
                <w:rFonts w:ascii="Times New Roman" w:hAnsi="Times New Roman" w:cs="Times New Roman" w:eastAsia="Times New Roman" w:hint="default"/>
                <w:sz w:val="18"/>
                <w:szCs w:val="18"/>
              </w:rPr>
            </w:pPr>
            <w:r>
              <w:rPr>
                <w:rFonts w:ascii="Times New Roman"/>
                <w:sz w:val="18"/>
              </w:rPr>
              <w:t>100.00</w:t>
            </w:r>
          </w:p>
        </w:tc>
        <w:tc>
          <w:tcPr>
            <w:tcW w:w="34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16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63"/>
        <w:ind w:left="574" w:right="1113"/>
        <w:jc w:val="left"/>
      </w:pPr>
      <w:r>
        <w:rPr/>
        <w:t>组合中，采用其他方法计提坏账准备的：</w:t>
      </w:r>
    </w:p>
    <w:p>
      <w:pPr>
        <w:spacing w:line="240" w:lineRule="auto" w:before="7"/>
        <w:rPr>
          <w:rFonts w:ascii="宋体" w:hAnsi="宋体" w:cs="宋体" w:eastAsia="宋体" w:hint="default"/>
          <w:sz w:val="10"/>
          <w:szCs w:val="10"/>
        </w:rPr>
      </w:pPr>
    </w:p>
    <w:tbl>
      <w:tblPr>
        <w:tblW w:w="0" w:type="auto"/>
        <w:jc w:val="left"/>
        <w:tblInd w:w="577" w:type="dxa"/>
        <w:tblLayout w:type="fixed"/>
        <w:tblCellMar>
          <w:top w:w="0" w:type="dxa"/>
          <w:left w:w="0" w:type="dxa"/>
          <w:bottom w:w="0" w:type="dxa"/>
          <w:right w:w="0" w:type="dxa"/>
        </w:tblCellMar>
        <w:tblLook w:val="01E0"/>
      </w:tblPr>
      <w:tblGrid>
        <w:gridCol w:w="2977"/>
        <w:gridCol w:w="2635"/>
        <w:gridCol w:w="3318"/>
      </w:tblGrid>
      <w:tr>
        <w:trPr>
          <w:trHeight w:val="329" w:hRule="exact"/>
        </w:trPr>
        <w:tc>
          <w:tcPr>
            <w:tcW w:w="2977"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635"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318"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37" w:hRule="exact"/>
        </w:trPr>
        <w:tc>
          <w:tcPr>
            <w:tcW w:w="2977" w:type="dxa"/>
            <w:tcBorders>
              <w:top w:val="single" w:sz="6" w:space="0" w:color="BFBFBF"/>
              <w:left w:val="single" w:sz="2" w:space="0" w:color="000000"/>
              <w:bottom w:val="single" w:sz="2" w:space="0" w:color="000000"/>
              <w:right w:val="single" w:sz="2" w:space="0" w:color="000000"/>
            </w:tcBorders>
          </w:tcPr>
          <w:p>
            <w:pPr>
              <w:pStyle w:val="TableParagraph"/>
              <w:spacing w:line="240" w:lineRule="auto" w:before="16"/>
              <w:ind w:left="7" w:right="0"/>
              <w:jc w:val="left"/>
              <w:rPr>
                <w:rFonts w:ascii="宋体" w:hAnsi="宋体" w:cs="宋体" w:eastAsia="宋体" w:hint="default"/>
                <w:sz w:val="18"/>
                <w:szCs w:val="18"/>
              </w:rPr>
            </w:pPr>
            <w:r>
              <w:rPr>
                <w:rFonts w:ascii="宋体" w:hAnsi="宋体" w:cs="宋体" w:eastAsia="宋体" w:hint="default"/>
                <w:sz w:val="18"/>
                <w:szCs w:val="18"/>
              </w:rPr>
              <w:t>合并关联方组合</w:t>
            </w:r>
          </w:p>
        </w:tc>
        <w:tc>
          <w:tcPr>
            <w:tcW w:w="26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不计提坏账</w:t>
            </w:r>
          </w:p>
        </w:tc>
        <w:tc>
          <w:tcPr>
            <w:tcW w:w="3318" w:type="dxa"/>
            <w:tcBorders>
              <w:top w:val="single" w:sz="6" w:space="0" w:color="BFBFBF"/>
              <w:left w:val="single" w:sz="2" w:space="0" w:color="000000"/>
              <w:bottom w:val="single" w:sz="2" w:space="0" w:color="000000"/>
              <w:right w:val="single" w:sz="2"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不计提坏账</w:t>
            </w:r>
          </w:p>
        </w:tc>
      </w:tr>
      <w:tr>
        <w:trPr>
          <w:trHeight w:val="337" w:hRule="exact"/>
        </w:trPr>
        <w:tc>
          <w:tcPr>
            <w:tcW w:w="29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保证金等组合</w:t>
            </w:r>
          </w:p>
        </w:tc>
        <w:tc>
          <w:tcPr>
            <w:tcW w:w="26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不计提坏账</w:t>
            </w:r>
          </w:p>
        </w:tc>
        <w:tc>
          <w:tcPr>
            <w:tcW w:w="3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不计提坏账</w:t>
            </w:r>
          </w:p>
        </w:tc>
      </w:tr>
    </w:tbl>
    <w:p>
      <w:pPr>
        <w:pStyle w:val="BodyText"/>
        <w:spacing w:line="408" w:lineRule="auto" w:before="63"/>
        <w:ind w:left="573" w:right="1511"/>
        <w:jc w:val="left"/>
      </w:pPr>
      <w:r>
        <w:rPr/>
        <w:t>③单项金额不重大但单独计提坏账准备的应收款项： 单独计提坏账准备的理由：如果有客观证据表明其发生了减值的应收款项，单独确认减值损失。 坏账准备的计提方法：如果有客观证据表明其发生了减值的应收款项，单独确认减值损失。</w:t>
      </w:r>
    </w:p>
    <w:p>
      <w:pPr>
        <w:pStyle w:val="BodyText"/>
        <w:spacing w:line="386" w:lineRule="auto"/>
        <w:ind w:left="574" w:right="3820"/>
        <w:jc w:val="left"/>
      </w:pPr>
      <w:r>
        <w:rPr/>
        <w:t>（</w:t>
      </w:r>
      <w:r>
        <w:rPr>
          <w:rFonts w:ascii="Times New Roman" w:hAnsi="Times New Roman" w:cs="Times New Roman" w:eastAsia="Times New Roman" w:hint="default"/>
        </w:rPr>
        <w:t>3</w:t>
      </w:r>
      <w:r>
        <w:rPr/>
        <w:t>）持有至到期投资的减值准备： 持有至到期投资减值损失的计量比照应收款项减值损失计量方法处理。</w:t>
      </w:r>
    </w:p>
    <w:p>
      <w:pPr>
        <w:spacing w:line="240" w:lineRule="auto" w:before="0"/>
        <w:rPr>
          <w:rFonts w:ascii="宋体" w:hAnsi="宋体" w:cs="宋体" w:eastAsia="宋体" w:hint="default"/>
          <w:sz w:val="22"/>
          <w:szCs w:val="22"/>
        </w:rPr>
      </w:pPr>
    </w:p>
    <w:p>
      <w:pPr>
        <w:spacing w:line="614" w:lineRule="auto" w:before="0"/>
        <w:ind w:left="154" w:right="87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、应收票据</w:t>
      </w:r>
      <w:r>
        <w:rPr>
          <w:rFonts w:ascii="宋体" w:hAnsi="宋体" w:cs="宋体" w:eastAsia="宋体" w:hint="default"/>
          <w:b/>
          <w:bCs/>
          <w:w w:val="99"/>
          <w:sz w:val="21"/>
          <w:szCs w:val="21"/>
        </w:rPr>
        <w:t> </w:t>
      </w:r>
      <w:r>
        <w:rPr>
          <w:rFonts w:ascii="宋体" w:hAnsi="宋体" w:cs="宋体" w:eastAsia="宋体" w:hint="default"/>
          <w:sz w:val="18"/>
          <w:szCs w:val="18"/>
        </w:rPr>
        <w:t>详见本附注</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BodyText"/>
        <w:spacing w:line="240" w:lineRule="auto" w:before="39"/>
        <w:ind w:left="573" w:right="1113"/>
        <w:jc w:val="left"/>
      </w:pPr>
      <w:r>
        <w:rPr/>
        <w:t>详见本附注“金融工具”。</w:t>
      </w:r>
    </w:p>
    <w:p>
      <w:pPr>
        <w:spacing w:line="240" w:lineRule="auto" w:before="0"/>
        <w:rPr>
          <w:rFonts w:ascii="宋体" w:hAnsi="宋体" w:cs="宋体" w:eastAsia="宋体" w:hint="default"/>
          <w:sz w:val="20"/>
          <w:szCs w:val="20"/>
        </w:rPr>
      </w:pPr>
    </w:p>
    <w:p>
      <w:pPr>
        <w:spacing w:line="571" w:lineRule="auto" w:before="152"/>
        <w:ind w:left="573" w:right="7811"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、应收款项融资</w:t>
      </w:r>
      <w:r>
        <w:rPr>
          <w:rFonts w:ascii="宋体" w:hAnsi="宋体" w:cs="宋体" w:eastAsia="宋体" w:hint="default"/>
          <w:b/>
          <w:bCs/>
          <w:spacing w:val="1"/>
          <w:w w:val="99"/>
          <w:sz w:val="21"/>
          <w:szCs w:val="21"/>
        </w:rPr>
        <w:t> </w:t>
      </w:r>
      <w:r>
        <w:rPr>
          <w:rFonts w:ascii="宋体" w:hAnsi="宋体" w:cs="宋体" w:eastAsia="宋体" w:hint="default"/>
          <w:sz w:val="21"/>
          <w:szCs w:val="21"/>
        </w:rPr>
        <w:t>详见本附注“金融工具”。</w:t>
      </w:r>
    </w:p>
    <w:p>
      <w:pPr>
        <w:pStyle w:val="Heading3"/>
        <w:spacing w:line="240" w:lineRule="auto" w:before="125"/>
        <w:ind w:left="153" w:right="1113"/>
        <w:jc w:val="left"/>
        <w:rPr>
          <w:b w:val="0"/>
          <w:bCs w:val="0"/>
        </w:rPr>
      </w:pPr>
      <w:r>
        <w:rPr>
          <w:rFonts w:ascii="Times New Roman" w:hAnsi="Times New Roman" w:cs="Times New Roman" w:eastAsia="Times New Roman" w:hint="default"/>
        </w:rPr>
        <w:t>14</w:t>
      </w:r>
      <w:r>
        <w:rPr/>
        <w:t>、其他应收款</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宋体" w:hAnsi="宋体" w:cs="宋体" w:eastAsia="宋体" w:hint="default"/>
          <w:sz w:val="18"/>
          <w:szCs w:val="18"/>
        </w:rPr>
        <w:t>其他应收款的预期信用损失的确定方法及会计处理方法</w:t>
      </w:r>
    </w:p>
    <w:p>
      <w:pPr>
        <w:spacing w:line="240" w:lineRule="auto" w:before="11"/>
        <w:rPr>
          <w:rFonts w:ascii="宋体" w:hAnsi="宋体" w:cs="宋体" w:eastAsia="宋体" w:hint="default"/>
          <w:sz w:val="18"/>
          <w:szCs w:val="18"/>
        </w:rPr>
      </w:pPr>
    </w:p>
    <w:p>
      <w:pPr>
        <w:pStyle w:val="BodyText"/>
        <w:spacing w:line="240" w:lineRule="auto" w:before="0"/>
        <w:ind w:left="574" w:right="1113"/>
        <w:jc w:val="left"/>
      </w:pPr>
      <w:r>
        <w:rPr/>
        <w:t>详见本附注“金融工具”。</w:t>
      </w:r>
    </w:p>
    <w:p>
      <w:pPr>
        <w:spacing w:line="240" w:lineRule="auto" w:before="0"/>
        <w:rPr>
          <w:rFonts w:ascii="宋体" w:hAnsi="宋体" w:cs="宋体" w:eastAsia="宋体" w:hint="default"/>
          <w:sz w:val="20"/>
          <w:szCs w:val="20"/>
        </w:rPr>
      </w:pPr>
    </w:p>
    <w:p>
      <w:pPr>
        <w:pStyle w:val="Heading3"/>
        <w:spacing w:line="240" w:lineRule="auto" w:before="154"/>
        <w:ind w:right="1113"/>
        <w:jc w:val="left"/>
        <w:rPr>
          <w:b w:val="0"/>
          <w:bCs w:val="0"/>
        </w:rPr>
      </w:pPr>
      <w:r>
        <w:rPr>
          <w:rFonts w:ascii="Times New Roman" w:hAnsi="Times New Roman" w:cs="Times New Roman" w:eastAsia="Times New Roman" w:hint="default"/>
        </w:rPr>
        <w:t>15</w:t>
      </w:r>
      <w:r>
        <w:rPr/>
        <w:t>、存货</w:t>
      </w:r>
      <w:r>
        <w:rPr>
          <w:b w:val="0"/>
          <w:bCs w:val="0"/>
        </w:rPr>
      </w:r>
    </w:p>
    <w:p>
      <w:pPr>
        <w:spacing w:line="240" w:lineRule="auto" w:before="7"/>
        <w:rPr>
          <w:rFonts w:ascii="宋体" w:hAnsi="宋体" w:cs="宋体" w:eastAsia="宋体" w:hint="default"/>
          <w:b/>
          <w:bCs/>
          <w:sz w:val="30"/>
          <w:szCs w:val="30"/>
        </w:rPr>
      </w:pPr>
    </w:p>
    <w:p>
      <w:pPr>
        <w:pStyle w:val="BodyText"/>
        <w:spacing w:line="386" w:lineRule="auto" w:before="0"/>
        <w:ind w:left="573" w:right="4241"/>
        <w:jc w:val="left"/>
      </w:pPr>
      <w:r>
        <w:rPr/>
        <w:t>（</w:t>
      </w:r>
      <w:r>
        <w:rPr>
          <w:rFonts w:ascii="Times New Roman" w:hAnsi="Times New Roman" w:cs="Times New Roman" w:eastAsia="Times New Roman" w:hint="default"/>
        </w:rPr>
        <w:t>1</w:t>
      </w:r>
      <w:r>
        <w:rPr/>
        <w:t>）存货的分类 存货分类为：原材料、在产品及半成品、发出商品、库存商品等。</w:t>
      </w:r>
    </w:p>
    <w:p>
      <w:pPr>
        <w:spacing w:after="0" w:line="386"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386" w:lineRule="auto" w:before="35"/>
        <w:ind w:left="574" w:right="7390"/>
        <w:jc w:val="left"/>
      </w:pPr>
      <w:r>
        <w:rPr/>
        <w:t>（</w:t>
      </w:r>
      <w:r>
        <w:rPr>
          <w:rFonts w:ascii="Times New Roman" w:hAnsi="Times New Roman" w:cs="Times New Roman" w:eastAsia="Times New Roman" w:hint="default"/>
        </w:rPr>
        <w:t>2</w:t>
      </w:r>
      <w:r>
        <w:rPr/>
        <w:t>）发出存货的计价方法 存货发出时按加权平均法计价。</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386" w:lineRule="auto" w:before="0"/>
        <w:ind w:left="574" w:right="1113"/>
        <w:jc w:val="left"/>
      </w:pPr>
      <w:r>
        <w:rPr/>
        <w:t>（</w:t>
      </w:r>
      <w:r>
        <w:rPr>
          <w:rFonts w:ascii="Times New Roman" w:hAnsi="Times New Roman" w:cs="Times New Roman" w:eastAsia="Times New Roman" w:hint="default"/>
        </w:rPr>
        <w:t>3</w:t>
      </w:r>
      <w:r>
        <w:rPr/>
        <w:t>）不同类别存货可变现净值的确定依据 </w:t>
      </w:r>
      <w:r>
        <w:rPr>
          <w:spacing w:val="-1"/>
        </w:rPr>
        <w:t>产成品、库存商品和用于出售的材料等直接用于出售的商品存货，在正常生产经营过程中，以该存货</w:t>
      </w:r>
    </w:p>
    <w:p>
      <w:pPr>
        <w:pStyle w:val="BodyText"/>
        <w:spacing w:line="408" w:lineRule="auto" w:before="65"/>
        <w:ind w:right="1131"/>
        <w:jc w:val="both"/>
      </w:pPr>
      <w:r>
        <w:rPr>
          <w:spacing w:val="-1"/>
        </w:rPr>
        <w:t>的估计售价减去估计的销售费用和相关税费后的金额，确定其可变现净值；需要经过加工的材料存货，在</w:t>
      </w:r>
      <w:r>
        <w:rPr>
          <w:spacing w:val="-83"/>
        </w:rPr>
        <w:t> </w:t>
      </w:r>
      <w:r>
        <w:rPr>
          <w:spacing w:val="-83"/>
        </w:rPr>
      </w:r>
      <w:r>
        <w:rPr>
          <w:spacing w:val="-1"/>
        </w:rPr>
        <w:t>正常生产经营过程中，以所生产的产成品的估计售价减去至完工时估计将要发生的成本、估计的销售费用</w:t>
      </w:r>
      <w:r>
        <w:rPr>
          <w:spacing w:val="-81"/>
        </w:rPr>
        <w:t> </w:t>
      </w:r>
      <w:r>
        <w:rPr>
          <w:spacing w:val="-81"/>
        </w:rPr>
      </w:r>
      <w:r>
        <w:rPr>
          <w:spacing w:val="-1"/>
        </w:rPr>
        <w:t>和相关税费后的金额，确定其可变现净值；为执行销售合同或者劳务合同而持有的存货，其可变现净值以</w:t>
      </w:r>
      <w:r>
        <w:rPr>
          <w:spacing w:val="-83"/>
        </w:rPr>
        <w:t> </w:t>
      </w:r>
      <w:r>
        <w:rPr>
          <w:spacing w:val="-83"/>
        </w:rPr>
      </w:r>
      <w:r>
        <w:rPr>
          <w:spacing w:val="-1"/>
        </w:rPr>
        <w:t>合同价格为基础计算，若持有存货的数量多于销售合同订购数量的，超出部分的存货的可变现净值以一般</w:t>
      </w:r>
      <w:r>
        <w:rPr>
          <w:spacing w:val="-81"/>
        </w:rPr>
        <w:t> </w:t>
      </w:r>
      <w:r>
        <w:rPr>
          <w:spacing w:val="-81"/>
        </w:rPr>
      </w:r>
      <w:r>
        <w:rPr/>
        <w:t>销售价格为基础计算。</w:t>
      </w:r>
    </w:p>
    <w:p>
      <w:pPr>
        <w:pStyle w:val="BodyText"/>
        <w:spacing w:line="408" w:lineRule="auto"/>
        <w:ind w:left="153" w:right="1130" w:firstLine="420"/>
        <w:jc w:val="both"/>
      </w:pPr>
      <w:r>
        <w:rPr>
          <w:spacing w:val="-1"/>
        </w:rPr>
        <w:t>期末按照单个存货项目计提存货跌价准备；但对于数量繁多、单价较低的存货，按照存货类别计提存</w:t>
      </w:r>
      <w:r>
        <w:rPr/>
        <w:t> </w:t>
      </w:r>
      <w:r>
        <w:rPr>
          <w:spacing w:val="-1"/>
        </w:rPr>
        <w:t>货跌价准备；与在同一地区生产和销售的产品系列相关、具有相同或类似最终用途或目的，且难以与其他</w:t>
      </w:r>
      <w:r>
        <w:rPr>
          <w:spacing w:val="-83"/>
        </w:rPr>
        <w:t> </w:t>
      </w:r>
      <w:r>
        <w:rPr>
          <w:spacing w:val="-83"/>
        </w:rPr>
      </w:r>
      <w:r>
        <w:rPr/>
        <w:t>项目分开计量的存货，则合并计提存货跌价准备。</w:t>
      </w:r>
    </w:p>
    <w:p>
      <w:pPr>
        <w:pStyle w:val="BodyText"/>
        <w:spacing w:line="408" w:lineRule="auto"/>
        <w:ind w:left="153" w:right="1113" w:firstLine="420"/>
        <w:jc w:val="left"/>
      </w:pPr>
      <w:r>
        <w:rPr>
          <w:spacing w:val="-1"/>
        </w:rPr>
        <w:t>除有明确证据表明资产负债表日市场价格异常外，存货项目的可变现净值以资产负债表日市场价格为</w:t>
      </w:r>
      <w:r>
        <w:rPr/>
        <w:t> 基础确定。</w:t>
      </w:r>
    </w:p>
    <w:p>
      <w:pPr>
        <w:pStyle w:val="BodyText"/>
        <w:spacing w:line="240" w:lineRule="auto"/>
        <w:ind w:left="573" w:right="1113"/>
        <w:jc w:val="left"/>
      </w:pPr>
      <w:r>
        <w:rPr/>
        <w:t>本期期末存货项目的可变现净值以资产负债表日市场价格为基础确定。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86" w:lineRule="auto" w:before="137"/>
        <w:ind w:left="573" w:right="8336"/>
        <w:jc w:val="left"/>
      </w:pPr>
      <w:r>
        <w:rPr/>
        <w:t>（</w:t>
      </w:r>
      <w:r>
        <w:rPr>
          <w:rFonts w:ascii="Times New Roman" w:hAnsi="Times New Roman" w:cs="Times New Roman" w:eastAsia="Times New Roman" w:hint="default"/>
        </w:rPr>
        <w:t>4</w:t>
      </w:r>
      <w:r>
        <w:rPr/>
        <w:t>）存货的盘存制度 采用永续盘存制。</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0"/>
        <w:ind w:left="573" w:right="1113"/>
        <w:jc w:val="left"/>
      </w:pPr>
      <w:r>
        <w:rPr/>
        <w:t>（</w:t>
      </w:r>
      <w:r>
        <w:rPr>
          <w:rFonts w:ascii="Times New Roman" w:hAnsi="Times New Roman" w:cs="Times New Roman" w:eastAsia="Times New Roman" w:hint="default"/>
        </w:rPr>
        <w:t>5</w:t>
      </w:r>
      <w:r>
        <w:rPr/>
        <w:t>）低值易耗品和包装物的摊销方法</w:t>
      </w:r>
    </w:p>
    <w:p>
      <w:pPr>
        <w:pStyle w:val="BodyText"/>
        <w:spacing w:line="240" w:lineRule="auto" w:before="177"/>
        <w:ind w:left="573" w:right="1113"/>
        <w:jc w:val="left"/>
      </w:pPr>
      <w:r>
        <w:rPr/>
        <w:t>①低值易耗品采用一次转销法；</w:t>
      </w:r>
    </w:p>
    <w:p>
      <w:pPr>
        <w:spacing w:line="240" w:lineRule="auto" w:before="10"/>
        <w:rPr>
          <w:rFonts w:ascii="宋体" w:hAnsi="宋体" w:cs="宋体" w:eastAsia="宋体" w:hint="default"/>
          <w:sz w:val="14"/>
          <w:szCs w:val="14"/>
        </w:rPr>
      </w:pPr>
    </w:p>
    <w:p>
      <w:pPr>
        <w:pStyle w:val="BodyText"/>
        <w:spacing w:line="240" w:lineRule="auto" w:before="0"/>
        <w:ind w:left="573" w:right="1113"/>
        <w:jc w:val="left"/>
      </w:pPr>
      <w:r>
        <w:rPr/>
        <w:t>②包装物采用一次转销法。</w:t>
      </w:r>
    </w:p>
    <w:p>
      <w:pPr>
        <w:spacing w:line="670" w:lineRule="atLeast" w:before="37"/>
        <w:ind w:left="573" w:right="3611"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、持有待售资产</w:t>
      </w:r>
      <w:r>
        <w:rPr>
          <w:rFonts w:ascii="宋体" w:hAnsi="宋体" w:cs="宋体" w:eastAsia="宋体" w:hint="default"/>
          <w:b/>
          <w:bCs/>
          <w:spacing w:val="1"/>
          <w:w w:val="99"/>
          <w:sz w:val="21"/>
          <w:szCs w:val="21"/>
        </w:rPr>
        <w:t> </w:t>
      </w:r>
      <w:r>
        <w:rPr>
          <w:rFonts w:ascii="宋体" w:hAnsi="宋体" w:cs="宋体" w:eastAsia="宋体" w:hint="default"/>
          <w:sz w:val="21"/>
          <w:szCs w:val="21"/>
        </w:rPr>
        <w:t>本公司将同时满足下列条件的非流动资产或处置组划分为持有待售类别：</w:t>
      </w:r>
    </w:p>
    <w:p>
      <w:pPr>
        <w:spacing w:line="240" w:lineRule="auto" w:before="10"/>
        <w:rPr>
          <w:rFonts w:ascii="宋体" w:hAnsi="宋体" w:cs="宋体" w:eastAsia="宋体" w:hint="default"/>
          <w:sz w:val="14"/>
          <w:szCs w:val="14"/>
        </w:rPr>
      </w:pPr>
    </w:p>
    <w:p>
      <w:pPr>
        <w:pStyle w:val="BodyText"/>
        <w:spacing w:line="240" w:lineRule="auto" w:before="0"/>
        <w:ind w:left="573" w:right="1113"/>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86" w:lineRule="auto" w:before="177"/>
        <w:ind w:left="153" w:right="1196" w:firstLine="420"/>
        <w:jc w:val="left"/>
      </w:pPr>
      <w:r>
        <w:rPr/>
        <w:t>（</w:t>
      </w:r>
      <w:r>
        <w:rPr>
          <w:rFonts w:ascii="Times New Roman" w:hAnsi="Times New Roman" w:cs="Times New Roman" w:eastAsia="Times New Roman" w:hint="default"/>
        </w:rPr>
        <w:t>2</w:t>
      </w:r>
      <w:r>
        <w:rPr/>
        <w:t>）出售极可能发生，即本公司已经就一项出售计划作出决议且获得确定的购买承诺，预计出售将 在一年内完成。有关规定要求本公司相关权力机构或者监管部门批准后方可出售的，已经获得批准。</w:t>
      </w:r>
    </w:p>
    <w:p>
      <w:pPr>
        <w:spacing w:after="0" w:line="386" w:lineRule="auto"/>
        <w:jc w:val="left"/>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both"/>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7"/>
        <w:rPr>
          <w:rFonts w:ascii="宋体" w:hAnsi="宋体" w:cs="宋体" w:eastAsia="宋体" w:hint="default"/>
          <w:b/>
          <w:bCs/>
          <w:sz w:val="24"/>
          <w:szCs w:val="24"/>
        </w:rPr>
      </w:pPr>
    </w:p>
    <w:p>
      <w:pPr>
        <w:spacing w:line="321" w:lineRule="auto" w:before="0"/>
        <w:ind w:left="574" w:right="111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）共同控制、重大影响的判断标准</w:t>
      </w:r>
      <w:r>
        <w:rPr>
          <w:rFonts w:ascii="宋体" w:hAnsi="宋体" w:cs="宋体" w:eastAsia="宋体" w:hint="default"/>
          <w:b/>
          <w:bCs/>
          <w:w w:val="99"/>
          <w:sz w:val="21"/>
          <w:szCs w:val="21"/>
        </w:rPr>
        <w:t> </w:t>
      </w:r>
      <w:r>
        <w:rPr>
          <w:rFonts w:ascii="宋体" w:hAnsi="宋体" w:cs="宋体" w:eastAsia="宋体" w:hint="default"/>
          <w:spacing w:val="-1"/>
          <w:sz w:val="21"/>
          <w:szCs w:val="21"/>
        </w:rPr>
        <w:t>共同控制，是指按照相关约定对某项安排所共有的控制，并且该安排的相关活动必须经过分享控制权</w:t>
      </w:r>
    </w:p>
    <w:p>
      <w:pPr>
        <w:pStyle w:val="BodyText"/>
        <w:spacing w:line="408" w:lineRule="auto" w:before="122"/>
        <w:ind w:right="1131"/>
        <w:jc w:val="both"/>
      </w:pPr>
      <w:r>
        <w:rPr>
          <w:spacing w:val="-1"/>
        </w:rPr>
        <w:t>的参与方一致同意后才能决策。本公司与其他合营方一同对被投资单位实施共同控制且对被投资单位净资</w:t>
      </w:r>
      <w:r>
        <w:rPr>
          <w:spacing w:val="-81"/>
        </w:rPr>
        <w:t> </w:t>
      </w:r>
      <w:r>
        <w:rPr>
          <w:spacing w:val="-81"/>
        </w:rPr>
      </w:r>
      <w:r>
        <w:rPr/>
        <w:t>产享有权利的，被投资单位为本公司的合营企业。</w:t>
      </w:r>
    </w:p>
    <w:p>
      <w:pPr>
        <w:pStyle w:val="BodyText"/>
        <w:spacing w:line="408" w:lineRule="auto"/>
        <w:ind w:right="1129" w:firstLine="420"/>
        <w:jc w:val="both"/>
      </w:pPr>
      <w:r>
        <w:rPr>
          <w:spacing w:val="-1"/>
        </w:rPr>
        <w:t>重大影响，是指对一个企业的财务和经营决策有参与决策的权力，但并不能够控制或者与其他方一起</w:t>
      </w:r>
      <w:r>
        <w:rPr/>
        <w:t> 共同控制这些政策的制定。本公司能够对被投资单位施加重大影响的，被投资单位为本公司联营企业。</w:t>
      </w:r>
    </w:p>
    <w:p>
      <w:pPr>
        <w:spacing w:line="240" w:lineRule="auto" w:before="5"/>
        <w:rPr>
          <w:rFonts w:ascii="宋体" w:hAnsi="宋体" w:cs="宋体" w:eastAsia="宋体" w:hint="default"/>
          <w:sz w:val="21"/>
          <w:szCs w:val="21"/>
        </w:rPr>
      </w:pPr>
    </w:p>
    <w:p>
      <w:pPr>
        <w:pStyle w:val="Heading3"/>
        <w:spacing w:line="240" w:lineRule="auto"/>
        <w:ind w:left="576" w:right="1113"/>
        <w:jc w:val="left"/>
        <w:rPr>
          <w:b w:val="0"/>
          <w:bCs w:val="0"/>
        </w:rPr>
      </w:pPr>
      <w:r>
        <w:rPr/>
        <w:t>（</w:t>
      </w:r>
      <w:r>
        <w:rPr>
          <w:rFonts w:ascii="Times New Roman" w:hAnsi="Times New Roman" w:cs="Times New Roman" w:eastAsia="Times New Roman" w:hint="default"/>
        </w:rPr>
        <w:t>2</w:t>
      </w:r>
      <w:r>
        <w:rPr/>
        <w:t>）初始投资成本的确定</w:t>
      </w:r>
      <w:r>
        <w:rPr>
          <w:b w:val="0"/>
          <w:bCs w:val="0"/>
        </w:rPr>
      </w:r>
    </w:p>
    <w:p>
      <w:pPr>
        <w:pStyle w:val="BodyText"/>
        <w:spacing w:line="386" w:lineRule="auto" w:before="99"/>
        <w:ind w:left="574" w:right="1113"/>
        <w:jc w:val="left"/>
      </w:pPr>
      <w:r>
        <w:rPr>
          <w:rFonts w:ascii="Times New Roman" w:hAnsi="Times New Roman" w:cs="Times New Roman" w:eastAsia="Times New Roman" w:hint="default"/>
        </w:rPr>
        <w:t>1</w:t>
      </w:r>
      <w:r>
        <w:rPr/>
        <w:t>）企业合并形成的长期股权投资 </w:t>
      </w:r>
      <w:r>
        <w:rPr>
          <w:spacing w:val="-1"/>
        </w:rPr>
        <w:t>同一控制下的企业合并：公司以支付现金、转让非现金资产或承担债务方式以及以发行权益性证券作</w:t>
      </w:r>
    </w:p>
    <w:p>
      <w:pPr>
        <w:pStyle w:val="BodyText"/>
        <w:spacing w:line="408" w:lineRule="auto" w:before="65"/>
        <w:ind w:right="1129"/>
        <w:jc w:val="both"/>
      </w:pPr>
      <w:r>
        <w:rPr>
          <w:spacing w:val="-1"/>
        </w:rPr>
        <w:t>为合并对价的，在合并日按照取得被合并方所有者权益在最终控制方合并财务报表中的账面价值的份额作</w:t>
      </w:r>
      <w:r>
        <w:rPr>
          <w:spacing w:val="-81"/>
        </w:rPr>
        <w:t> </w:t>
      </w:r>
      <w:r>
        <w:rPr>
          <w:spacing w:val="-81"/>
        </w:rPr>
      </w:r>
      <w:r>
        <w:rPr>
          <w:spacing w:val="-1"/>
        </w:rPr>
        <w:t>为长期股权投资的初始投资成本。因追加投资等原因能够对同一控制下的被投资单位实施控制的，在合并</w:t>
      </w:r>
      <w:r>
        <w:rPr>
          <w:spacing w:val="-81"/>
        </w:rPr>
        <w:t> </w:t>
      </w:r>
      <w:r>
        <w:rPr>
          <w:spacing w:val="-81"/>
        </w:rPr>
      </w:r>
      <w:r>
        <w:rPr>
          <w:spacing w:val="-1"/>
        </w:rPr>
        <w:t>日根据合并后应享有被合并方净资产在最终控制方合并财务报表中的账面价值的份额，确定长期股权投资</w:t>
      </w:r>
      <w:r>
        <w:rPr>
          <w:spacing w:val="-81"/>
        </w:rPr>
        <w:t> </w:t>
      </w:r>
      <w:r>
        <w:rPr>
          <w:spacing w:val="-81"/>
        </w:rPr>
      </w:r>
      <w:r>
        <w:rPr>
          <w:spacing w:val="-1"/>
        </w:rPr>
        <w:t>的初始投资成本。合并日长期股权投资的初始投资成本，与达到合并前的长期股权投资账面价值加上合并</w:t>
      </w:r>
      <w:r>
        <w:rPr>
          <w:spacing w:val="-81"/>
        </w:rPr>
        <w:t> </w:t>
      </w:r>
      <w:r>
        <w:rPr>
          <w:spacing w:val="-81"/>
        </w:rPr>
      </w:r>
      <w:r>
        <w:rPr>
          <w:spacing w:val="-1"/>
        </w:rPr>
        <w:t>日进一步取得股份新支付对价的账面价值之和的差额，调整股本溢价，股本溢价不足冲减的，冲减留存收</w:t>
      </w:r>
      <w:r>
        <w:rPr>
          <w:spacing w:val="-83"/>
        </w:rPr>
        <w:t> </w:t>
      </w:r>
      <w:r>
        <w:rPr>
          <w:spacing w:val="-83"/>
        </w:rPr>
      </w:r>
      <w:r>
        <w:rPr/>
        <w:t>益。</w:t>
      </w:r>
    </w:p>
    <w:p>
      <w:pPr>
        <w:pStyle w:val="BodyText"/>
        <w:spacing w:line="408" w:lineRule="auto"/>
        <w:ind w:right="1129" w:firstLine="420"/>
        <w:jc w:val="both"/>
      </w:pPr>
      <w:r>
        <w:rPr>
          <w:spacing w:val="-1"/>
        </w:rPr>
        <w:t>非同一控制下的企业合并：公司按照购买日确定的合并成本作为长期股权投资的初始投资成本。因追</w:t>
      </w:r>
      <w:r>
        <w:rPr/>
        <w:t> </w:t>
      </w:r>
      <w:r>
        <w:rPr>
          <w:spacing w:val="-1"/>
        </w:rPr>
        <w:t>加投资等原因能够对非同一控制下的被投资单位实施控制的，按照原持有的股权投资账面价值加上新增投</w:t>
      </w:r>
      <w:r>
        <w:rPr>
          <w:spacing w:val="-81"/>
        </w:rPr>
        <w:t> </w:t>
      </w:r>
      <w:r>
        <w:rPr>
          <w:spacing w:val="-81"/>
        </w:rPr>
      </w:r>
      <w:r>
        <w:rPr/>
        <w:t>资成本之和，作为改按成本法核算的初始投资成本。</w:t>
      </w:r>
    </w:p>
    <w:p>
      <w:pPr>
        <w:pStyle w:val="BodyText"/>
        <w:spacing w:line="400" w:lineRule="auto"/>
        <w:ind w:left="574" w:right="1113"/>
        <w:jc w:val="left"/>
      </w:pP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1"/>
        </w:rPr>
        <w:t>在非货币性资产交换具有商业实质，且换入资产或换出资产的公允价值能够可靠计量时，以公允价值</w:t>
      </w:r>
    </w:p>
    <w:p>
      <w:pPr>
        <w:pStyle w:val="BodyText"/>
        <w:spacing w:line="408" w:lineRule="auto" w:before="52"/>
        <w:ind w:right="1129"/>
        <w:jc w:val="both"/>
      </w:pPr>
      <w:r>
        <w:rPr>
          <w:spacing w:val="-1"/>
        </w:rPr>
        <w:t>为基础计量。如换入资产和换出资产的公允价值均能可靠计量的，对于换入的长期股权投资，以换出资产</w:t>
      </w:r>
      <w:r>
        <w:rPr>
          <w:spacing w:val="-83"/>
        </w:rPr>
        <w:t> </w:t>
      </w:r>
      <w:r>
        <w:rPr>
          <w:spacing w:val="-83"/>
        </w:rPr>
      </w:r>
      <w:r>
        <w:rPr>
          <w:spacing w:val="-1"/>
        </w:rPr>
        <w:t>的公允价值和应支付的相关税费作为换入的长期股权投资的初始投资成本，除非有确凿证据表明换入资产</w:t>
      </w:r>
      <w:r>
        <w:rPr>
          <w:spacing w:val="-81"/>
        </w:rPr>
        <w:t> </w:t>
      </w:r>
      <w:r>
        <w:rPr>
          <w:spacing w:val="-81"/>
        </w:rPr>
      </w:r>
      <w:r>
        <w:rPr>
          <w:spacing w:val="-1"/>
        </w:rPr>
        <w:t>的公允价值更加可靠。非货币性资产交换不具有商业实质，或换入资产和换出资产的公允价值均不能可靠</w:t>
      </w:r>
      <w:r>
        <w:rPr>
          <w:spacing w:val="-81"/>
        </w:rPr>
        <w:t> </w:t>
      </w:r>
      <w:r>
        <w:rPr>
          <w:spacing w:val="-81"/>
        </w:rPr>
      </w:r>
      <w:r>
        <w:rPr>
          <w:spacing w:val="-1"/>
        </w:rPr>
        <w:t>计量的，对于换入的长期股权投资，以换出资产的账面价值和应支付的相关税费作为换入长期股权投资的</w:t>
      </w:r>
      <w:r>
        <w:rPr>
          <w:spacing w:val="-81"/>
        </w:rPr>
        <w:t> </w:t>
      </w:r>
      <w:r>
        <w:rPr>
          <w:spacing w:val="-81"/>
        </w:rPr>
      </w:r>
      <w:r>
        <w:rPr/>
        <w:t>初始投资成本。</w:t>
      </w:r>
    </w:p>
    <w:p>
      <w:pPr>
        <w:pStyle w:val="BodyText"/>
        <w:spacing w:line="240" w:lineRule="auto"/>
        <w:ind w:left="574" w:right="993"/>
        <w:jc w:val="left"/>
      </w:pPr>
      <w:r>
        <w:rPr/>
        <w:t>通过债务重组取得的长期股权投资，以所放弃债权的公允价值和可直接归属于该资产的税金等其他成</w:t>
      </w:r>
    </w:p>
    <w:p>
      <w:pPr>
        <w:spacing w:after="0" w:line="240"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240" w:lineRule="auto" w:before="35"/>
        <w:ind w:right="1113"/>
        <w:jc w:val="left"/>
      </w:pPr>
      <w:r>
        <w:rPr/>
        <w:t>本确定其入账价值，并将所放弃债权的公允价值与账面价值之间的差额，计入当期损益。</w:t>
      </w:r>
    </w:p>
    <w:p>
      <w:pPr>
        <w:spacing w:line="240" w:lineRule="auto" w:before="0"/>
        <w:rPr>
          <w:rFonts w:ascii="宋体" w:hAnsi="宋体" w:cs="宋体" w:eastAsia="宋体" w:hint="default"/>
          <w:sz w:val="20"/>
          <w:szCs w:val="20"/>
        </w:rPr>
      </w:pPr>
    </w:p>
    <w:p>
      <w:pPr>
        <w:pStyle w:val="Heading3"/>
        <w:spacing w:line="240" w:lineRule="auto" w:before="165"/>
        <w:ind w:left="576" w:right="1113"/>
        <w:jc w:val="left"/>
        <w:rPr>
          <w:b w:val="0"/>
          <w:bCs w:val="0"/>
        </w:rPr>
      </w:pPr>
      <w:r>
        <w:rPr/>
        <w:t>（</w:t>
      </w:r>
      <w:r>
        <w:rPr>
          <w:rFonts w:ascii="Times New Roman" w:hAnsi="Times New Roman" w:cs="Times New Roman" w:eastAsia="Times New Roman" w:hint="default"/>
        </w:rPr>
        <w:t>3</w:t>
      </w:r>
      <w:r>
        <w:rPr/>
        <w:t>）后续计量及损益确认方法</w:t>
      </w:r>
      <w:r>
        <w:rPr>
          <w:b w:val="0"/>
          <w:bCs w:val="0"/>
        </w:rPr>
      </w:r>
    </w:p>
    <w:p>
      <w:pPr>
        <w:pStyle w:val="BodyText"/>
        <w:spacing w:line="386" w:lineRule="auto" w:before="99"/>
        <w:ind w:left="574" w:right="1113" w:hanging="1"/>
        <w:jc w:val="left"/>
      </w:pPr>
      <w:r>
        <w:rPr>
          <w:rFonts w:ascii="Times New Roman" w:hAnsi="Times New Roman" w:cs="Times New Roman" w:eastAsia="Times New Roman" w:hint="default"/>
        </w:rPr>
        <w:t>1</w:t>
      </w:r>
      <w:r>
        <w:rPr/>
        <w:t>）成本法核算的长期股权投资 </w:t>
      </w:r>
      <w:r>
        <w:rPr>
          <w:spacing w:val="-1"/>
        </w:rPr>
        <w:t>公司对子公司的长期股权投资，采用成本法核算。除取得投资时实际支付的价款或对价中包含的已宣</w:t>
      </w:r>
    </w:p>
    <w:p>
      <w:pPr>
        <w:pStyle w:val="BodyText"/>
        <w:spacing w:line="408" w:lineRule="auto" w:before="65"/>
        <w:ind w:right="1113"/>
        <w:jc w:val="left"/>
      </w:pPr>
      <w:r>
        <w:rPr>
          <w:spacing w:val="-1"/>
        </w:rPr>
        <w:t>告但尚未发放的现金股利或利润外，公司按照享有被投资单位宣告发放的现金股利或利润确认当期投资收</w:t>
      </w:r>
      <w:r>
        <w:rPr>
          <w:spacing w:val="-81"/>
        </w:rPr>
        <w:t> </w:t>
      </w:r>
      <w:r>
        <w:rPr>
          <w:spacing w:val="-81"/>
        </w:rPr>
      </w:r>
      <w:r>
        <w:rPr/>
        <w:t>益。</w:t>
      </w:r>
    </w:p>
    <w:p>
      <w:pPr>
        <w:pStyle w:val="BodyText"/>
        <w:spacing w:line="386" w:lineRule="auto"/>
        <w:ind w:left="574" w:right="1113"/>
        <w:jc w:val="left"/>
      </w:pPr>
      <w:r>
        <w:rPr>
          <w:rFonts w:ascii="Times New Roman" w:hAnsi="Times New Roman" w:cs="Times New Roman" w:eastAsia="Times New Roman" w:hint="default"/>
        </w:rPr>
        <w:t>2</w:t>
      </w:r>
      <w:r>
        <w:rPr/>
        <w:t>）权益法核算的长期股权投资 </w:t>
      </w:r>
      <w:r>
        <w:rPr>
          <w:spacing w:val="-1"/>
        </w:rPr>
        <w:t>对联营企业和合营企业的长期股权投资，采用权益法核算。初始投资成本大于投资时应享有被投资单</w:t>
      </w:r>
    </w:p>
    <w:p>
      <w:pPr>
        <w:pStyle w:val="BodyText"/>
        <w:spacing w:line="408" w:lineRule="auto" w:before="65"/>
        <w:ind w:right="1113"/>
        <w:jc w:val="left"/>
      </w:pPr>
      <w:r>
        <w:rPr>
          <w:spacing w:val="-1"/>
        </w:rPr>
        <w:t>位可辨认净资产公允价值份额的差额，不调整长期股权投资的初始投资成本；初始投资成本小于投资时应</w:t>
      </w:r>
      <w:r>
        <w:rPr>
          <w:spacing w:val="-81"/>
        </w:rPr>
        <w:t> </w:t>
      </w:r>
      <w:r>
        <w:rPr>
          <w:spacing w:val="-81"/>
        </w:rPr>
      </w:r>
      <w:r>
        <w:rPr/>
        <w:t>享有被投资单位可辨认净资产公允价值份额的差额，计入当期损益。</w:t>
      </w:r>
    </w:p>
    <w:p>
      <w:pPr>
        <w:pStyle w:val="BodyText"/>
        <w:spacing w:line="408" w:lineRule="auto"/>
        <w:ind w:right="1129" w:firstLine="420"/>
        <w:jc w:val="both"/>
      </w:pPr>
      <w:r>
        <w:rPr>
          <w:spacing w:val="-1"/>
        </w:rPr>
        <w:t>公司按照应享有或应分担的被投资单位实现的净损益和其他综合收益的份额，分别确认投资收益和其</w:t>
      </w:r>
      <w:r>
        <w:rPr/>
        <w:t> </w:t>
      </w:r>
      <w:r>
        <w:rPr>
          <w:spacing w:val="-1"/>
        </w:rPr>
        <w:t>他综合收益，同时调整长期股权投资的账面价值；按照被投资单位宣告分派的利润或现金股利计算应享有</w:t>
      </w:r>
      <w:r>
        <w:rPr>
          <w:spacing w:val="-81"/>
        </w:rPr>
        <w:t> </w:t>
      </w:r>
      <w:r>
        <w:rPr>
          <w:spacing w:val="-81"/>
        </w:rPr>
      </w:r>
      <w:r>
        <w:rPr>
          <w:spacing w:val="-1"/>
        </w:rPr>
        <w:t>的部分，相应减少长期股权投资的账面价值；对于被投资单位除净损益、其他综合收益和利润分配以外所</w:t>
      </w:r>
      <w:r>
        <w:rPr>
          <w:spacing w:val="-83"/>
        </w:rPr>
        <w:t> </w:t>
      </w:r>
      <w:r>
        <w:rPr>
          <w:spacing w:val="-83"/>
        </w:rPr>
      </w:r>
      <w:r>
        <w:rPr/>
        <w:t>有者权益的其他变动，调整长期股权投资的账面价值并计入所有者权益。</w:t>
      </w:r>
    </w:p>
    <w:p>
      <w:pPr>
        <w:pStyle w:val="BodyText"/>
        <w:spacing w:line="408" w:lineRule="auto"/>
        <w:ind w:right="1113" w:firstLine="420"/>
        <w:jc w:val="left"/>
      </w:pPr>
      <w:r>
        <w:rPr/>
        <w:t>在确认应享有被投资单位净损益的份额时，以取得投资时被投资单位可辨认净资产的公允价值为基 </w:t>
      </w:r>
      <w:r>
        <w:rPr>
          <w:spacing w:val="-1"/>
        </w:rPr>
        <w:t>础，并按照公司的会计政策及会计期间，对被投资单位的净利润进行调整后确认。在持有投资期间，被投</w:t>
      </w:r>
      <w:r>
        <w:rPr>
          <w:spacing w:val="-82"/>
        </w:rPr>
        <w:t> </w:t>
      </w:r>
      <w:r>
        <w:rPr>
          <w:spacing w:val="-82"/>
        </w:rPr>
      </w:r>
      <w:r>
        <w:rPr>
          <w:spacing w:val="-1"/>
        </w:rPr>
        <w:t>资单位编制合并财务报表的，以合并财务报表中的净利润、其他综合收益和其他所有者权益变动中归属于</w:t>
      </w:r>
      <w:r>
        <w:rPr>
          <w:spacing w:val="-81"/>
        </w:rPr>
        <w:t> </w:t>
      </w:r>
      <w:r>
        <w:rPr>
          <w:spacing w:val="-81"/>
        </w:rPr>
      </w:r>
      <w:r>
        <w:rPr/>
        <w:t>被投资单位的金额为基础进行核算。</w:t>
      </w:r>
    </w:p>
    <w:p>
      <w:pPr>
        <w:pStyle w:val="BodyText"/>
        <w:spacing w:line="403" w:lineRule="auto"/>
        <w:ind w:right="1116" w:firstLine="420"/>
        <w:jc w:val="left"/>
      </w:pPr>
      <w:r>
        <w:rPr/>
        <w:t>公司与联营企业、合营企业之间发生的未实现内部交易损益按照应享有的比例计算归属于公司的部 </w:t>
      </w:r>
      <w:r>
        <w:rPr>
          <w:spacing w:val="-1"/>
        </w:rPr>
        <w:t>分，予以抵销，在此基础上确认投资收益。与被投资单位发生的未实现内部交易损失，属于资产减值损失</w:t>
      </w:r>
      <w:r>
        <w:rPr>
          <w:spacing w:val="-82"/>
        </w:rPr>
        <w:t> </w:t>
      </w:r>
      <w:r>
        <w:rPr>
          <w:spacing w:val="-82"/>
        </w:rPr>
      </w:r>
      <w:r>
        <w:rPr>
          <w:spacing w:val="-1"/>
        </w:rPr>
        <w:t>的，全额确认。公司与联营企业、合营企业之间发生投出或出售资产的交易，该资产构成业务的，按照本</w:t>
      </w:r>
      <w:r>
        <w:rPr>
          <w:spacing w:val="-83"/>
        </w:rPr>
        <w:t> </w:t>
      </w:r>
      <w:r>
        <w:rPr>
          <w:spacing w:val="-83"/>
        </w:rPr>
      </w:r>
      <w:r>
        <w:rPr>
          <w:spacing w:val="-2"/>
        </w:rPr>
        <w:t>附注</w:t>
      </w:r>
      <w:r>
        <w:rPr>
          <w:rFonts w:ascii="Times New Roman" w:hAnsi="Times New Roman" w:cs="Times New Roman" w:eastAsia="Times New Roman" w:hint="default"/>
          <w:spacing w:val="-2"/>
        </w:rPr>
        <w:t>“</w:t>
      </w:r>
      <w:r>
        <w:rPr>
          <w:spacing w:val="-2"/>
        </w:rPr>
        <w:t>五、（五）同一控制下和非同一控制下企业合并的会计处理方法</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五、（六）合并财务报表的编制</w:t>
      </w:r>
      <w:r>
        <w:rPr/>
        <w:t> 方法</w:t>
      </w:r>
      <w:r>
        <w:rPr>
          <w:rFonts w:ascii="Times New Roman" w:hAnsi="Times New Roman" w:cs="Times New Roman" w:eastAsia="Times New Roman" w:hint="default"/>
        </w:rPr>
        <w:t>”</w:t>
      </w:r>
      <w:r>
        <w:rPr/>
        <w:t>中披露的相关政策进行会计处理。</w:t>
      </w:r>
    </w:p>
    <w:p>
      <w:pPr>
        <w:pStyle w:val="BodyText"/>
        <w:spacing w:line="408" w:lineRule="auto" w:before="19"/>
        <w:ind w:right="1131" w:firstLine="420"/>
        <w:jc w:val="both"/>
      </w:pPr>
      <w:r>
        <w:rPr>
          <w:spacing w:val="-1"/>
        </w:rPr>
        <w:t>在公司确认应分担被投资单位发生的亏损时，按照以下顺序进行处理：首先，冲减长期股权投资的账</w:t>
      </w:r>
      <w:r>
        <w:rPr/>
        <w:t> </w:t>
      </w:r>
      <w:r>
        <w:rPr>
          <w:spacing w:val="-1"/>
        </w:rPr>
        <w:t>面价值。其次，长期股权投资的账面价值不足以冲减的，以其他实质上构成对被投资单位净投资的长期权</w:t>
      </w:r>
      <w:r>
        <w:rPr>
          <w:spacing w:val="-83"/>
        </w:rPr>
        <w:t> </w:t>
      </w:r>
      <w:r>
        <w:rPr>
          <w:spacing w:val="-83"/>
        </w:rPr>
      </w:r>
      <w:r>
        <w:rPr>
          <w:spacing w:val="-1"/>
        </w:rPr>
        <w:t>益账面价值为限继续确认投资损失，冲减长期应收项目等的账面价值。最后，经过上述处理，按照投资合</w:t>
      </w:r>
      <w:r>
        <w:rPr>
          <w:spacing w:val="-82"/>
        </w:rPr>
        <w:t> </w:t>
      </w:r>
      <w:r>
        <w:rPr>
          <w:spacing w:val="-82"/>
        </w:rPr>
      </w:r>
      <w:r>
        <w:rPr/>
        <w:t>同或协议约定企业仍承担额外义务的，按预计承担的义务确认预计负债，计入当期投资损失。</w:t>
      </w:r>
    </w:p>
    <w:p>
      <w:pPr>
        <w:pStyle w:val="BodyText"/>
        <w:spacing w:line="386" w:lineRule="auto"/>
        <w:ind w:left="574" w:right="3610"/>
        <w:jc w:val="left"/>
      </w:pPr>
      <w:r>
        <w:rPr>
          <w:rFonts w:ascii="Times New Roman" w:hAnsi="Times New Roman" w:cs="Times New Roman" w:eastAsia="Times New Roman" w:hint="default"/>
        </w:rPr>
        <w:t>3</w:t>
      </w:r>
      <w:r>
        <w:rPr/>
        <w:t>）长期股权投资的处置 处置长期股权投资，其账面价值与实际取得价款的差额，计入当期损益。</w:t>
      </w:r>
    </w:p>
    <w:p>
      <w:pPr>
        <w:spacing w:after="0" w:line="386"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31" w:firstLine="420"/>
        <w:jc w:val="both"/>
      </w:pPr>
      <w:r>
        <w:rPr>
          <w:spacing w:val="-1"/>
        </w:rPr>
        <w:t>采用权益法核算的长期股权投资，在处置该项投资时，采用与被投资单位直接处置相关资产或负债相</w:t>
      </w:r>
      <w:r>
        <w:rPr/>
        <w:t> </w:t>
      </w:r>
      <w:r>
        <w:rPr>
          <w:spacing w:val="-1"/>
        </w:rPr>
        <w:t>同的基础，按相应比例对原计入其他综合收益的部分进行会计处理。因被投资单位除净损益、其他综合收</w:t>
      </w:r>
      <w:r>
        <w:rPr>
          <w:spacing w:val="-83"/>
        </w:rPr>
        <w:t> </w:t>
      </w:r>
      <w:r>
        <w:rPr>
          <w:spacing w:val="-83"/>
        </w:rPr>
      </w:r>
      <w:r>
        <w:rPr>
          <w:spacing w:val="-1"/>
        </w:rPr>
        <w:t>益和利润分配以外的其他所有者权益变动而确认的所有者权益，按比例结转入当期损益，由于被投资方重</w:t>
      </w:r>
      <w:r>
        <w:rPr>
          <w:spacing w:val="-81"/>
        </w:rPr>
        <w:t> </w:t>
      </w:r>
      <w:r>
        <w:rPr>
          <w:spacing w:val="-81"/>
        </w:rPr>
      </w:r>
      <w:r>
        <w:rPr/>
        <w:t>新计量设定受益计划净负债或净资产变动而产生的其他综合收益除外。</w:t>
      </w:r>
    </w:p>
    <w:p>
      <w:pPr>
        <w:pStyle w:val="BodyText"/>
        <w:spacing w:line="408" w:lineRule="auto"/>
        <w:ind w:right="1131" w:firstLine="420"/>
        <w:jc w:val="both"/>
      </w:pPr>
      <w:r>
        <w:rPr>
          <w:spacing w:val="-1"/>
        </w:rPr>
        <w:t>因处置部分股权投资等原因丧失了对被投资单位的共同控制或重大影响的，处置后的剩余股权改按金</w:t>
      </w:r>
      <w:r>
        <w:rPr/>
        <w:t> </w:t>
      </w:r>
      <w:r>
        <w:rPr>
          <w:spacing w:val="-1"/>
        </w:rPr>
        <w:t>融工具确认和计量准则核算，其在丧失共同控制或重大影响之日的公允价值与账面价值之间的差额计入当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r>
        <w:rPr>
          <w:spacing w:val="-81"/>
        </w:rPr>
        <w:t> </w:t>
      </w:r>
      <w:r>
        <w:rPr>
          <w:spacing w:val="-81"/>
        </w:rPr>
      </w:r>
      <w:r>
        <w:rPr>
          <w:spacing w:val="-1"/>
        </w:rPr>
        <w:t>位直接处置相关资产或负债相同的基础进行会计处理。因被投资方除净损益、其他综合收益和利润分配以</w:t>
      </w:r>
      <w:r>
        <w:rPr>
          <w:spacing w:val="-81"/>
        </w:rPr>
        <w:t> </w:t>
      </w:r>
      <w:r>
        <w:rPr>
          <w:spacing w:val="-81"/>
        </w:rPr>
      </w:r>
      <w:r>
        <w:rPr/>
        <w:t>外的其他所有者权益变动而确认的所有者权益，在终止采用权益法核算时全部转入当期损益。</w:t>
      </w:r>
    </w:p>
    <w:p>
      <w:pPr>
        <w:pStyle w:val="BodyText"/>
        <w:spacing w:line="408" w:lineRule="auto"/>
        <w:ind w:left="153" w:right="1131" w:firstLine="420"/>
        <w:jc w:val="both"/>
      </w:pPr>
      <w:r>
        <w:rPr>
          <w:spacing w:val="-1"/>
        </w:rPr>
        <w:t>因处置部分股权投资、因其他投资方对子公司增资而导致本公司持股比例下降等原因丧失了对被投资</w:t>
      </w:r>
      <w:r>
        <w:rPr/>
        <w:t> </w:t>
      </w:r>
      <w:r>
        <w:rPr>
          <w:spacing w:val="-1"/>
        </w:rPr>
        <w:t>单位控制权的，在编制个别财务报表时，剩余股权能够对被投资单位实施共同控制或重大影响的，改按权</w:t>
      </w:r>
      <w:r>
        <w:rPr>
          <w:spacing w:val="-83"/>
        </w:rPr>
        <w:t> </w:t>
      </w:r>
      <w:r>
        <w:rPr>
          <w:spacing w:val="-83"/>
        </w:rPr>
      </w:r>
      <w:r>
        <w:rPr>
          <w:spacing w:val="-1"/>
        </w:rPr>
        <w:t>益法核算，并对该剩余股权视同自取得时即采用权益法核算进行调整；剩余股权不能对被投资单位实施共</w:t>
      </w:r>
      <w:r>
        <w:rPr>
          <w:spacing w:val="-81"/>
        </w:rPr>
        <w:t> </w:t>
      </w:r>
      <w:r>
        <w:rPr>
          <w:spacing w:val="-81"/>
        </w:rPr>
      </w:r>
      <w:r>
        <w:rPr>
          <w:spacing w:val="-1"/>
        </w:rPr>
        <w:t>同控制或施加重大影响的，改按金融工具确认和计量准则的有关规定进行会计处理，其在丧失控制之日的</w:t>
      </w:r>
      <w:r>
        <w:rPr>
          <w:spacing w:val="-81"/>
        </w:rPr>
        <w:t> </w:t>
      </w:r>
      <w:r>
        <w:rPr>
          <w:spacing w:val="-81"/>
        </w:rPr>
      </w:r>
      <w:r>
        <w:rPr/>
        <w:t>公允价值与账面价值间的差额计入当期损益。</w:t>
      </w:r>
    </w:p>
    <w:p>
      <w:pPr>
        <w:pStyle w:val="BodyText"/>
        <w:spacing w:line="408" w:lineRule="auto"/>
        <w:ind w:left="153" w:right="1131" w:firstLine="420"/>
        <w:jc w:val="both"/>
      </w:pPr>
      <w:r>
        <w:rPr>
          <w:spacing w:val="-1"/>
        </w:rPr>
        <w:t>处置的股权是因追加投资等原因通过企业合并取得的，在编制个别财务报表时，处置后的剩余股权采</w:t>
      </w:r>
      <w:r>
        <w:rPr/>
        <w:t> </w:t>
      </w:r>
      <w:r>
        <w:rPr>
          <w:spacing w:val="-1"/>
        </w:rPr>
        <w:t>用成本法或权益法核算的，购买日之前持有的股权投资因采用权益法核算而确认的其他综合收益和其他所</w:t>
      </w:r>
      <w:r>
        <w:rPr>
          <w:spacing w:val="-81"/>
        </w:rPr>
        <w:t> </w:t>
      </w:r>
      <w:r>
        <w:rPr>
          <w:spacing w:val="-81"/>
        </w:rPr>
      </w:r>
      <w:r>
        <w:rPr>
          <w:spacing w:val="-1"/>
        </w:rPr>
        <w:t>有者权益按比例结转；处置后的剩余股权改按金融工具确认和计量准则进行会计处理的，其他综合收益和</w:t>
      </w:r>
      <w:r>
        <w:rPr>
          <w:spacing w:val="-81"/>
        </w:rPr>
        <w:t> </w:t>
      </w:r>
      <w:r>
        <w:rPr>
          <w:spacing w:val="-81"/>
        </w:rPr>
      </w:r>
      <w:r>
        <w:rPr/>
        <w:t>其他所有者权益全部结转。</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7"/>
        <w:rPr>
          <w:rFonts w:ascii="宋体" w:hAnsi="宋体" w:cs="宋体" w:eastAsia="宋体" w:hint="default"/>
          <w:b/>
          <w:bCs/>
          <w:sz w:val="32"/>
          <w:szCs w:val="32"/>
        </w:rPr>
      </w:pPr>
    </w:p>
    <w:p>
      <w:pPr>
        <w:spacing w:line="518" w:lineRule="auto" w:before="0"/>
        <w:ind w:left="153" w:right="8951"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408" w:lineRule="auto" w:before="36"/>
        <w:ind w:right="1108" w:firstLine="420"/>
        <w:jc w:val="both"/>
      </w:pPr>
      <w:r>
        <w:rPr/>
        <w:t>投资性房地产是指为赚取租金或资本增值，或两者兼有而持有的房地产，包括已出租的土地使用权、 </w:t>
      </w:r>
      <w:r>
        <w:rPr>
          <w:spacing w:val="-1"/>
        </w:rPr>
        <w:t>持有并准备增值后转让的土地使用权、已出租的建筑物（含自行建造或开发活动完成后用于出租的建筑物</w:t>
      </w:r>
      <w:r>
        <w:rPr>
          <w:spacing w:val="-81"/>
        </w:rPr>
        <w:t> </w:t>
      </w:r>
      <w:r>
        <w:rPr>
          <w:spacing w:val="-81"/>
        </w:rPr>
      </w:r>
      <w:r>
        <w:rPr/>
        <w:t>以及正在建造或开发过程中将来用于出租的建筑物）。</w:t>
      </w:r>
    </w:p>
    <w:p>
      <w:pPr>
        <w:pStyle w:val="BodyText"/>
        <w:spacing w:line="408" w:lineRule="auto"/>
        <w:ind w:right="1130" w:firstLine="420"/>
        <w:jc w:val="both"/>
      </w:pPr>
      <w:r>
        <w:rPr>
          <w:spacing w:val="-1"/>
        </w:rPr>
        <w:t>本公司对现有投资性房地产采用成本模式计量。对按照成本模式计量的投资性房地产－出租用建筑物</w:t>
      </w:r>
      <w:r>
        <w:rPr/>
        <w:t> 采用与本公司固定资产相同的折旧政策，出租用土地使用权按与无形资产相同的摊销政策执行。</w:t>
      </w:r>
    </w:p>
    <w:p>
      <w:pPr>
        <w:spacing w:after="0" w:line="408" w:lineRule="auto"/>
        <w:jc w:val="both"/>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1113"/>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13"/>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30"/>
          <w:szCs w:val="30"/>
        </w:rPr>
      </w:pPr>
    </w:p>
    <w:p>
      <w:pPr>
        <w:spacing w:line="441" w:lineRule="auto" w:before="0"/>
        <w:ind w:left="153" w:right="1129" w:firstLine="419"/>
        <w:jc w:val="both"/>
        <w:rPr>
          <w:rFonts w:ascii="宋体" w:hAnsi="宋体" w:cs="宋体" w:eastAsia="宋体" w:hint="default"/>
          <w:sz w:val="18"/>
          <w:szCs w:val="18"/>
        </w:rPr>
      </w:pPr>
      <w:r>
        <w:rPr>
          <w:rFonts w:ascii="宋体" w:hAnsi="宋体" w:cs="宋体" w:eastAsia="宋体" w:hint="default"/>
          <w:spacing w:val="-2"/>
          <w:sz w:val="21"/>
          <w:szCs w:val="21"/>
        </w:rPr>
        <w:t>固定资产指为生产商品</w:t>
      </w:r>
      <w:r>
        <w:rPr>
          <w:rFonts w:ascii="宋体" w:hAnsi="宋体" w:cs="宋体" w:eastAsia="宋体" w:hint="default"/>
          <w:spacing w:val="-2"/>
          <w:sz w:val="18"/>
          <w:szCs w:val="18"/>
        </w:rPr>
        <w:t>、提供劳务、出租或经营管理而持有，并且使用寿命超过一个会计年度的有形资产。固定资</w:t>
      </w:r>
      <w:r>
        <w:rPr>
          <w:rFonts w:ascii="宋体" w:hAnsi="宋体" w:cs="宋体" w:eastAsia="宋体" w:hint="default"/>
          <w:sz w:val="18"/>
          <w:szCs w:val="18"/>
        </w:rPr>
        <w:t> </w:t>
      </w:r>
      <w:r>
        <w:rPr>
          <w:rFonts w:ascii="宋体" w:hAnsi="宋体" w:cs="宋体" w:eastAsia="宋体" w:hint="default"/>
          <w:spacing w:val="-5"/>
          <w:sz w:val="18"/>
          <w:szCs w:val="18"/>
        </w:rPr>
        <w:t>产在同时满足下列条件时予以确认：（</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）与该固定资产有关的经济利益很可能流入企业；（</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）该固定资产的成本能够可靠地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计量。</w:t>
      </w:r>
    </w:p>
    <w:p>
      <w:pPr>
        <w:spacing w:line="240" w:lineRule="auto" w:before="4"/>
        <w:rPr>
          <w:rFonts w:ascii="宋体" w:hAnsi="宋体" w:cs="宋体" w:eastAsia="宋体" w:hint="default"/>
          <w:sz w:val="21"/>
          <w:szCs w:val="21"/>
        </w:rPr>
      </w:pPr>
    </w:p>
    <w:p>
      <w:pPr>
        <w:pStyle w:val="Heading3"/>
        <w:spacing w:line="240" w:lineRule="auto"/>
        <w:ind w:right="1113"/>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90"/>
              <w:jc w:val="righ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49"/>
              <w:jc w:val="right"/>
              <w:rPr>
                <w:rFonts w:ascii="Times New Roman" w:hAnsi="Times New Roman" w:cs="Times New Roman" w:eastAsia="Times New Roman" w:hint="default"/>
                <w:sz w:val="18"/>
                <w:szCs w:val="18"/>
              </w:rPr>
            </w:pPr>
            <w:r>
              <w:rPr>
                <w:rFonts w:ascii="Times New Roman"/>
                <w:sz w:val="18"/>
              </w:rPr>
              <w:t>1.9-9.50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59"/>
              <w:jc w:val="right"/>
              <w:rPr>
                <w:rFonts w:ascii="Times New Roman" w:hAnsi="Times New Roman" w:cs="Times New Roman" w:eastAsia="Times New Roman" w:hint="default"/>
                <w:sz w:val="18"/>
                <w:szCs w:val="18"/>
              </w:rPr>
            </w:pPr>
            <w:r>
              <w:rPr>
                <w:rFonts w:ascii="Times New Roman"/>
                <w:sz w:val="18"/>
              </w:rPr>
              <w:t>9.50-19.00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59"/>
              <w:jc w:val="right"/>
              <w:rPr>
                <w:rFonts w:ascii="Times New Roman" w:hAnsi="Times New Roman" w:cs="Times New Roman" w:eastAsia="Times New Roman" w:hint="default"/>
                <w:sz w:val="18"/>
                <w:szCs w:val="18"/>
              </w:rPr>
            </w:pPr>
            <w:r>
              <w:rPr>
                <w:rFonts w:ascii="Times New Roman"/>
                <w:sz w:val="18"/>
              </w:rPr>
              <w:t>9.50-19.00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59"/>
              <w:jc w:val="right"/>
              <w:rPr>
                <w:rFonts w:ascii="Times New Roman" w:hAnsi="Times New Roman" w:cs="Times New Roman" w:eastAsia="Times New Roman" w:hint="default"/>
                <w:sz w:val="18"/>
                <w:szCs w:val="18"/>
              </w:rPr>
            </w:pPr>
            <w:r>
              <w:rPr>
                <w:rFonts w:ascii="Times New Roman"/>
                <w:sz w:val="18"/>
              </w:rPr>
              <w:t>9.50-19.00</w:t>
            </w:r>
          </w:p>
        </w:tc>
      </w:tr>
    </w:tbl>
    <w:p>
      <w:pPr>
        <w:pStyle w:val="BodyText"/>
        <w:spacing w:line="408" w:lineRule="auto" w:before="63"/>
        <w:ind w:right="1131" w:firstLine="420"/>
        <w:jc w:val="both"/>
      </w:pPr>
      <w:r>
        <w:rPr>
          <w:spacing w:val="-1"/>
        </w:rPr>
        <w:t>固定资产折旧采用年限平均法分类计提，根据固定资产类别、预计使用寿命和预计净残值率确定折旧</w:t>
      </w:r>
      <w:r>
        <w:rPr/>
        <w:t> </w:t>
      </w:r>
      <w:r>
        <w:rPr>
          <w:spacing w:val="-1"/>
        </w:rPr>
        <w:t>率。如固定资产各组成部分的使用寿命不同或者以不同方式为企业提供经济利益，则选择不同折旧率或折</w:t>
      </w:r>
      <w:r>
        <w:rPr>
          <w:spacing w:val="-81"/>
        </w:rPr>
        <w:t> </w:t>
      </w:r>
      <w:r>
        <w:rPr>
          <w:spacing w:val="-81"/>
        </w:rPr>
      </w:r>
      <w:r>
        <w:rPr/>
        <w:t>旧方法，分别计提折旧。</w:t>
      </w:r>
    </w:p>
    <w:p>
      <w:pPr>
        <w:pStyle w:val="BodyText"/>
        <w:spacing w:line="408" w:lineRule="auto"/>
        <w:ind w:right="1131" w:firstLine="420"/>
        <w:jc w:val="both"/>
      </w:pPr>
      <w:r>
        <w:rPr>
          <w:spacing w:val="-1"/>
        </w:rPr>
        <w:t>融资租赁方式租入的固定资产，能合理确定租赁期届满时将会取得租赁资产所有权的，在租赁资产尚</w:t>
      </w:r>
      <w:r>
        <w:rPr/>
        <w:t> </w:t>
      </w:r>
      <w:r>
        <w:rPr>
          <w:spacing w:val="-1"/>
        </w:rPr>
        <w:t>可使用年限内计提折旧；无法合理确定租赁期届满时能够取得租赁资产所有权的，在租赁期与租赁资产尚</w:t>
      </w:r>
      <w:r>
        <w:rPr>
          <w:spacing w:val="-81"/>
        </w:rPr>
        <w:t> </w:t>
      </w:r>
      <w:r>
        <w:rPr>
          <w:spacing w:val="-81"/>
        </w:rPr>
      </w:r>
      <w:r>
        <w:rPr/>
        <w:t>可使用年限两者中较短的期间内计提折旧。</w:t>
      </w:r>
    </w:p>
    <w:p>
      <w:pPr>
        <w:spacing w:line="240" w:lineRule="auto" w:before="6"/>
        <w:rPr>
          <w:rFonts w:ascii="宋体" w:hAnsi="宋体" w:cs="宋体" w:eastAsia="宋体" w:hint="default"/>
          <w:sz w:val="15"/>
          <w:szCs w:val="15"/>
        </w:rPr>
      </w:pPr>
    </w:p>
    <w:p>
      <w:pPr>
        <w:spacing w:line="670" w:lineRule="atLeast" w:before="0"/>
        <w:ind w:left="574" w:right="235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spacing w:val="1"/>
          <w:w w:val="99"/>
          <w:sz w:val="21"/>
          <w:szCs w:val="21"/>
        </w:rPr>
        <w:t> </w:t>
      </w:r>
      <w:r>
        <w:rPr>
          <w:rFonts w:ascii="宋体" w:hAnsi="宋体" w:cs="宋体" w:eastAsia="宋体" w:hint="default"/>
          <w:sz w:val="21"/>
          <w:szCs w:val="21"/>
        </w:rPr>
        <w:t>公司与租赁方所签订的租赁协议条款中规定了下列条件之一的，确认为融资租入资产：</w:t>
      </w:r>
    </w:p>
    <w:p>
      <w:pPr>
        <w:spacing w:line="240" w:lineRule="auto" w:before="10"/>
        <w:rPr>
          <w:rFonts w:ascii="宋体" w:hAnsi="宋体" w:cs="宋体" w:eastAsia="宋体" w:hint="default"/>
          <w:sz w:val="14"/>
          <w:szCs w:val="14"/>
        </w:rPr>
      </w:pPr>
    </w:p>
    <w:p>
      <w:pPr>
        <w:pStyle w:val="BodyText"/>
        <w:spacing w:line="240" w:lineRule="auto" w:before="0"/>
        <w:ind w:left="574" w:right="1113"/>
        <w:jc w:val="left"/>
      </w:pPr>
      <w:r>
        <w:rPr>
          <w:rFonts w:ascii="Times New Roman" w:hAnsi="Times New Roman" w:cs="Times New Roman" w:eastAsia="Times New Roman" w:hint="default"/>
        </w:rPr>
        <w:t>1</w:t>
      </w:r>
      <w:r>
        <w:rPr/>
        <w:t>）租赁期满后租赁资产的所有权归属于本公司；</w:t>
      </w:r>
    </w:p>
    <w:p>
      <w:pPr>
        <w:pStyle w:val="BodyText"/>
        <w:spacing w:line="240" w:lineRule="auto" w:before="177"/>
        <w:ind w:left="574" w:right="1113"/>
        <w:jc w:val="left"/>
      </w:pPr>
      <w:r>
        <w:rPr>
          <w:rFonts w:ascii="Times New Roman" w:hAnsi="Times New Roman" w:cs="Times New Roman" w:eastAsia="Times New Roman" w:hint="default"/>
        </w:rPr>
        <w:t>2</w:t>
      </w:r>
      <w:r>
        <w:rPr/>
        <w:t>）公司具有购买资产的选择权，购买价款远低于行使选择权时该资产的公允价值；</w:t>
      </w:r>
    </w:p>
    <w:p>
      <w:pPr>
        <w:pStyle w:val="BodyText"/>
        <w:spacing w:line="240" w:lineRule="auto" w:before="177"/>
        <w:ind w:left="574" w:right="1113"/>
        <w:jc w:val="left"/>
      </w:pPr>
      <w:r>
        <w:rPr>
          <w:rFonts w:ascii="Times New Roman" w:hAnsi="Times New Roman" w:cs="Times New Roman" w:eastAsia="Times New Roman" w:hint="default"/>
        </w:rPr>
        <w:t>3</w:t>
      </w:r>
      <w:r>
        <w:rPr/>
        <w:t>）租赁期占所租赁资产使用寿命的大部分；</w:t>
      </w:r>
    </w:p>
    <w:p>
      <w:pPr>
        <w:pStyle w:val="BodyText"/>
        <w:spacing w:line="398" w:lineRule="auto" w:before="177"/>
        <w:ind w:right="993" w:firstLine="420"/>
        <w:jc w:val="left"/>
      </w:pPr>
      <w:r>
        <w:rPr>
          <w:rFonts w:ascii="Times New Roman" w:hAnsi="Times New Roman" w:cs="Times New Roman" w:eastAsia="Times New Roman" w:hint="default"/>
          <w:spacing w:val="-1"/>
        </w:rPr>
        <w:t>4</w:t>
      </w:r>
      <w:r>
        <w:rPr>
          <w:spacing w:val="-1"/>
        </w:rPr>
        <w:t>）租赁开始日的最低租赁付款额现值，与该资产的公允价值不存在较大的差异。公司在承租开始日，</w:t>
      </w:r>
      <w:r>
        <w:rPr/>
        <w:t> 将租赁资产公允价值与最低租赁付款额现值两者中较低者作为租入资产的入账价值，将最低租赁付款额作 为长期应付款的入账价值，其差额作为未确认的融资费。</w:t>
      </w:r>
    </w:p>
    <w:p>
      <w:pPr>
        <w:spacing w:after="0" w:line="398" w:lineRule="auto"/>
        <w:jc w:val="left"/>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1113"/>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3" w:right="1022" w:firstLine="420"/>
        <w:jc w:val="left"/>
      </w:pPr>
      <w:r>
        <w:rPr/>
        <w:t>在建工程项目按建造该项资产达到预定可使用状态前所发生的必要支出，作为固定资产的入账价值。 </w:t>
      </w:r>
      <w:r>
        <w:rPr>
          <w:spacing w:val="-3"/>
        </w:rPr>
        <w:t>所建造的固定资产在工程已达到预定可使用状态，但尚未办理竣工决算的，自达到预定可使用状态之日起，</w:t>
      </w:r>
      <w:r>
        <w:rPr>
          <w:spacing w:val="-92"/>
        </w:rPr>
        <w:t> </w:t>
      </w:r>
      <w:r>
        <w:rPr>
          <w:spacing w:val="-92"/>
        </w:rPr>
      </w:r>
      <w:r>
        <w:rPr/>
        <w:t>根据工程预算、造价或者工程实际成本等，按估计的价值转入固定资产，并按本公司固定资产折旧政策计</w:t>
      </w:r>
      <w:r>
        <w:rPr/>
        <w:t> </w:t>
      </w:r>
      <w:r>
        <w:rPr>
          <w:spacing w:val="-3"/>
        </w:rPr>
        <w:t>提固定资产的折旧，待办理竣工决算后，再按实际成本调整原来的暂估价值，但不调整原已计提的折旧额。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21</w:t>
      </w:r>
      <w:r>
        <w:rPr/>
        <w:t>、借款费用</w:t>
      </w:r>
      <w:r>
        <w:rPr>
          <w:b w:val="0"/>
          <w:bCs w:val="0"/>
        </w:rPr>
      </w:r>
    </w:p>
    <w:p>
      <w:pPr>
        <w:spacing w:line="240" w:lineRule="auto" w:before="7"/>
        <w:rPr>
          <w:rFonts w:ascii="宋体" w:hAnsi="宋体" w:cs="宋体" w:eastAsia="宋体" w:hint="default"/>
          <w:b/>
          <w:bCs/>
          <w:sz w:val="30"/>
          <w:szCs w:val="30"/>
        </w:rPr>
      </w:pPr>
    </w:p>
    <w:p>
      <w:pPr>
        <w:pStyle w:val="BodyText"/>
        <w:spacing w:line="398" w:lineRule="auto" w:before="0"/>
        <w:ind w:left="573" w:right="1113"/>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）借款费用资本化的确认原则</w:t>
      </w:r>
      <w:r>
        <w:rPr>
          <w:rFonts w:ascii="宋体" w:hAnsi="宋体" w:cs="宋体" w:eastAsia="宋体" w:hint="default"/>
          <w:b/>
          <w:bCs/>
          <w:spacing w:val="1"/>
          <w:w w:val="99"/>
        </w:rPr>
        <w:t> </w:t>
      </w:r>
      <w:r>
        <w:rPr/>
        <w:t>借款费用，包括借款利息、折价或者溢价的摊销、辅助费用以及因外币借款而发生的汇兑差额等。 </w:t>
      </w:r>
      <w:r>
        <w:rPr>
          <w:spacing w:val="-1"/>
        </w:rPr>
        <w:t>公司发生的借款费用，可直接归属于符合资本化条件的资产的购建或者生产的，予以资本化，计入相</w:t>
      </w:r>
    </w:p>
    <w:p>
      <w:pPr>
        <w:pStyle w:val="BodyText"/>
        <w:spacing w:line="408" w:lineRule="auto" w:before="54"/>
        <w:ind w:left="573" w:right="1113" w:hanging="420"/>
        <w:jc w:val="left"/>
      </w:pPr>
      <w:r>
        <w:rPr/>
        <w:t>关资产成本；其他借款费用，在发生时根据其发生额确认为费用，计入当期损益。 </w:t>
      </w:r>
      <w:r>
        <w:rPr>
          <w:spacing w:val="-1"/>
        </w:rPr>
        <w:t>符合资本化条件的资产，是指需要经过相当长时间的购建或者生产活动才能达到预定可使用或者可销</w:t>
      </w:r>
    </w:p>
    <w:p>
      <w:pPr>
        <w:pStyle w:val="BodyText"/>
        <w:spacing w:line="408" w:lineRule="auto"/>
        <w:ind w:left="573" w:right="6131" w:hanging="420"/>
        <w:jc w:val="left"/>
      </w:pPr>
      <w:r>
        <w:rPr/>
        <w:t>售状态的固定资产、投资性房地产和存货等资产。 借款费用同时满足下列条件时开始资本化：</w:t>
      </w:r>
    </w:p>
    <w:p>
      <w:pPr>
        <w:pStyle w:val="BodyText"/>
        <w:spacing w:line="386" w:lineRule="auto"/>
        <w:ind w:left="153" w:right="1196" w:firstLine="420"/>
        <w:jc w:val="left"/>
      </w:pPr>
      <w:r>
        <w:rPr>
          <w:rFonts w:ascii="Times New Roman" w:hAnsi="Times New Roman" w:cs="Times New Roman" w:eastAsia="Times New Roman" w:hint="default"/>
        </w:rPr>
        <w:t>1</w:t>
      </w:r>
      <w:r>
        <w:rPr/>
        <w:t>）资产支出已经发生，资产支出包括为购建或者生产符合资本化条件的资产而以支付现金、转移非 现金资产或者承担带息债务形式发生的支出；</w:t>
      </w:r>
    </w:p>
    <w:p>
      <w:pPr>
        <w:pStyle w:val="BodyText"/>
        <w:spacing w:line="240" w:lineRule="auto" w:before="65"/>
        <w:ind w:left="573" w:right="1113"/>
        <w:jc w:val="left"/>
      </w:pPr>
      <w:r>
        <w:rPr>
          <w:rFonts w:ascii="Times New Roman" w:hAnsi="Times New Roman" w:cs="Times New Roman" w:eastAsia="Times New Roman" w:hint="default"/>
        </w:rPr>
        <w:t>2</w:t>
      </w:r>
      <w:r>
        <w:rPr/>
        <w:t>）借款费用已经发生；</w:t>
      </w:r>
    </w:p>
    <w:p>
      <w:pPr>
        <w:pStyle w:val="BodyText"/>
        <w:spacing w:line="240" w:lineRule="auto" w:before="177"/>
        <w:ind w:left="573" w:right="1113"/>
        <w:jc w:val="left"/>
      </w:pPr>
      <w:r>
        <w:rPr>
          <w:rFonts w:ascii="Times New Roman" w:hAnsi="Times New Roman" w:cs="Times New Roman" w:eastAsia="Times New Roman" w:hint="default"/>
        </w:rPr>
        <w:t>3</w:t>
      </w:r>
      <w:r>
        <w:rPr/>
        <w:t>）为使资产达到预定可使用或者可销售状态所必要的购建或者生产活动已经开始。</w:t>
      </w:r>
    </w:p>
    <w:p>
      <w:pPr>
        <w:spacing w:line="386" w:lineRule="auto" w:before="177"/>
        <w:ind w:left="573" w:right="111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99"/>
          <w:sz w:val="21"/>
          <w:szCs w:val="21"/>
        </w:rPr>
        <w:t> </w:t>
      </w:r>
      <w:r>
        <w:rPr>
          <w:rFonts w:ascii="宋体" w:hAnsi="宋体" w:cs="宋体" w:eastAsia="宋体" w:hint="default"/>
          <w:spacing w:val="-1"/>
          <w:sz w:val="21"/>
          <w:szCs w:val="21"/>
        </w:rPr>
        <w:t>资本化期间，指从借款费用开始资本化时点到停止资本化时点的期间，借款费用暂停资本化的期间不</w:t>
      </w:r>
    </w:p>
    <w:p>
      <w:pPr>
        <w:pStyle w:val="BodyText"/>
        <w:spacing w:line="240" w:lineRule="auto" w:before="65"/>
        <w:ind w:left="153" w:right="1113"/>
        <w:jc w:val="left"/>
      </w:pPr>
      <w:r>
        <w:rPr/>
        <w:t>包括在内。</w:t>
      </w:r>
    </w:p>
    <w:p>
      <w:pPr>
        <w:spacing w:line="240" w:lineRule="auto" w:before="10"/>
        <w:rPr>
          <w:rFonts w:ascii="宋体" w:hAnsi="宋体" w:cs="宋体" w:eastAsia="宋体" w:hint="default"/>
          <w:sz w:val="14"/>
          <w:szCs w:val="14"/>
        </w:rPr>
      </w:pPr>
    </w:p>
    <w:p>
      <w:pPr>
        <w:pStyle w:val="BodyText"/>
        <w:spacing w:line="408" w:lineRule="auto" w:before="0"/>
        <w:ind w:left="573" w:right="1113"/>
        <w:jc w:val="left"/>
      </w:pPr>
      <w:r>
        <w:rPr/>
        <w:t>当购建或者生产符合资本化条件的资产达到预定可使用或者可销售状态时，借款费用停止资本化。 </w:t>
      </w:r>
      <w:r>
        <w:rPr>
          <w:spacing w:val="-1"/>
        </w:rPr>
        <w:t>当购建或者生产符合资本化条件的资产中部分项目分别完工且可单独使用时，该部分资产借款费用停</w:t>
      </w:r>
    </w:p>
    <w:p>
      <w:pPr>
        <w:pStyle w:val="BodyText"/>
        <w:spacing w:line="240" w:lineRule="auto"/>
        <w:ind w:left="153" w:right="1113"/>
        <w:jc w:val="left"/>
      </w:pPr>
      <w:r>
        <w:rPr/>
        <w:t>止资本化。</w:t>
      </w:r>
    </w:p>
    <w:p>
      <w:pPr>
        <w:spacing w:line="240" w:lineRule="auto" w:before="10"/>
        <w:rPr>
          <w:rFonts w:ascii="宋体" w:hAnsi="宋体" w:cs="宋体" w:eastAsia="宋体" w:hint="default"/>
          <w:sz w:val="14"/>
          <w:szCs w:val="14"/>
        </w:rPr>
      </w:pPr>
    </w:p>
    <w:p>
      <w:pPr>
        <w:pStyle w:val="BodyText"/>
        <w:spacing w:line="408" w:lineRule="auto" w:before="0"/>
        <w:ind w:left="153" w:right="1113" w:firstLine="420"/>
        <w:jc w:val="left"/>
      </w:pPr>
      <w:r>
        <w:rPr>
          <w:spacing w:val="-1"/>
        </w:rPr>
        <w:t>购建或者生产的资产的各部分分别完工，但必须等到整体完工后才可使用或可对外销售的，在该资产</w:t>
      </w:r>
      <w:r>
        <w:rPr/>
        <w:t> 整体完工时停止借款费用资本化。</w:t>
      </w:r>
    </w:p>
    <w:p>
      <w:pPr>
        <w:spacing w:line="240" w:lineRule="auto" w:before="5"/>
        <w:rPr>
          <w:rFonts w:ascii="宋体" w:hAnsi="宋体" w:cs="宋体" w:eastAsia="宋体" w:hint="default"/>
          <w:sz w:val="27"/>
          <w:szCs w:val="27"/>
        </w:rPr>
      </w:pPr>
    </w:p>
    <w:p>
      <w:pPr>
        <w:pStyle w:val="BodyText"/>
        <w:spacing w:line="386" w:lineRule="auto" w:before="0"/>
        <w:ind w:left="573" w:right="1196"/>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spacing w:val="1"/>
          <w:w w:val="99"/>
        </w:rPr>
        <w:t> </w:t>
      </w: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w:t>
      </w:r>
    </w:p>
    <w:p>
      <w:pPr>
        <w:spacing w:after="0" w:line="386"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30"/>
        <w:jc w:val="both"/>
      </w:pPr>
      <w:r>
        <w:rPr>
          <w:spacing w:val="-1"/>
        </w:rPr>
        <w:t>款费用暂停资本化；该项中断如是所购建或生产的符合资本化条件的资产达到预定可使用状态或者可销售</w:t>
      </w:r>
      <w:r>
        <w:rPr>
          <w:spacing w:val="-81"/>
        </w:rPr>
        <w:t> </w:t>
      </w:r>
      <w:r>
        <w:rPr>
          <w:spacing w:val="-81"/>
        </w:rPr>
      </w:r>
      <w:r>
        <w:rPr>
          <w:spacing w:val="-1"/>
        </w:rPr>
        <w:t>状态必要的程序，则借款费用继续资本化。在中断期间发生的借款费用确认为当期损益，直至资产的购建</w:t>
      </w:r>
      <w:r>
        <w:rPr>
          <w:spacing w:val="-83"/>
        </w:rPr>
        <w:t> </w:t>
      </w:r>
      <w:r>
        <w:rPr>
          <w:spacing w:val="-83"/>
        </w:rPr>
      </w:r>
      <w:r>
        <w:rPr/>
        <w:t>或者生产活动重新开始后借款费用继续资本化。</w:t>
      </w:r>
    </w:p>
    <w:p>
      <w:pPr>
        <w:spacing w:line="240" w:lineRule="auto" w:before="5"/>
        <w:rPr>
          <w:rFonts w:ascii="宋体" w:hAnsi="宋体" w:cs="宋体" w:eastAsia="宋体" w:hint="default"/>
          <w:sz w:val="27"/>
          <w:szCs w:val="27"/>
        </w:rPr>
      </w:pPr>
    </w:p>
    <w:p>
      <w:pPr>
        <w:spacing w:line="386" w:lineRule="auto" w:before="0"/>
        <w:ind w:left="574" w:right="130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）借款费用资本化率、资本化金额的计算方法</w:t>
      </w:r>
      <w:r>
        <w:rPr>
          <w:rFonts w:ascii="宋体" w:hAnsi="宋体" w:cs="宋体" w:eastAsia="宋体" w:hint="default"/>
          <w:b/>
          <w:bCs/>
          <w:w w:val="99"/>
          <w:sz w:val="21"/>
          <w:szCs w:val="21"/>
        </w:rPr>
        <w:t> </w:t>
      </w:r>
      <w:r>
        <w:rPr>
          <w:rFonts w:ascii="宋体" w:hAnsi="宋体" w:cs="宋体" w:eastAsia="宋体" w:hint="default"/>
          <w:sz w:val="21"/>
          <w:szCs w:val="21"/>
        </w:rPr>
        <w:t>对于为购建或者生产符合资本化条件的资产而借入的专门借款，以专门借款当期实际发生的借款费</w:t>
      </w:r>
    </w:p>
    <w:p>
      <w:pPr>
        <w:pStyle w:val="BodyText"/>
        <w:spacing w:line="408" w:lineRule="auto" w:before="65"/>
        <w:ind w:right="1131"/>
        <w:jc w:val="both"/>
      </w:pPr>
      <w:r>
        <w:rPr>
          <w:spacing w:val="-1"/>
        </w:rPr>
        <w:t>用，减去尚未动用的借款资金存入银行取得的利息收入或进行暂时性投资取得的投资收益后的金额，来确</w:t>
      </w:r>
      <w:r>
        <w:rPr>
          <w:spacing w:val="-81"/>
        </w:rPr>
        <w:t> </w:t>
      </w:r>
      <w:r>
        <w:rPr>
          <w:spacing w:val="-81"/>
        </w:rPr>
      </w:r>
      <w:r>
        <w:rPr/>
        <w:t>定借款费用的资本化金额。</w:t>
      </w:r>
    </w:p>
    <w:p>
      <w:pPr>
        <w:pStyle w:val="BodyText"/>
        <w:spacing w:line="408" w:lineRule="auto"/>
        <w:ind w:right="1108" w:firstLine="420"/>
        <w:jc w:val="both"/>
      </w:pPr>
      <w:r>
        <w:rPr>
          <w:spacing w:val="-1"/>
        </w:rPr>
        <w:t>对于为购建或者生产符合资本化条件的资产而占用的一般借款，根据累计资产支出超过专门借款部分</w:t>
      </w:r>
      <w:r>
        <w:rPr/>
        <w:t> 的资产支出加权平均数乘以所占用一般借款的资本化率，计算确定一般借款应予资本化的借款费用金额。 资本化率根据一般借款加权平均利率计算确定。</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22</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30"/>
          <w:szCs w:val="30"/>
        </w:rPr>
      </w:pPr>
    </w:p>
    <w:p>
      <w:pPr>
        <w:pStyle w:val="Heading3"/>
        <w:spacing w:line="240" w:lineRule="auto"/>
        <w:ind w:left="573" w:right="1113"/>
        <w:jc w:val="left"/>
        <w:rPr>
          <w:b w:val="0"/>
          <w:bCs w:val="0"/>
        </w:rPr>
      </w:pPr>
      <w:r>
        <w:rPr>
          <w:rFonts w:ascii="Times New Roman" w:hAnsi="Times New Roman" w:cs="Times New Roman" w:eastAsia="Times New Roman" w:hint="default"/>
        </w:rPr>
        <w:t>1</w:t>
      </w:r>
      <w:r>
        <w:rPr/>
        <w:t>）无形资产的计价方法</w:t>
      </w:r>
      <w:r>
        <w:rPr>
          <w:b w:val="0"/>
          <w:bCs w:val="0"/>
        </w:rPr>
      </w:r>
    </w:p>
    <w:p>
      <w:pPr>
        <w:pStyle w:val="BodyText"/>
        <w:spacing w:line="408" w:lineRule="auto" w:before="177"/>
        <w:ind w:left="573" w:right="1113"/>
        <w:jc w:val="left"/>
      </w:pPr>
      <w:r>
        <w:rPr/>
        <w:t>①公司取得无形资产时按成本进行初始计量； </w:t>
      </w:r>
      <w:r>
        <w:rPr>
          <w:spacing w:val="-1"/>
        </w:rPr>
        <w:t>外购无形资产的成本，包括购买价款、相关税费以及直接归属于使该项资产达到预定用途所发生的其</w:t>
      </w:r>
    </w:p>
    <w:p>
      <w:pPr>
        <w:pStyle w:val="BodyText"/>
        <w:spacing w:line="408" w:lineRule="auto"/>
        <w:ind w:left="153" w:right="1130"/>
        <w:jc w:val="both"/>
      </w:pPr>
      <w:r>
        <w:rPr>
          <w:spacing w:val="-1"/>
        </w:rPr>
        <w:t>他支出。购买无形资产的价款超过正常信用条件延期支付，实质上具有融资性质的，无形资产的成本以购</w:t>
      </w:r>
      <w:r>
        <w:rPr>
          <w:spacing w:val="-83"/>
        </w:rPr>
        <w:t> </w:t>
      </w:r>
      <w:r>
        <w:rPr>
          <w:spacing w:val="-83"/>
        </w:rPr>
      </w:r>
      <w:r>
        <w:rPr/>
        <w:t>买价款的现值为基础确定。</w:t>
      </w:r>
    </w:p>
    <w:p>
      <w:pPr>
        <w:pStyle w:val="BodyText"/>
        <w:spacing w:line="408" w:lineRule="auto"/>
        <w:ind w:left="153" w:right="1130" w:firstLine="420"/>
        <w:jc w:val="both"/>
      </w:pPr>
      <w:r>
        <w:rPr>
          <w:spacing w:val="-1"/>
        </w:rPr>
        <w:t>债务重组取得债务人用以抵债的无形资产，以所放弃债权的公允价值和可直接归属于使该资产达到预</w:t>
      </w:r>
      <w:r>
        <w:rPr/>
        <w:t> </w:t>
      </w:r>
      <w:r>
        <w:rPr>
          <w:spacing w:val="-1"/>
        </w:rPr>
        <w:t>定用途所发生的税金等其他成本确定其入账价值，并将所放弃债权的公允价值与账面价值之间的差额，计</w:t>
      </w:r>
      <w:r>
        <w:rPr>
          <w:spacing w:val="-81"/>
        </w:rPr>
        <w:t> </w:t>
      </w:r>
      <w:r>
        <w:rPr>
          <w:spacing w:val="-81"/>
        </w:rPr>
      </w:r>
      <w:r>
        <w:rPr/>
        <w:t>入当期损益。</w:t>
      </w:r>
    </w:p>
    <w:p>
      <w:pPr>
        <w:pStyle w:val="BodyText"/>
        <w:spacing w:line="408" w:lineRule="auto"/>
        <w:ind w:left="153" w:right="1108" w:firstLine="420"/>
        <w:jc w:val="both"/>
      </w:pPr>
      <w:r>
        <w:rPr>
          <w:spacing w:val="-1"/>
        </w:rPr>
        <w:t>在非货币性资产交换具有商业实质，且换入资产或换出资产的公允价值能够可靠计量时，以公允价值</w:t>
      </w:r>
      <w:r>
        <w:rPr/>
        <w:t> </w:t>
      </w:r>
      <w:r>
        <w:rPr>
          <w:spacing w:val="-1"/>
        </w:rPr>
        <w:t>为基础计量。如换入资产和换出资产的公允价值均能可靠计量的，对于换入的无形资产，以换出资产的公</w:t>
      </w:r>
      <w:r>
        <w:rPr>
          <w:spacing w:val="-83"/>
        </w:rPr>
        <w:t> </w:t>
      </w:r>
      <w:r>
        <w:rPr>
          <w:spacing w:val="-83"/>
        </w:rPr>
      </w:r>
      <w:r>
        <w:rPr>
          <w:spacing w:val="-1"/>
        </w:rPr>
        <w:t>允价值和应支付的相关税费作为换入的无形资产的初始投资成本，除非有确凿证据表明换入资产的公允价</w:t>
      </w:r>
      <w:r>
        <w:rPr>
          <w:spacing w:val="-81"/>
        </w:rPr>
        <w:t> </w:t>
      </w:r>
      <w:r>
        <w:rPr>
          <w:spacing w:val="-81"/>
        </w:rPr>
      </w:r>
      <w:r>
        <w:rPr/>
        <w:t>值更加可靠。非货币性资产交换不具有商业实质，或换入资产和换出资产的公允价值均不能可靠计量的， 对于换入的无形资产，以换出资产的账面价值和应支付的相关税费作为换入无形资产的初始投资成本。</w:t>
      </w:r>
    </w:p>
    <w:p>
      <w:pPr>
        <w:pStyle w:val="BodyText"/>
        <w:spacing w:line="408" w:lineRule="auto"/>
        <w:ind w:left="573" w:right="6551"/>
        <w:jc w:val="left"/>
      </w:pPr>
      <w:r>
        <w:rPr/>
        <w:t>②后续计量 在取得无形资产时分析判断其使用寿命。</w:t>
      </w:r>
    </w:p>
    <w:p>
      <w:pPr>
        <w:pStyle w:val="BodyText"/>
        <w:spacing w:line="240" w:lineRule="auto"/>
        <w:ind w:left="573" w:right="993"/>
        <w:jc w:val="left"/>
      </w:pPr>
      <w:r>
        <w:rPr/>
        <w:t>对于使用寿命有限的无形资产，在为企业带来经济利益的期限内按直线法摊销；无法预见无形资产为</w:t>
      </w:r>
    </w:p>
    <w:p>
      <w:pPr>
        <w:spacing w:after="0" w:line="240"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240" w:lineRule="auto" w:before="35"/>
        <w:ind w:right="1113"/>
        <w:jc w:val="left"/>
      </w:pPr>
      <w:r>
        <w:rPr/>
        <w:t>企业带来经济利益期限的，视为使用寿命不确定的无形资产，不予摊销。</w:t>
      </w:r>
    </w:p>
    <w:p>
      <w:pPr>
        <w:spacing w:line="240" w:lineRule="auto" w:before="10"/>
        <w:rPr>
          <w:rFonts w:ascii="宋体" w:hAnsi="宋体" w:cs="宋体" w:eastAsia="宋体" w:hint="default"/>
          <w:sz w:val="14"/>
          <w:szCs w:val="14"/>
        </w:rPr>
      </w:pPr>
    </w:p>
    <w:p>
      <w:pPr>
        <w:pStyle w:val="Heading3"/>
        <w:spacing w:line="240" w:lineRule="auto"/>
        <w:ind w:left="573" w:right="1113"/>
        <w:jc w:val="left"/>
        <w:rPr>
          <w:b w:val="0"/>
          <w:bCs w:val="0"/>
        </w:rPr>
      </w:pP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2"/>
          <w:szCs w:val="12"/>
        </w:rPr>
      </w:pPr>
    </w:p>
    <w:tbl>
      <w:tblPr>
        <w:tblW w:w="0" w:type="auto"/>
        <w:jc w:val="left"/>
        <w:tblInd w:w="151" w:type="dxa"/>
        <w:tblLayout w:type="fixed"/>
        <w:tblCellMar>
          <w:top w:w="0" w:type="dxa"/>
          <w:left w:w="0" w:type="dxa"/>
          <w:bottom w:w="0" w:type="dxa"/>
          <w:right w:w="0" w:type="dxa"/>
        </w:tblCellMar>
        <w:tblLook w:val="01E0"/>
      </w:tblPr>
      <w:tblGrid>
        <w:gridCol w:w="2846"/>
        <w:gridCol w:w="1403"/>
        <w:gridCol w:w="2272"/>
        <w:gridCol w:w="2977"/>
      </w:tblGrid>
      <w:tr>
        <w:trPr>
          <w:trHeight w:val="337" w:hRule="exact"/>
        </w:trPr>
        <w:tc>
          <w:tcPr>
            <w:tcW w:w="2846"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3"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2272"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摊销方法</w:t>
            </w:r>
          </w:p>
        </w:tc>
        <w:tc>
          <w:tcPr>
            <w:tcW w:w="2977"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38" w:hRule="exact"/>
        </w:trPr>
        <w:tc>
          <w:tcPr>
            <w:tcW w:w="2846" w:type="dxa"/>
            <w:tcBorders>
              <w:top w:val="single" w:sz="6" w:space="0" w:color="BFBFBF"/>
              <w:left w:val="single" w:sz="2" w:space="0" w:color="000000"/>
              <w:bottom w:val="single" w:sz="2" w:space="0" w:color="000000"/>
              <w:right w:val="single" w:sz="2"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2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土地使用权权证规定年限</w:t>
            </w:r>
          </w:p>
        </w:tc>
        <w:tc>
          <w:tcPr>
            <w:tcW w:w="29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土地使用权</w:t>
            </w:r>
          </w:p>
        </w:tc>
      </w:tr>
      <w:tr>
        <w:trPr>
          <w:trHeight w:val="336" w:hRule="exact"/>
        </w:trPr>
        <w:tc>
          <w:tcPr>
            <w:tcW w:w="2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专利权</w:t>
            </w:r>
          </w:p>
        </w:tc>
        <w:tc>
          <w:tcPr>
            <w:tcW w:w="1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2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专利权有效期</w:t>
            </w:r>
          </w:p>
        </w:tc>
        <w:tc>
          <w:tcPr>
            <w:tcW w:w="29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专利权</w:t>
            </w:r>
          </w:p>
        </w:tc>
      </w:tr>
      <w:tr>
        <w:trPr>
          <w:trHeight w:val="337" w:hRule="exact"/>
        </w:trPr>
        <w:tc>
          <w:tcPr>
            <w:tcW w:w="2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会计估计</w:t>
            </w:r>
          </w:p>
        </w:tc>
        <w:tc>
          <w:tcPr>
            <w:tcW w:w="29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软件</w:t>
            </w:r>
          </w:p>
        </w:tc>
      </w:tr>
    </w:tbl>
    <w:p>
      <w:pPr>
        <w:spacing w:line="408" w:lineRule="auto" w:before="63"/>
        <w:ind w:left="573" w:right="3269" w:firstLine="0"/>
        <w:jc w:val="left"/>
        <w:rPr>
          <w:rFonts w:ascii="宋体" w:hAnsi="宋体" w:cs="宋体" w:eastAsia="宋体" w:hint="default"/>
          <w:sz w:val="21"/>
          <w:szCs w:val="21"/>
        </w:rPr>
      </w:pPr>
      <w:r>
        <w:rPr>
          <w:rFonts w:ascii="宋体" w:hAnsi="宋体" w:cs="宋体" w:eastAsia="宋体" w:hint="default"/>
          <w:sz w:val="21"/>
          <w:szCs w:val="21"/>
        </w:rPr>
        <w:t>每年度终了，对使用寿命有限的无形资产的使用寿命及摊销方法进行复核。 经复核，本年期末无形资产的使用寿命及摊销方法与以前估计未有不同。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）使用寿命不确定的无形资产的判断依据以及对其使用寿命进行复核的程序</w:t>
      </w:r>
      <w:r>
        <w:rPr>
          <w:rFonts w:ascii="宋体" w:hAnsi="宋体" w:cs="宋体" w:eastAsia="宋体" w:hint="default"/>
          <w:sz w:val="21"/>
          <w:szCs w:val="21"/>
        </w:rPr>
      </w:r>
    </w:p>
    <w:p>
      <w:pPr>
        <w:pStyle w:val="BodyText"/>
        <w:spacing w:line="386" w:lineRule="auto" w:before="14"/>
        <w:ind w:left="153" w:right="1118" w:firstLine="420"/>
        <w:jc w:val="left"/>
      </w:pPr>
      <w:r>
        <w:rPr/>
        <w:t>本公司拥有</w:t>
      </w:r>
      <w:r>
        <w:rPr>
          <w:spacing w:val="12"/>
        </w:rPr>
        <w:t> </w:t>
      </w:r>
      <w:r>
        <w:rPr>
          <w:rFonts w:ascii="Times New Roman" w:hAnsi="Times New Roman" w:cs="Times New Roman" w:eastAsia="Times New Roman" w:hint="default"/>
          <w:spacing w:val="-3"/>
        </w:rPr>
        <w:t>“</w:t>
      </w:r>
      <w:r>
        <w:rPr>
          <w:spacing w:val="-3"/>
        </w:rPr>
        <w:t>新开普</w:t>
      </w:r>
      <w:r>
        <w:rPr>
          <w:rFonts w:ascii="Times New Roman" w:hAnsi="Times New Roman" w:cs="Times New Roman" w:eastAsia="Times New Roman" w:hint="default"/>
          <w:spacing w:val="-3"/>
        </w:rPr>
        <w:t>”</w:t>
      </w:r>
      <w:r>
        <w:rPr>
          <w:spacing w:val="-3"/>
        </w:rPr>
        <w:t>商标，本公司认为在可预见的将来该商标均会使用并带给本公司预期的经济利益</w:t>
      </w:r>
      <w:r>
        <w:rPr/>
        <w:t> 流入，故认定其使用寿命为不确定。</w:t>
      </w:r>
    </w:p>
    <w:p>
      <w:pPr>
        <w:pStyle w:val="BodyText"/>
        <w:spacing w:line="408" w:lineRule="auto" w:before="65"/>
        <w:ind w:left="573" w:right="4661"/>
        <w:jc w:val="left"/>
      </w:pPr>
      <w:r>
        <w:rPr/>
        <w:t>每期末，对使用寿命不确定的无形资产的使用寿命进行复核。 经复核，该类无形资产的使用寿命仍为不确定。</w:t>
      </w:r>
    </w:p>
    <w:p>
      <w:pPr>
        <w:spacing w:line="240" w:lineRule="auto" w:before="8"/>
        <w:rPr>
          <w:rFonts w:ascii="宋体" w:hAnsi="宋体" w:cs="宋体" w:eastAsia="宋体" w:hint="default"/>
          <w:sz w:val="20"/>
          <w:szCs w:val="20"/>
        </w:rPr>
      </w:pPr>
    </w:p>
    <w:p>
      <w:pPr>
        <w:pStyle w:val="Heading3"/>
        <w:spacing w:line="240" w:lineRule="auto"/>
        <w:ind w:left="153" w:right="1113"/>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574" w:right="1113"/>
        <w:jc w:val="left"/>
      </w:pPr>
      <w:r>
        <w:rPr/>
        <w:t>公司内部研究开发项目的支出分为研究阶段支出和开发阶段支出。 研究阶段：为获取并理解新的科学或技术知识等而进行的独创性的有计划调查、研究活动的阶段。 </w:t>
      </w:r>
      <w:r>
        <w:rPr>
          <w:spacing w:val="-1"/>
        </w:rPr>
        <w:t>开发阶段：在进行商业性生产或使用前，将研究成果或其他知识应用于某项计划或设计，以生产出新</w:t>
      </w:r>
    </w:p>
    <w:p>
      <w:pPr>
        <w:spacing w:line="408" w:lineRule="auto" w:before="45"/>
        <w:ind w:left="574" w:right="3400" w:hanging="420"/>
        <w:jc w:val="left"/>
        <w:rPr>
          <w:rFonts w:ascii="宋体" w:hAnsi="宋体" w:cs="宋体" w:eastAsia="宋体" w:hint="default"/>
          <w:sz w:val="21"/>
          <w:szCs w:val="21"/>
        </w:rPr>
      </w:pPr>
      <w:r>
        <w:rPr>
          <w:rFonts w:ascii="宋体" w:hAnsi="宋体" w:cs="宋体" w:eastAsia="宋体" w:hint="default"/>
          <w:sz w:val="21"/>
          <w:szCs w:val="21"/>
        </w:rPr>
        <w:t>的或具有实质性改进的材料、装置、产品等活动的阶段。 </w:t>
      </w:r>
      <w:r>
        <w:rPr>
          <w:rFonts w:ascii="宋体" w:hAnsi="宋体" w:cs="宋体" w:eastAsia="宋体" w:hint="default"/>
          <w:b/>
          <w:bCs/>
          <w:sz w:val="21"/>
          <w:szCs w:val="21"/>
        </w:rPr>
        <w:t>开发阶段支出资本化的具体条件</w:t>
      </w:r>
      <w:r>
        <w:rPr>
          <w:rFonts w:ascii="宋体" w:hAnsi="宋体" w:cs="宋体" w:eastAsia="宋体" w:hint="default"/>
          <w:b/>
          <w:bCs/>
          <w:spacing w:val="1"/>
          <w:w w:val="99"/>
          <w:sz w:val="21"/>
          <w:szCs w:val="21"/>
        </w:rPr>
        <w:t> </w:t>
      </w:r>
      <w:r>
        <w:rPr>
          <w:rFonts w:ascii="宋体" w:hAnsi="宋体" w:cs="宋体" w:eastAsia="宋体" w:hint="default"/>
          <w:sz w:val="21"/>
          <w:szCs w:val="21"/>
        </w:rPr>
        <w:t>内部研究开发项目开发阶段的支出，同时满足下列条件时确认为无形资产：</w:t>
      </w:r>
    </w:p>
    <w:p>
      <w:pPr>
        <w:pStyle w:val="BodyText"/>
        <w:spacing w:line="240" w:lineRule="auto"/>
        <w:ind w:left="574" w:right="1113"/>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77"/>
        <w:ind w:left="574" w:right="1113"/>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86" w:lineRule="auto" w:before="177"/>
        <w:ind w:right="1195" w:firstLine="42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 自身存在市场，无形资产将在内部使用的，能够证明其有用性；</w:t>
      </w:r>
    </w:p>
    <w:p>
      <w:pPr>
        <w:pStyle w:val="BodyText"/>
        <w:spacing w:line="386" w:lineRule="auto" w:before="65"/>
        <w:ind w:right="1195" w:firstLine="42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 无形资产；</w:t>
      </w:r>
    </w:p>
    <w:p>
      <w:pPr>
        <w:pStyle w:val="BodyText"/>
        <w:spacing w:line="386" w:lineRule="auto" w:before="65"/>
        <w:ind w:left="574" w:right="1113"/>
        <w:jc w:val="left"/>
      </w:pPr>
      <w:r>
        <w:rPr/>
        <w:t>（</w:t>
      </w:r>
      <w:r>
        <w:rPr>
          <w:rFonts w:ascii="Times New Roman" w:hAnsi="Times New Roman" w:cs="Times New Roman" w:eastAsia="Times New Roman" w:hint="default"/>
        </w:rPr>
        <w:t>5</w:t>
      </w:r>
      <w:r>
        <w:rPr/>
        <w:t>）归属于该无形资产开发阶段的支出能够可靠地计量。 </w:t>
      </w:r>
      <w:r>
        <w:rPr>
          <w:spacing w:val="-1"/>
        </w:rPr>
        <w:t>开发阶段的支出，若不满足上列条件的，于发生时计入当期损益。研究阶段的支出，在发生时计入当</w:t>
      </w:r>
    </w:p>
    <w:p>
      <w:pPr>
        <w:pStyle w:val="BodyText"/>
        <w:spacing w:line="240" w:lineRule="auto" w:before="65"/>
        <w:ind w:right="1113"/>
        <w:jc w:val="left"/>
      </w:pPr>
      <w:r>
        <w:rPr/>
        <w:t>期损益。</w:t>
      </w:r>
    </w:p>
    <w:p>
      <w:pPr>
        <w:spacing w:after="0" w:line="240" w:lineRule="auto"/>
        <w:jc w:val="left"/>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1113"/>
        <w:jc w:val="left"/>
        <w:rPr>
          <w:b w:val="0"/>
          <w:bCs w:val="0"/>
        </w:rPr>
      </w:pPr>
      <w:r>
        <w:rPr>
          <w:rFonts w:ascii="Times New Roman" w:hAnsi="Times New Roman" w:cs="Times New Roman" w:eastAsia="Times New Roman" w:hint="default"/>
        </w:rPr>
        <w:t>23</w:t>
      </w:r>
      <w:r>
        <w:rPr/>
        <w:t>、长期资产减值</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3" w:right="1131" w:firstLine="420"/>
        <w:jc w:val="both"/>
      </w:pPr>
      <w:r>
        <w:rPr>
          <w:spacing w:val="-1"/>
        </w:rPr>
        <w:t>长期股权投资、采用成本模式计量的投资性房地产、固定资产、在建工程、使用寿命有限的无形资产</w:t>
      </w:r>
      <w:r>
        <w:rPr/>
        <w:t> </w:t>
      </w:r>
      <w:r>
        <w:rPr>
          <w:spacing w:val="-1"/>
        </w:rPr>
        <w:t>等长期资产，于资产负债表日存在减值迹象的，进行减值测试。减值测试结果表明资产的可收回金额低于</w:t>
      </w:r>
      <w:r>
        <w:rPr>
          <w:spacing w:val="-83"/>
        </w:rPr>
        <w:t> </w:t>
      </w:r>
      <w:r>
        <w:rPr>
          <w:spacing w:val="-83"/>
        </w:rPr>
      </w:r>
      <w:r>
        <w:rPr>
          <w:spacing w:val="-1"/>
        </w:rPr>
        <w:t>其账面价值的，按其差额计提减值准备并计入减值损失。可收回金额为资产的公允价值减去处置费用后的</w:t>
      </w:r>
      <w:r>
        <w:rPr>
          <w:spacing w:val="-81"/>
        </w:rPr>
        <w:t> </w:t>
      </w:r>
      <w:r>
        <w:rPr>
          <w:spacing w:val="-81"/>
        </w:rPr>
      </w:r>
      <w:r>
        <w:rPr>
          <w:spacing w:val="-1"/>
        </w:rPr>
        <w:t>净额与资产预计未来现金流量的现值两者之间的较高者。资产减值准备按单项资产为基础计算并确认，如</w:t>
      </w:r>
      <w:r>
        <w:rPr>
          <w:spacing w:val="-81"/>
        </w:rPr>
        <w:t> </w:t>
      </w:r>
      <w:r>
        <w:rPr>
          <w:spacing w:val="-81"/>
        </w:rPr>
      </w:r>
      <w:r>
        <w:rPr>
          <w:spacing w:val="-1"/>
        </w:rPr>
        <w:t>果难以对单项资产的可收回金额进行估计的，以该资产所属的资产组确定资产组的可收回金额。资产组是</w:t>
      </w:r>
      <w:r>
        <w:rPr>
          <w:spacing w:val="-81"/>
        </w:rPr>
        <w:t> </w:t>
      </w:r>
      <w:r>
        <w:rPr>
          <w:spacing w:val="-81"/>
        </w:rPr>
      </w:r>
      <w:r>
        <w:rPr/>
        <w:t>能够独立产生现金流入的最小资产组合。</w:t>
      </w:r>
    </w:p>
    <w:p>
      <w:pPr>
        <w:pStyle w:val="BodyText"/>
        <w:spacing w:line="240" w:lineRule="auto"/>
        <w:ind w:left="573" w:right="993"/>
        <w:jc w:val="left"/>
      </w:pPr>
      <w:r>
        <w:rPr/>
        <w:t>商誉、使用寿命不确定的无形资产、尚未达到可使用状态的无形资产至少在每年年度终了进行减值测</w:t>
      </w:r>
    </w:p>
    <w:p>
      <w:pPr>
        <w:spacing w:line="240" w:lineRule="auto" w:before="10"/>
        <w:rPr>
          <w:rFonts w:ascii="宋体" w:hAnsi="宋体" w:cs="宋体" w:eastAsia="宋体" w:hint="default"/>
          <w:sz w:val="14"/>
          <w:szCs w:val="14"/>
        </w:rPr>
      </w:pPr>
    </w:p>
    <w:p>
      <w:pPr>
        <w:pStyle w:val="BodyText"/>
        <w:spacing w:line="240" w:lineRule="auto" w:before="0"/>
        <w:ind w:left="153" w:right="1113"/>
        <w:jc w:val="left"/>
      </w:pPr>
      <w:r>
        <w:rPr/>
        <w:t>试。</w:t>
      </w:r>
    </w:p>
    <w:p>
      <w:pPr>
        <w:spacing w:line="240" w:lineRule="auto" w:before="10"/>
        <w:rPr>
          <w:rFonts w:ascii="宋体" w:hAnsi="宋体" w:cs="宋体" w:eastAsia="宋体" w:hint="default"/>
          <w:sz w:val="14"/>
          <w:szCs w:val="14"/>
        </w:rPr>
      </w:pPr>
    </w:p>
    <w:p>
      <w:pPr>
        <w:pStyle w:val="BodyText"/>
        <w:spacing w:line="408" w:lineRule="auto" w:before="0"/>
        <w:ind w:left="153" w:right="1131" w:firstLine="420"/>
        <w:jc w:val="both"/>
      </w:pPr>
      <w:r>
        <w:rPr>
          <w:spacing w:val="-1"/>
        </w:rPr>
        <w:t>本公司进行商誉减值测试，对于因企业合并形成的商誉的账面价值，自购买日起按照合理的方法分摊</w:t>
      </w:r>
      <w:r>
        <w:rPr/>
        <w:t> </w:t>
      </w:r>
      <w:r>
        <w:rPr>
          <w:spacing w:val="-1"/>
        </w:rPr>
        <w:t>至相关的资产组；难以分摊至相关的资产组的，将其分摊至相关的资产组组合。本公司在分摊商誉的账面</w:t>
      </w:r>
      <w:r>
        <w:rPr>
          <w:spacing w:val="-83"/>
        </w:rPr>
        <w:t> </w:t>
      </w:r>
      <w:r>
        <w:rPr>
          <w:spacing w:val="-83"/>
        </w:rPr>
      </w:r>
      <w:r>
        <w:rPr>
          <w:spacing w:val="-1"/>
        </w:rPr>
        <w:t>价值时，根据相关资产组或资产组组合能够从企业合并的协同效应中获得的相对受益情况进行分摊，在此</w:t>
      </w:r>
      <w:r>
        <w:rPr>
          <w:spacing w:val="-81"/>
        </w:rPr>
        <w:t> </w:t>
      </w:r>
      <w:r>
        <w:rPr>
          <w:spacing w:val="-81"/>
        </w:rPr>
      </w:r>
      <w:r>
        <w:rPr/>
        <w:t>基础上进行商誉减值测试。</w:t>
      </w:r>
    </w:p>
    <w:p>
      <w:pPr>
        <w:pStyle w:val="BodyText"/>
        <w:spacing w:line="408" w:lineRule="auto"/>
        <w:ind w:left="153" w:right="1108" w:firstLine="420"/>
        <w:jc w:val="both"/>
      </w:pPr>
      <w:r>
        <w:rPr>
          <w:spacing w:val="-1"/>
        </w:rPr>
        <w:t>在对包含商誉的相关资产组或者资产组组合进行减值测试时，如与商誉相关的资产组或者资产组组合</w:t>
      </w:r>
      <w:r>
        <w:rPr/>
        <w:t> </w:t>
      </w:r>
      <w:r>
        <w:rPr>
          <w:spacing w:val="-1"/>
        </w:rPr>
        <w:t>存在减值迹象的，先对不包含商誉的资产组或者资产组组合进行减值测试，计算可收回金额，并与相关账</w:t>
      </w:r>
      <w:r>
        <w:rPr>
          <w:spacing w:val="-83"/>
        </w:rPr>
        <w:t> </w:t>
      </w:r>
      <w:r>
        <w:rPr>
          <w:spacing w:val="-83"/>
        </w:rPr>
      </w:r>
      <w:r>
        <w:rPr>
          <w:spacing w:val="-1"/>
        </w:rPr>
        <w:t>面价值相比较，确认相应的减值损失。再对包含商誉的资产组或者资产组组合进行减值测试，比较这些相</w:t>
      </w:r>
      <w:r>
        <w:rPr>
          <w:spacing w:val="-83"/>
        </w:rPr>
        <w:t> </w:t>
      </w:r>
      <w:r>
        <w:rPr>
          <w:spacing w:val="-83"/>
        </w:rPr>
      </w:r>
      <w:r>
        <w:rPr>
          <w:spacing w:val="-1"/>
        </w:rPr>
        <w:t>关资产组或者资产组组合的账面价值（包括所分摊的商誉的账面价值部分）与其可收回金额，如相关资产</w:t>
      </w:r>
      <w:r>
        <w:rPr>
          <w:spacing w:val="-83"/>
        </w:rPr>
        <w:t> </w:t>
      </w:r>
      <w:r>
        <w:rPr>
          <w:spacing w:val="-83"/>
        </w:rPr>
      </w:r>
      <w:r>
        <w:rPr/>
        <w:t>组或者资产组组合的可收回金额低于其账面价值的，确认商誉的减值损失。上述资产减值损失一经确认， 在以后会计期间不予转回。</w:t>
      </w:r>
    </w:p>
    <w:p>
      <w:pPr>
        <w:spacing w:line="240" w:lineRule="auto" w:before="8"/>
        <w:rPr>
          <w:rFonts w:ascii="宋体" w:hAnsi="宋体" w:cs="宋体" w:eastAsia="宋体" w:hint="default"/>
          <w:sz w:val="20"/>
          <w:szCs w:val="20"/>
        </w:rPr>
      </w:pPr>
    </w:p>
    <w:p>
      <w:pPr>
        <w:pStyle w:val="Heading3"/>
        <w:spacing w:line="240" w:lineRule="auto"/>
        <w:ind w:left="153" w:right="1113"/>
        <w:jc w:val="left"/>
        <w:rPr>
          <w:b w:val="0"/>
          <w:bCs w:val="0"/>
        </w:rPr>
      </w:pPr>
      <w:r>
        <w:rPr>
          <w:rFonts w:ascii="Times New Roman" w:hAnsi="Times New Roman" w:cs="Times New Roman" w:eastAsia="Times New Roman" w:hint="default"/>
        </w:rPr>
        <w:t>24</w:t>
      </w:r>
      <w:r>
        <w:rPr/>
        <w:t>、长期待摊费用</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3" w:right="1130" w:firstLine="420"/>
        <w:jc w:val="both"/>
      </w:pPr>
      <w:r>
        <w:rPr>
          <w:spacing w:val="-1"/>
        </w:rPr>
        <w:t>长期待摊费用为已经发生但应由本期和以后各期负担的分摊期限在一年以上的各项费用。本公司长期</w:t>
      </w:r>
      <w:r>
        <w:rPr/>
        <w:t> 待摊费用包括租入房屋改良支出、车辆租赁服务支出、法定披露及网站域名邮箱等服务。</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386" w:lineRule="auto" w:before="0"/>
        <w:ind w:left="573" w:right="697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）摊销方法</w:t>
      </w:r>
      <w:r>
        <w:rPr>
          <w:rFonts w:ascii="宋体" w:hAnsi="宋体" w:cs="宋体" w:eastAsia="宋体" w:hint="default"/>
          <w:b/>
          <w:bCs/>
          <w:w w:val="99"/>
          <w:sz w:val="21"/>
          <w:szCs w:val="21"/>
        </w:rPr>
        <w:t> </w:t>
      </w:r>
      <w:r>
        <w:rPr>
          <w:rFonts w:ascii="宋体" w:hAnsi="宋体" w:cs="宋体" w:eastAsia="宋体" w:hint="default"/>
          <w:sz w:val="21"/>
          <w:szCs w:val="21"/>
        </w:rPr>
        <w:t>长期待摊费用在受益期内平均摊销。</w:t>
      </w:r>
    </w:p>
    <w:p>
      <w:pPr>
        <w:spacing w:line="386" w:lineRule="auto" w:before="65"/>
        <w:ind w:left="573" w:right="676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）摊销年限</w:t>
      </w:r>
      <w:r>
        <w:rPr>
          <w:rFonts w:ascii="宋体" w:hAnsi="宋体" w:cs="宋体" w:eastAsia="宋体" w:hint="default"/>
          <w:b/>
          <w:bCs/>
          <w:w w:val="99"/>
          <w:sz w:val="21"/>
          <w:szCs w:val="21"/>
        </w:rPr>
        <w:t> </w:t>
      </w:r>
      <w:r>
        <w:rPr>
          <w:rFonts w:ascii="宋体" w:hAnsi="宋体" w:cs="宋体" w:eastAsia="宋体" w:hint="default"/>
          <w:sz w:val="21"/>
          <w:szCs w:val="21"/>
        </w:rPr>
        <w:t>长期待摊费用的摊销年限为受益期间。</w:t>
      </w:r>
    </w:p>
    <w:p>
      <w:pPr>
        <w:spacing w:after="0" w:line="386" w:lineRule="auto"/>
        <w:jc w:val="left"/>
        <w:rPr>
          <w:rFonts w:ascii="宋体" w:hAnsi="宋体" w:cs="宋体" w:eastAsia="宋体" w:hint="default"/>
          <w:sz w:val="21"/>
          <w:szCs w:val="21"/>
        </w:rPr>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1113"/>
        <w:jc w:val="left"/>
        <w:rPr>
          <w:b w:val="0"/>
          <w:bCs w:val="0"/>
        </w:rPr>
      </w:pPr>
      <w:r>
        <w:rPr>
          <w:rFonts w:ascii="Times New Roman" w:hAnsi="Times New Roman" w:cs="Times New Roman" w:eastAsia="Times New Roman" w:hint="default"/>
        </w:rPr>
        <w:t>25</w:t>
      </w:r>
      <w:r>
        <w:rPr/>
        <w:t>、职工薪酬</w:t>
      </w:r>
      <w:r>
        <w:rPr>
          <w:b w:val="0"/>
          <w:bCs w:val="0"/>
        </w:rPr>
      </w:r>
    </w:p>
    <w:p>
      <w:pPr>
        <w:spacing w:line="690" w:lineRule="exact" w:before="15"/>
        <w:ind w:left="573" w:right="1113"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本公司在职工为本公司提供服务的会计期间，将实际发生的短期薪酬确认为负债，并计入当期损益或</w:t>
      </w:r>
    </w:p>
    <w:p>
      <w:pPr>
        <w:pStyle w:val="BodyText"/>
        <w:spacing w:line="408" w:lineRule="auto" w:before="84"/>
        <w:ind w:left="573" w:right="1113" w:hanging="420"/>
        <w:jc w:val="left"/>
      </w:pPr>
      <w:r>
        <w:rPr/>
        <w:t>相关资产成本。 </w:t>
      </w:r>
      <w:r>
        <w:rPr>
          <w:spacing w:val="-1"/>
        </w:rPr>
        <w:t>本公司为职工缴纳的社会保险费和住房公积金，以及按规定提取的工会经费和职工教育经费，在职工</w:t>
      </w:r>
    </w:p>
    <w:p>
      <w:pPr>
        <w:pStyle w:val="BodyText"/>
        <w:spacing w:line="408" w:lineRule="auto"/>
        <w:ind w:left="573" w:right="1931" w:hanging="420"/>
        <w:jc w:val="left"/>
      </w:pPr>
      <w:r>
        <w:rPr/>
        <w:t>为本公司提供服务的会计期间，根据规定的计提基础和计提比例计算确定相应的职工薪酬金额。 职工福利费为非货币性福利的，如能够可靠计量的，按照公允价值计量。</w:t>
      </w:r>
    </w:p>
    <w:p>
      <w:pPr>
        <w:spacing w:line="240" w:lineRule="auto" w:before="8"/>
        <w:rPr>
          <w:rFonts w:ascii="宋体" w:hAnsi="宋体" w:cs="宋体" w:eastAsia="宋体" w:hint="default"/>
          <w:sz w:val="20"/>
          <w:szCs w:val="20"/>
        </w:rPr>
      </w:pPr>
    </w:p>
    <w:p>
      <w:pPr>
        <w:pStyle w:val="Heading3"/>
        <w:spacing w:line="240" w:lineRule="auto"/>
        <w:ind w:left="153" w:right="1113"/>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73" w:right="1113"/>
        <w:jc w:val="left"/>
      </w:pPr>
      <w:r>
        <w:rPr/>
        <w:t>①设定提存计划 </w:t>
      </w:r>
      <w:r>
        <w:rPr>
          <w:spacing w:val="-1"/>
        </w:rPr>
        <w:t>本公司按当地政府的相关规定为职工缴纳基本养老保险和失业保险，在职工为本公司提供服务的会计</w:t>
      </w:r>
    </w:p>
    <w:p>
      <w:pPr>
        <w:pStyle w:val="BodyText"/>
        <w:spacing w:line="408" w:lineRule="auto"/>
        <w:ind w:left="0" w:right="1108"/>
        <w:jc w:val="right"/>
      </w:pPr>
      <w:r>
        <w:rPr/>
        <w:t>期间，按以当地规定的缴纳基数和比例计算应缴纳金额，确认为负债，并计入当期损益或相关资产成本。 </w:t>
      </w:r>
      <w:r>
        <w:rPr>
          <w:spacing w:val="-1"/>
        </w:rPr>
        <w:t>除基本养老保险外，本公司还依据国家企业年金制度的相关政策建立了企业年金缴费制度（补充养老</w:t>
      </w:r>
      <w:r>
        <w:rPr/>
        <w:t> </w:t>
      </w:r>
      <w:r>
        <w:rPr>
          <w:spacing w:val="-1"/>
        </w:rPr>
        <w:t>保险）/企业年金计划。本公司按职工工资总额的一定比例向当地社会保险机构缴费/年金计划缴费，相应</w:t>
      </w:r>
    </w:p>
    <w:p>
      <w:pPr>
        <w:pStyle w:val="BodyText"/>
        <w:spacing w:line="240" w:lineRule="auto"/>
        <w:ind w:left="153" w:right="1113"/>
        <w:jc w:val="left"/>
      </w:pPr>
      <w:r>
        <w:rPr/>
        <w:t>支出计入当期损益或相关资产成本。</w:t>
      </w:r>
    </w:p>
    <w:p>
      <w:pPr>
        <w:spacing w:line="240" w:lineRule="auto" w:before="10"/>
        <w:rPr>
          <w:rFonts w:ascii="宋体" w:hAnsi="宋体" w:cs="宋体" w:eastAsia="宋体" w:hint="default"/>
          <w:sz w:val="14"/>
          <w:szCs w:val="14"/>
        </w:rPr>
      </w:pPr>
    </w:p>
    <w:p>
      <w:pPr>
        <w:pStyle w:val="BodyText"/>
        <w:spacing w:line="408" w:lineRule="auto" w:before="0"/>
        <w:ind w:left="573" w:right="1301"/>
        <w:jc w:val="left"/>
      </w:pPr>
      <w:r>
        <w:rPr/>
        <w:t>②设定受益计划 本公司根据预期累计福利单位法确定的公式将设定受益计划产生的福利义务归属于职工提供服务的</w:t>
      </w:r>
    </w:p>
    <w:p>
      <w:pPr>
        <w:pStyle w:val="BodyText"/>
        <w:spacing w:line="408" w:lineRule="auto"/>
        <w:ind w:left="573" w:right="1301" w:hanging="420"/>
        <w:jc w:val="left"/>
      </w:pPr>
      <w:r>
        <w:rPr/>
        <w:t>期间，并计入当期损益或相关资产成本。 设定受益计划义务现值减去设定受益计划资产公允价值所形成的赤字或盈余确认为一项设定受益计</w:t>
      </w:r>
    </w:p>
    <w:p>
      <w:pPr>
        <w:pStyle w:val="BodyText"/>
        <w:spacing w:line="408" w:lineRule="auto"/>
        <w:ind w:left="153" w:right="1113"/>
        <w:jc w:val="left"/>
      </w:pPr>
      <w:r>
        <w:rPr>
          <w:spacing w:val="-1"/>
        </w:rPr>
        <w:t>划净负债或净资产。设定受益计划存在盈余的，本公司以设定受益计划的盈余和资产上限两项的孰低者计</w:t>
      </w:r>
      <w:r>
        <w:rPr>
          <w:spacing w:val="-81"/>
        </w:rPr>
        <w:t> </w:t>
      </w:r>
      <w:r>
        <w:rPr>
          <w:spacing w:val="-81"/>
        </w:rPr>
      </w:r>
      <w:r>
        <w:rPr/>
        <w:t>量设定受益计划净资产。</w:t>
      </w:r>
    </w:p>
    <w:p>
      <w:pPr>
        <w:pStyle w:val="BodyText"/>
        <w:spacing w:line="408" w:lineRule="auto"/>
        <w:ind w:left="153" w:right="1091" w:firstLine="420"/>
        <w:jc w:val="left"/>
      </w:pPr>
      <w:r>
        <w:rPr/>
        <w:t>所有设定受益计划义务，包括预期在职工提供服务的年度报告期间结束后的十二个月内支付的义务， 根据资产负债表日与设定受益计划义务期限和币种相匹配的国债或活跃市场上的高质量公司债券的市场 收益率予以折现。</w:t>
      </w:r>
    </w:p>
    <w:p>
      <w:pPr>
        <w:pStyle w:val="BodyText"/>
        <w:spacing w:line="408" w:lineRule="auto"/>
        <w:ind w:left="153" w:right="1091" w:firstLine="420"/>
        <w:jc w:val="left"/>
      </w:pPr>
      <w:r>
        <w:rPr/>
        <w:t>设定受益计划产生的服务成本和设定受益计划净负债或净资产的利息净额计入当期损益或相关资产 </w:t>
      </w:r>
      <w:r>
        <w:rPr>
          <w:spacing w:val="-1"/>
        </w:rPr>
        <w:t>成本；重新计量设定受益计划净负债或净资产所产生的变动计入其他综合收益，并且在后续会计期间不转</w:t>
      </w:r>
      <w:r>
        <w:rPr>
          <w:spacing w:val="-81"/>
        </w:rPr>
        <w:t> </w:t>
      </w:r>
      <w:r>
        <w:rPr>
          <w:spacing w:val="-81"/>
        </w:rPr>
      </w:r>
      <w:r>
        <w:rPr/>
        <w:t>回至损益，在原设定受益计划终止时在权益范围内将原计入其他综合收益的部分全部结转至未分配利润。</w:t>
      </w:r>
    </w:p>
    <w:p>
      <w:pPr>
        <w:pStyle w:val="BodyText"/>
        <w:spacing w:line="408" w:lineRule="auto"/>
        <w:ind w:left="153" w:right="1113" w:firstLine="420"/>
        <w:jc w:val="left"/>
      </w:pPr>
      <w:r>
        <w:rPr>
          <w:spacing w:val="-1"/>
        </w:rPr>
        <w:t>在设定受益计划结算时，按在结算日确定的设定受益计划义务现值和结算价格两者的差额，确认结算</w:t>
      </w:r>
      <w:r>
        <w:rPr/>
        <w:t> 利得或损失。</w:t>
      </w:r>
    </w:p>
    <w:p>
      <w:pPr>
        <w:spacing w:after="0" w:line="408" w:lineRule="auto"/>
        <w:jc w:val="left"/>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3" w:right="1091" w:firstLine="420"/>
        <w:jc w:val="left"/>
      </w:pPr>
      <w:r>
        <w:rPr>
          <w:spacing w:val="-1"/>
        </w:rPr>
        <w:t>本公司在不能单方面撤回因解除劳动关系计划或裁减建议所提供的辞退福利时，或确认与涉及支付辞</w:t>
      </w:r>
      <w:r>
        <w:rPr/>
        <w:t> 退福利的重组相关的成本或费用时（两者孰早），确认辞退福利产生的职工薪酬负债，并计入当期损益。</w:t>
      </w:r>
    </w:p>
    <w:p>
      <w:pPr>
        <w:spacing w:line="240" w:lineRule="auto" w:before="8"/>
        <w:rPr>
          <w:rFonts w:ascii="宋体" w:hAnsi="宋体" w:cs="宋体" w:eastAsia="宋体" w:hint="default"/>
          <w:sz w:val="20"/>
          <w:szCs w:val="20"/>
        </w:rPr>
      </w:pPr>
    </w:p>
    <w:p>
      <w:pPr>
        <w:pStyle w:val="Heading3"/>
        <w:spacing w:line="240" w:lineRule="auto"/>
        <w:ind w:left="153" w:right="1113"/>
        <w:jc w:val="left"/>
        <w:rPr>
          <w:b w:val="0"/>
          <w:bCs w:val="0"/>
        </w:rPr>
      </w:pPr>
      <w:r>
        <w:rPr>
          <w:rFonts w:ascii="Times New Roman" w:hAnsi="Times New Roman" w:cs="Times New Roman" w:eastAsia="Times New Roman" w:hint="default"/>
        </w:rPr>
        <w:t>26</w:t>
      </w:r>
      <w:r>
        <w:rPr/>
        <w:t>、预计负债</w:t>
      </w:r>
      <w:r>
        <w:rPr>
          <w:b w:val="0"/>
          <w:bCs w:val="0"/>
        </w:rPr>
      </w:r>
    </w:p>
    <w:p>
      <w:pPr>
        <w:spacing w:line="240" w:lineRule="auto" w:before="7"/>
        <w:rPr>
          <w:rFonts w:ascii="宋体" w:hAnsi="宋体" w:cs="宋体" w:eastAsia="宋体" w:hint="default"/>
          <w:b/>
          <w:bCs/>
          <w:sz w:val="30"/>
          <w:szCs w:val="30"/>
        </w:rPr>
      </w:pPr>
    </w:p>
    <w:p>
      <w:pPr>
        <w:spacing w:line="386" w:lineRule="auto" w:before="0"/>
        <w:ind w:left="573" w:right="111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99"/>
          <w:sz w:val="21"/>
          <w:szCs w:val="21"/>
        </w:rPr>
        <w:t> </w:t>
      </w:r>
      <w:r>
        <w:rPr>
          <w:rFonts w:ascii="宋体" w:hAnsi="宋体" w:cs="宋体" w:eastAsia="宋体" w:hint="default"/>
          <w:spacing w:val="-1"/>
          <w:sz w:val="21"/>
          <w:szCs w:val="21"/>
        </w:rPr>
        <w:t>与诉讼、债务担保、亏损合同、重组事项等或有事项相关的义务同时满足下列条件时，本公司确认为</w:t>
      </w:r>
    </w:p>
    <w:p>
      <w:pPr>
        <w:pStyle w:val="BodyText"/>
        <w:spacing w:line="240" w:lineRule="auto" w:before="65"/>
        <w:ind w:left="153" w:right="1113"/>
        <w:jc w:val="left"/>
      </w:pPr>
      <w:r>
        <w:rPr/>
        <w:t>预计负债：</w:t>
      </w:r>
    </w:p>
    <w:p>
      <w:pPr>
        <w:spacing w:line="240" w:lineRule="auto" w:before="10"/>
        <w:rPr>
          <w:rFonts w:ascii="宋体" w:hAnsi="宋体" w:cs="宋体" w:eastAsia="宋体" w:hint="default"/>
          <w:sz w:val="14"/>
          <w:szCs w:val="14"/>
        </w:rPr>
      </w:pPr>
    </w:p>
    <w:p>
      <w:pPr>
        <w:pStyle w:val="BodyText"/>
        <w:spacing w:line="240" w:lineRule="auto" w:before="0"/>
        <w:ind w:left="573" w:right="1113"/>
        <w:jc w:val="left"/>
      </w:pPr>
      <w:r>
        <w:rPr/>
        <w:t>①该义务是本公司承担的现时义务；</w:t>
      </w:r>
    </w:p>
    <w:p>
      <w:pPr>
        <w:spacing w:line="240" w:lineRule="auto" w:before="10"/>
        <w:rPr>
          <w:rFonts w:ascii="宋体" w:hAnsi="宋体" w:cs="宋体" w:eastAsia="宋体" w:hint="default"/>
          <w:sz w:val="14"/>
          <w:szCs w:val="14"/>
        </w:rPr>
      </w:pPr>
    </w:p>
    <w:p>
      <w:pPr>
        <w:pStyle w:val="BodyText"/>
        <w:spacing w:line="240" w:lineRule="auto" w:before="0"/>
        <w:ind w:left="573" w:right="1113"/>
        <w:jc w:val="left"/>
      </w:pPr>
      <w:r>
        <w:rPr/>
        <w:t>②履行该义务很可能导致经济利益流出本公司；</w:t>
      </w:r>
    </w:p>
    <w:p>
      <w:pPr>
        <w:spacing w:line="240" w:lineRule="auto" w:before="10"/>
        <w:rPr>
          <w:rFonts w:ascii="宋体" w:hAnsi="宋体" w:cs="宋体" w:eastAsia="宋体" w:hint="default"/>
          <w:sz w:val="14"/>
          <w:szCs w:val="14"/>
        </w:rPr>
      </w:pPr>
    </w:p>
    <w:p>
      <w:pPr>
        <w:pStyle w:val="BodyText"/>
        <w:spacing w:line="240" w:lineRule="auto" w:before="0"/>
        <w:ind w:left="573" w:right="1113"/>
        <w:jc w:val="left"/>
      </w:pPr>
      <w:r>
        <w:rPr/>
        <w:t>③该义务的金额能够可靠地计量。</w:t>
      </w:r>
    </w:p>
    <w:p>
      <w:pPr>
        <w:spacing w:line="240" w:lineRule="auto" w:before="10"/>
        <w:rPr>
          <w:rFonts w:ascii="宋体" w:hAnsi="宋体" w:cs="宋体" w:eastAsia="宋体" w:hint="default"/>
          <w:sz w:val="14"/>
          <w:szCs w:val="14"/>
        </w:rPr>
      </w:pPr>
    </w:p>
    <w:p>
      <w:pPr>
        <w:pStyle w:val="BodyText"/>
        <w:spacing w:line="398" w:lineRule="auto" w:before="0"/>
        <w:ind w:left="573" w:right="1113"/>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）各类预计负债的计量方法</w:t>
      </w:r>
      <w:r>
        <w:rPr>
          <w:rFonts w:ascii="宋体" w:hAnsi="宋体" w:cs="宋体" w:eastAsia="宋体" w:hint="default"/>
          <w:b/>
          <w:bCs/>
          <w:spacing w:val="1"/>
          <w:w w:val="99"/>
        </w:rPr>
        <w:t> </w:t>
      </w:r>
      <w:r>
        <w:rPr/>
        <w:t>本公司预计负债按履行相关现时义务所需的支出的最佳估计数进行初始计量。 </w:t>
      </w:r>
      <w:r>
        <w:rPr>
          <w:spacing w:val="-1"/>
        </w:rPr>
        <w:t>本公司在确定最佳估计数时，综合考虑与或有事项有关的风险、不确定性和货币时间价值等因素。对</w:t>
      </w:r>
    </w:p>
    <w:p>
      <w:pPr>
        <w:pStyle w:val="BodyText"/>
        <w:spacing w:line="408" w:lineRule="auto" w:before="54"/>
        <w:ind w:left="573" w:right="1113" w:hanging="420"/>
        <w:jc w:val="left"/>
      </w:pPr>
      <w:r>
        <w:rPr/>
        <w:t>于货币时间价值影响重大的，通过对相关未来现金流出进行折现后确定最佳估计数。 最佳估计数分别以下情况处理： </w:t>
      </w:r>
      <w:r>
        <w:rPr>
          <w:spacing w:val="-1"/>
        </w:rPr>
        <w:t>所需支出存在一个连续范围（或区间），且该范围内各种结果发生的可能性相同的，则最佳估计数按</w:t>
      </w:r>
    </w:p>
    <w:p>
      <w:pPr>
        <w:pStyle w:val="BodyText"/>
        <w:spacing w:line="408" w:lineRule="auto"/>
        <w:ind w:left="573" w:right="1113" w:hanging="420"/>
        <w:jc w:val="left"/>
      </w:pPr>
      <w:r>
        <w:rPr/>
        <w:t>照该范围的中间值即上下限金额的平均数确定。 </w:t>
      </w:r>
      <w:r>
        <w:rPr>
          <w:spacing w:val="-1"/>
        </w:rPr>
        <w:t>所需支出不存在一个连续范围（或区间），或虽然存在一个连续范围但该范围内各种结果发生的可能</w:t>
      </w:r>
    </w:p>
    <w:p>
      <w:pPr>
        <w:pStyle w:val="BodyText"/>
        <w:spacing w:line="408" w:lineRule="auto"/>
        <w:ind w:left="153" w:right="1113"/>
        <w:jc w:val="left"/>
      </w:pPr>
      <w:r>
        <w:rPr>
          <w:spacing w:val="-1"/>
        </w:rPr>
        <w:t>性不相同的，如或有事项涉及单个项目的，则最佳估计数按照最可能发生金额确定；如或有事项涉及多个</w:t>
      </w:r>
      <w:r>
        <w:rPr>
          <w:spacing w:val="-83"/>
        </w:rPr>
        <w:t> </w:t>
      </w:r>
      <w:r>
        <w:rPr>
          <w:spacing w:val="-83"/>
        </w:rPr>
      </w:r>
      <w:r>
        <w:rPr/>
        <w:t>项目的，则最佳估计数按各种可能结果及相关概率计算确定。</w:t>
      </w:r>
    </w:p>
    <w:p>
      <w:pPr>
        <w:pStyle w:val="BodyText"/>
        <w:spacing w:line="408" w:lineRule="auto"/>
        <w:ind w:left="153" w:right="1113" w:firstLine="420"/>
        <w:jc w:val="left"/>
      </w:pPr>
      <w:r>
        <w:rPr>
          <w:spacing w:val="-1"/>
        </w:rPr>
        <w:t>本公司清偿预计负债所需支出全部或部分预期由第三方补偿的，补偿金额在基本确定能够收到时，作</w:t>
      </w:r>
      <w:r>
        <w:rPr/>
        <w:t> 为资产单独确认，确认的补偿金额不超过预计负债的账面价值。</w:t>
      </w:r>
    </w:p>
    <w:p>
      <w:pPr>
        <w:spacing w:line="240" w:lineRule="auto" w:before="8"/>
        <w:rPr>
          <w:rFonts w:ascii="宋体" w:hAnsi="宋体" w:cs="宋体" w:eastAsia="宋体" w:hint="default"/>
          <w:sz w:val="20"/>
          <w:szCs w:val="20"/>
        </w:rPr>
      </w:pPr>
    </w:p>
    <w:p>
      <w:pPr>
        <w:pStyle w:val="Heading3"/>
        <w:spacing w:line="240" w:lineRule="auto"/>
        <w:ind w:left="153" w:right="1113"/>
        <w:jc w:val="left"/>
        <w:rPr>
          <w:b w:val="0"/>
          <w:bCs w:val="0"/>
        </w:rPr>
      </w:pPr>
      <w:r>
        <w:rPr>
          <w:rFonts w:ascii="Times New Roman" w:hAnsi="Times New Roman" w:cs="Times New Roman" w:eastAsia="Times New Roman" w:hint="default"/>
        </w:rPr>
        <w:t>27</w:t>
      </w:r>
      <w:r>
        <w:rPr/>
        <w:t>、股份支付</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3" w:right="1113" w:firstLine="420"/>
        <w:jc w:val="left"/>
      </w:pPr>
      <w:r>
        <w:rPr>
          <w:spacing w:val="3"/>
        </w:rPr>
        <w:t>本公司的股份支付是为了获取职工或其他方提供服务而授予权益工具或者承担以权益工具为基础确</w:t>
      </w:r>
      <w:r>
        <w:rPr/>
        <w:t> 定的负债的交易。本公司的股份支付分为以权益结算的股份支付和以现金结算的股份支付。</w:t>
      </w:r>
    </w:p>
    <w:p>
      <w:pPr>
        <w:pStyle w:val="BodyText"/>
        <w:spacing w:line="386" w:lineRule="auto"/>
        <w:ind w:left="573" w:right="1113"/>
        <w:jc w:val="left"/>
      </w:pPr>
      <w:r>
        <w:rPr/>
        <w:t>（</w:t>
      </w:r>
      <w:r>
        <w:rPr>
          <w:rFonts w:ascii="Times New Roman" w:hAnsi="Times New Roman" w:cs="Times New Roman" w:eastAsia="Times New Roman" w:hint="default"/>
        </w:rPr>
        <w:t>1</w:t>
      </w:r>
      <w:r>
        <w:rPr/>
        <w:t>）以权益结算的股份支付及权益工具 </w:t>
      </w:r>
      <w:r>
        <w:rPr>
          <w:spacing w:val="-1"/>
        </w:rPr>
        <w:t>以权益结算的股份支付换取职工提供服务的，以授予职工权益工具的公允价值计量。本公司以限制性</w:t>
      </w:r>
    </w:p>
    <w:p>
      <w:pPr>
        <w:spacing w:after="0" w:line="386" w:lineRule="auto"/>
        <w:jc w:val="left"/>
        <w:sectPr>
          <w:footerReference w:type="default" r:id="rId31"/>
          <w:pgSz w:w="11910" w:h="16840"/>
          <w:pgMar w:footer="982" w:header="877" w:top="1100" w:bottom="1180" w:left="980" w:right="0"/>
        </w:sectPr>
      </w:pPr>
    </w:p>
    <w:p>
      <w:pPr>
        <w:spacing w:line="240" w:lineRule="auto" w:before="8"/>
        <w:rPr>
          <w:rFonts w:ascii="宋体" w:hAnsi="宋体" w:cs="宋体" w:eastAsia="宋体" w:hint="default"/>
          <w:sz w:val="26"/>
          <w:szCs w:val="26"/>
        </w:rPr>
      </w:pPr>
    </w:p>
    <w:p>
      <w:pPr>
        <w:pStyle w:val="BodyText"/>
        <w:spacing w:line="403" w:lineRule="auto" w:before="35"/>
        <w:ind w:left="153" w:right="1128"/>
        <w:jc w:val="both"/>
      </w:pPr>
      <w:r>
        <w:rPr>
          <w:spacing w:val="-1"/>
        </w:rPr>
        <w:t>股票进行股份支付的，职工出资认购股票，股票在达到解锁条件并解锁前不得上市流通或转让；如果最终</w:t>
      </w:r>
      <w:r>
        <w:rPr>
          <w:spacing w:val="-83"/>
        </w:rPr>
        <w:t> </w:t>
      </w:r>
      <w:r>
        <w:rPr>
          <w:spacing w:val="-83"/>
        </w:rPr>
      </w:r>
      <w:r>
        <w:rPr>
          <w:spacing w:val="-1"/>
        </w:rPr>
        <w:t>股权激励计划规定的解锁条件未能达到，则本公司按照事先约定的价格回购股票。本公司取得职工认购限</w:t>
      </w:r>
      <w:r>
        <w:rPr>
          <w:spacing w:val="-81"/>
        </w:rPr>
        <w:t> </w:t>
      </w:r>
      <w:r>
        <w:rPr>
          <w:spacing w:val="-81"/>
        </w:rPr>
      </w:r>
      <w:r>
        <w:rPr>
          <w:spacing w:val="-1"/>
        </w:rPr>
        <w:t>制性股票支付的款项时，按照取得的认股款确认股本和资本公积（股本溢价），同时就回购义务全额确认</w:t>
      </w:r>
      <w:r>
        <w:rPr>
          <w:spacing w:val="-82"/>
        </w:rPr>
        <w:t> </w:t>
      </w:r>
      <w:r>
        <w:rPr>
          <w:spacing w:val="-82"/>
        </w:rPr>
      </w:r>
      <w:r>
        <w:rPr>
          <w:spacing w:val="-5"/>
        </w:rPr>
        <w:t>一项负债并确认库存股。在等待期内每个资产负债表日，本公司根据最新取得的</w:t>
      </w:r>
      <w:r>
        <w:rPr>
          <w:rFonts w:ascii="Times New Roman" w:hAnsi="Times New Roman" w:cs="Times New Roman" w:eastAsia="Times New Roman" w:hint="default"/>
          <w:spacing w:val="-5"/>
        </w:rPr>
        <w:t>[</w:t>
      </w:r>
      <w:r>
        <w:rPr>
          <w:spacing w:val="-5"/>
        </w:rPr>
        <w:t>可行权职工人数变动</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w:t>
      </w:r>
      <w:r>
        <w:rPr>
          <w:spacing w:val="-5"/>
        </w:rPr>
        <w:t>是</w:t>
      </w:r>
      <w:r>
        <w:rPr>
          <w:spacing w:val="-94"/>
        </w:rPr>
        <w:t> </w:t>
      </w:r>
      <w:r>
        <w:rPr>
          <w:spacing w:val="-2"/>
        </w:rPr>
        <w:t>否达到规定业绩条件</w:t>
      </w:r>
      <w:r>
        <w:rPr>
          <w:rFonts w:ascii="Times New Roman" w:hAnsi="Times New Roman" w:cs="Times New Roman" w:eastAsia="Times New Roman" w:hint="default"/>
          <w:spacing w:val="-2"/>
        </w:rPr>
        <w:t>]</w:t>
      </w:r>
      <w:r>
        <w:rPr>
          <w:spacing w:val="-2"/>
        </w:rPr>
        <w:t>等后续信息对可行权权益工具数量作出最佳估计，以此为基础，按照授予日的公允价</w:t>
      </w:r>
      <w:r>
        <w:rPr/>
        <w:t> </w:t>
      </w:r>
      <w:r>
        <w:rPr>
          <w:spacing w:val="-1"/>
        </w:rPr>
        <w:t>值，将当期取得的服务计入相关成本或费用，相应增加资本公积。在可行权日之后不再对已确认的相关成</w:t>
      </w:r>
      <w:r>
        <w:rPr>
          <w:spacing w:val="-83"/>
        </w:rPr>
        <w:t> </w:t>
      </w:r>
      <w:r>
        <w:rPr>
          <w:spacing w:val="-83"/>
        </w:rPr>
      </w:r>
      <w:r>
        <w:rPr>
          <w:spacing w:val="-1"/>
        </w:rPr>
        <w:t>本或费用和所有者权益总额进行调整。但授予后立即可行权的，在授予日按照公允价值计入相关成本或费</w:t>
      </w:r>
      <w:r>
        <w:rPr>
          <w:spacing w:val="-81"/>
        </w:rPr>
        <w:t> </w:t>
      </w:r>
      <w:r>
        <w:rPr>
          <w:spacing w:val="-81"/>
        </w:rPr>
      </w:r>
      <w:r>
        <w:rPr/>
        <w:t>用，相应增加资本公积。</w:t>
      </w:r>
    </w:p>
    <w:p>
      <w:pPr>
        <w:pStyle w:val="BodyText"/>
        <w:spacing w:line="408" w:lineRule="auto" w:before="50"/>
        <w:ind w:left="153" w:right="1113" w:firstLine="420"/>
        <w:jc w:val="left"/>
      </w:pPr>
      <w:r>
        <w:rPr>
          <w:spacing w:val="-1"/>
        </w:rPr>
        <w:t>对于最终未能行权的股份支付，不确认成本或费用，除非行权条件是市场条件或非可行权条件，此时</w:t>
      </w:r>
      <w:r>
        <w:rPr/>
        <w:t> 无论是否满足市场条件或非可行权条件，只要满足所有可行权条件中的非市场条件，即视为可行权。</w:t>
      </w:r>
    </w:p>
    <w:p>
      <w:pPr>
        <w:pStyle w:val="BodyText"/>
        <w:spacing w:line="408" w:lineRule="auto"/>
        <w:ind w:left="153" w:right="1113" w:firstLine="420"/>
        <w:jc w:val="left"/>
      </w:pPr>
      <w:r>
        <w:rPr>
          <w:spacing w:val="-1"/>
        </w:rPr>
        <w:t>如果修改了以权益结算的股份支付的条款，至少按照未修改条款的情况确认取得的服务。此外，任何</w:t>
      </w:r>
      <w:r>
        <w:rPr/>
        <w:t> 增加所授予权益工具公允价值的修改，或在修改日对职工有利的变更，均确认取得服务的增加。</w:t>
      </w:r>
    </w:p>
    <w:p>
      <w:pPr>
        <w:pStyle w:val="BodyText"/>
        <w:spacing w:line="408" w:lineRule="auto"/>
        <w:ind w:left="153" w:right="1022" w:firstLine="420"/>
        <w:jc w:val="left"/>
      </w:pPr>
      <w:r>
        <w:rPr/>
        <w:t>如果取消了以权益结算的股份支付，则于取消日作为加速行权处理，立即确认尚未确认的金额。职工 </w:t>
      </w:r>
      <w:r>
        <w:rPr>
          <w:spacing w:val="-3"/>
        </w:rPr>
        <w:t>或其他方能够选择满足非可行权条件但在等待期内未满足的，作为取消以权益结算的股份支付处理。但是，</w:t>
      </w:r>
      <w:r>
        <w:rPr>
          <w:spacing w:val="-92"/>
        </w:rPr>
        <w:t> </w:t>
      </w:r>
      <w:r>
        <w:rPr>
          <w:spacing w:val="-92"/>
        </w:rPr>
      </w:r>
      <w:r>
        <w:rPr>
          <w:spacing w:val="3"/>
        </w:rPr>
        <w:t>如果授予新的权益工具，并在新权益工具授予日认定所授予的新权益工具是用于替代被取消的权益工具</w:t>
      </w:r>
      <w:r>
        <w:rPr>
          <w:spacing w:val="-78"/>
        </w:rPr>
        <w:t> </w:t>
      </w:r>
      <w:r>
        <w:rPr>
          <w:spacing w:val="-78"/>
        </w:rPr>
      </w:r>
      <w:r>
        <w:rPr/>
        <w:t>的，则以与处理原权益工具条款和条件修改相同的方式，对所授予的替代权益工具进行处理。</w:t>
      </w:r>
    </w:p>
    <w:p>
      <w:pPr>
        <w:pStyle w:val="BodyText"/>
        <w:spacing w:line="386" w:lineRule="auto"/>
        <w:ind w:left="573" w:right="1113" w:hanging="1"/>
        <w:jc w:val="left"/>
      </w:pPr>
      <w:r>
        <w:rPr/>
        <w:t>（</w:t>
      </w:r>
      <w:r>
        <w:rPr>
          <w:rFonts w:ascii="Times New Roman" w:hAnsi="Times New Roman" w:cs="Times New Roman" w:eastAsia="Times New Roman" w:hint="default"/>
        </w:rPr>
        <w:t>2</w:t>
      </w:r>
      <w:r>
        <w:rPr/>
        <w:t>）以现金结算的股份支付及权益工具 </w:t>
      </w:r>
      <w:r>
        <w:rPr>
          <w:spacing w:val="-1"/>
        </w:rPr>
        <w:t>以现金结算的股份支付，按照本公司承担的以股份或其他权益工具为基础计算确定的负债的公允价值</w:t>
      </w:r>
    </w:p>
    <w:p>
      <w:pPr>
        <w:pStyle w:val="BodyText"/>
        <w:spacing w:line="398" w:lineRule="auto" w:before="65"/>
        <w:ind w:left="153" w:right="993"/>
        <w:jc w:val="left"/>
      </w:pPr>
      <w:r>
        <w:rPr>
          <w:spacing w:val="-3"/>
        </w:rPr>
        <w:t>计量。初始采用估值模型按照授予日的公允价值计量，并考虑授予权益工具的条款和条件，详见本附注</w:t>
      </w:r>
      <w:r>
        <w:rPr>
          <w:rFonts w:ascii="Times New Roman" w:hAnsi="Times New Roman" w:cs="Times New Roman" w:eastAsia="Times New Roman" w:hint="default"/>
          <w:spacing w:val="-3"/>
        </w:rPr>
        <w:t>“</w:t>
      </w:r>
      <w:r>
        <w:rPr>
          <w:spacing w:val="-3"/>
        </w:rPr>
        <w:t>十</w:t>
      </w:r>
      <w:r>
        <w:rPr>
          <w:spacing w:val="-82"/>
        </w:rPr>
        <w:t> </w:t>
      </w:r>
      <w:r>
        <w:rPr>
          <w:spacing w:val="-1"/>
        </w:rPr>
        <w:t>一、股份支付</w:t>
      </w:r>
      <w:r>
        <w:rPr>
          <w:rFonts w:ascii="Times New Roman" w:hAnsi="Times New Roman" w:cs="Times New Roman" w:eastAsia="Times New Roman" w:hint="default"/>
          <w:spacing w:val="-1"/>
        </w:rPr>
        <w:t>”</w:t>
      </w:r>
      <w:r>
        <w:rPr>
          <w:spacing w:val="-1"/>
        </w:rPr>
        <w:t>。授予后立即可行权的，在授予日以承担负债的公允价值计入成本或费用，相应增加负债；</w:t>
      </w:r>
      <w:r>
        <w:rPr>
          <w:spacing w:val="-70"/>
        </w:rPr>
        <w:t> </w:t>
      </w:r>
      <w:r>
        <w:rPr>
          <w:spacing w:val="-70"/>
        </w:rPr>
      </w:r>
      <w:r>
        <w:rPr/>
        <w:t>完成等待期内的服务或达到规定业绩条件才可行权的，在等待期内以对可行权情况的最佳估计为基础，按</w:t>
      </w:r>
      <w:r>
        <w:rPr/>
        <w:t> 照承担负债的公允价值，将当期取得的服务计入相关成本或费用，增加相应负债。在相关负债结算前的每 个资产负债表日以及结算日，对负债的公允价值重新计量，其变动计入当期损益。</w:t>
      </w:r>
    </w:p>
    <w:p>
      <w:pPr>
        <w:spacing w:line="240" w:lineRule="auto" w:before="3"/>
        <w:rPr>
          <w:rFonts w:ascii="宋体" w:hAnsi="宋体" w:cs="宋体" w:eastAsia="宋体" w:hint="default"/>
          <w:sz w:val="21"/>
          <w:szCs w:val="21"/>
        </w:rPr>
      </w:pPr>
    </w:p>
    <w:p>
      <w:pPr>
        <w:pStyle w:val="Heading3"/>
        <w:spacing w:line="240" w:lineRule="auto"/>
        <w:ind w:left="153" w:right="1113"/>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240" w:lineRule="auto" w:before="10"/>
        <w:rPr>
          <w:rFonts w:ascii="宋体" w:hAnsi="宋体" w:cs="宋体" w:eastAsia="宋体" w:hint="default"/>
          <w:sz w:val="20"/>
          <w:szCs w:val="20"/>
        </w:rPr>
      </w:pPr>
    </w:p>
    <w:p>
      <w:pPr>
        <w:spacing w:before="0"/>
        <w:ind w:left="153"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1"/>
        <w:rPr>
          <w:rFonts w:ascii="宋体" w:hAnsi="宋体" w:cs="宋体" w:eastAsia="宋体" w:hint="default"/>
          <w:sz w:val="17"/>
          <w:szCs w:val="17"/>
        </w:rPr>
      </w:pPr>
    </w:p>
    <w:p>
      <w:pPr>
        <w:pStyle w:val="Heading3"/>
        <w:spacing w:line="240" w:lineRule="auto"/>
        <w:ind w:left="574" w:right="1113"/>
        <w:jc w:val="left"/>
        <w:rPr>
          <w:b w:val="0"/>
          <w:bCs w:val="0"/>
        </w:rPr>
      </w:pPr>
      <w:r>
        <w:rPr/>
        <w:t>（</w:t>
      </w:r>
      <w:r>
        <w:rPr>
          <w:rFonts w:ascii="Times New Roman" w:hAnsi="Times New Roman" w:cs="Times New Roman" w:eastAsia="Times New Roman" w:hint="default"/>
        </w:rPr>
        <w:t>1</w:t>
      </w:r>
      <w:r>
        <w:rPr/>
        <w:t>）销售商品收入确认的一般原则</w:t>
      </w:r>
      <w:r>
        <w:rPr>
          <w:b w:val="0"/>
          <w:bCs w:val="0"/>
        </w:rPr>
      </w:r>
    </w:p>
    <w:p>
      <w:pPr>
        <w:pStyle w:val="BodyText"/>
        <w:spacing w:line="240" w:lineRule="auto" w:before="177"/>
        <w:ind w:left="574" w:right="1113"/>
        <w:jc w:val="left"/>
      </w:pPr>
      <w:r>
        <w:rPr/>
        <w:t>①本公司已将商品所有权上的主要风险和报酬转移给购货方；</w:t>
      </w:r>
    </w:p>
    <w:p>
      <w:pPr>
        <w:spacing w:after="0" w:line="240" w:lineRule="auto"/>
        <w:jc w:val="left"/>
        <w:sectPr>
          <w:footerReference w:type="default" r:id="rId32"/>
          <w:pgSz w:w="11910" w:h="16840"/>
          <w:pgMar w:footer="982" w:header="877" w:top="1100" w:bottom="1180" w:left="980" w:right="0"/>
          <w:pgNumType w:start="201"/>
        </w:sectPr>
      </w:pPr>
    </w:p>
    <w:p>
      <w:pPr>
        <w:spacing w:line="240" w:lineRule="auto" w:before="8"/>
        <w:rPr>
          <w:rFonts w:ascii="宋体" w:hAnsi="宋体" w:cs="宋体" w:eastAsia="宋体" w:hint="default"/>
          <w:sz w:val="26"/>
          <w:szCs w:val="26"/>
        </w:rPr>
      </w:pPr>
    </w:p>
    <w:p>
      <w:pPr>
        <w:pStyle w:val="BodyText"/>
        <w:spacing w:line="240" w:lineRule="auto" w:before="35"/>
        <w:ind w:left="574" w:right="1113"/>
        <w:jc w:val="left"/>
      </w:pPr>
      <w:r>
        <w:rPr/>
        <w:t>②本公司既没有保留通常与所有权相联系的继续管理权，也没有对已售出的商品实施有效控制；</w:t>
      </w:r>
    </w:p>
    <w:p>
      <w:pPr>
        <w:spacing w:line="240" w:lineRule="auto" w:before="10"/>
        <w:rPr>
          <w:rFonts w:ascii="宋体" w:hAnsi="宋体" w:cs="宋体" w:eastAsia="宋体" w:hint="default"/>
          <w:sz w:val="14"/>
          <w:szCs w:val="14"/>
        </w:rPr>
      </w:pPr>
    </w:p>
    <w:p>
      <w:pPr>
        <w:pStyle w:val="BodyText"/>
        <w:spacing w:line="240" w:lineRule="auto" w:before="0"/>
        <w:ind w:left="574" w:right="1113"/>
        <w:jc w:val="left"/>
      </w:pPr>
      <w:r>
        <w:rPr/>
        <w:t>③收入的金额能够可靠地计量；</w:t>
      </w:r>
    </w:p>
    <w:p>
      <w:pPr>
        <w:spacing w:line="240" w:lineRule="auto" w:before="10"/>
        <w:rPr>
          <w:rFonts w:ascii="宋体" w:hAnsi="宋体" w:cs="宋体" w:eastAsia="宋体" w:hint="default"/>
          <w:sz w:val="14"/>
          <w:szCs w:val="14"/>
        </w:rPr>
      </w:pPr>
    </w:p>
    <w:p>
      <w:pPr>
        <w:pStyle w:val="BodyText"/>
        <w:spacing w:line="240" w:lineRule="auto" w:before="0"/>
        <w:ind w:left="574" w:right="1113"/>
        <w:jc w:val="left"/>
      </w:pPr>
      <w:r>
        <w:rPr/>
        <w:t>④相关的经济利益很可能流入本公司；</w:t>
      </w:r>
    </w:p>
    <w:p>
      <w:pPr>
        <w:spacing w:line="240" w:lineRule="auto" w:before="10"/>
        <w:rPr>
          <w:rFonts w:ascii="宋体" w:hAnsi="宋体" w:cs="宋体" w:eastAsia="宋体" w:hint="default"/>
          <w:sz w:val="14"/>
          <w:szCs w:val="14"/>
        </w:rPr>
      </w:pPr>
    </w:p>
    <w:p>
      <w:pPr>
        <w:pStyle w:val="BodyText"/>
        <w:spacing w:line="240" w:lineRule="auto" w:before="0"/>
        <w:ind w:left="574" w:right="1113"/>
        <w:jc w:val="left"/>
      </w:pPr>
      <w:r>
        <w:rPr/>
        <w:t>⑤相关的、已发生或将发生的成本能够可靠地计量。</w:t>
      </w:r>
    </w:p>
    <w:p>
      <w:pPr>
        <w:spacing w:line="240" w:lineRule="auto" w:before="10"/>
        <w:rPr>
          <w:rFonts w:ascii="宋体" w:hAnsi="宋体" w:cs="宋体" w:eastAsia="宋体" w:hint="default"/>
          <w:sz w:val="14"/>
          <w:szCs w:val="14"/>
        </w:rPr>
      </w:pPr>
    </w:p>
    <w:p>
      <w:pPr>
        <w:spacing w:line="386" w:lineRule="auto" w:before="0"/>
        <w:ind w:left="574" w:right="57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）具体原则</w:t>
      </w:r>
      <w:r>
        <w:rPr>
          <w:rFonts w:ascii="宋体" w:hAnsi="宋体" w:cs="宋体" w:eastAsia="宋体" w:hint="default"/>
          <w:b/>
          <w:bCs/>
          <w:w w:val="99"/>
          <w:sz w:val="21"/>
          <w:szCs w:val="21"/>
        </w:rPr>
        <w:t> </w:t>
      </w:r>
      <w:r>
        <w:rPr>
          <w:rFonts w:ascii="宋体" w:hAnsi="宋体" w:cs="宋体" w:eastAsia="宋体" w:hint="default"/>
          <w:sz w:val="21"/>
          <w:szCs w:val="21"/>
        </w:rPr>
        <w:t>本公司销售商品收入相应的业务特点分析和介绍：</w:t>
      </w:r>
    </w:p>
    <w:p>
      <w:pPr>
        <w:pStyle w:val="BodyText"/>
        <w:spacing w:line="400" w:lineRule="auto" w:before="65"/>
        <w:ind w:left="153" w:right="1126" w:firstLine="420"/>
        <w:jc w:val="both"/>
      </w:pPr>
      <w:r>
        <w:rPr/>
        <w:t>本公司商品销售采取</w:t>
      </w:r>
      <w:r>
        <w:rPr>
          <w:rFonts w:ascii="Times New Roman" w:hAnsi="Times New Roman" w:cs="Times New Roman" w:eastAsia="Times New Roman" w:hint="default"/>
        </w:rPr>
        <w:t>“</w:t>
      </w:r>
      <w:r>
        <w:rPr/>
        <w:t>直销</w:t>
      </w:r>
      <w:r>
        <w:rPr>
          <w:rFonts w:ascii="Times New Roman" w:hAnsi="Times New Roman" w:cs="Times New Roman" w:eastAsia="Times New Roman" w:hint="default"/>
        </w:rPr>
        <w:t>+</w:t>
      </w:r>
      <w:r>
        <w:rPr/>
        <w:t>经销</w:t>
      </w:r>
      <w:r>
        <w:rPr>
          <w:rFonts w:ascii="Times New Roman" w:hAnsi="Times New Roman" w:cs="Times New Roman" w:eastAsia="Times New Roman" w:hint="default"/>
        </w:rPr>
        <w:t>”</w:t>
      </w:r>
      <w:r>
        <w:rPr/>
        <w:t>并重的销售模式。经销模式的主要特征是公司与经销商之间实际发</w:t>
      </w:r>
      <w:r>
        <w:rPr>
          <w:spacing w:val="2"/>
        </w:rPr>
        <w:t> </w:t>
      </w:r>
      <w:r>
        <w:rPr>
          <w:spacing w:val="-1"/>
        </w:rPr>
        <w:t>生买卖关系，经销商按双方约定的价格从本公司购进产品，取得商品所有权，然后销售给最终用户，通过</w:t>
      </w:r>
      <w:r>
        <w:rPr>
          <w:spacing w:val="-82"/>
        </w:rPr>
        <w:t> </w:t>
      </w:r>
      <w:r>
        <w:rPr>
          <w:spacing w:val="-82"/>
        </w:rPr>
      </w:r>
      <w:r>
        <w:rPr>
          <w:spacing w:val="-1"/>
        </w:rPr>
        <w:t>差价来获得利润。直销模式是公司直接向最终用户销售产品的一种销售方式，直销模式下的销售又可分为</w:t>
      </w:r>
      <w:r>
        <w:rPr>
          <w:spacing w:val="-81"/>
        </w:rPr>
        <w:t> </w:t>
      </w:r>
      <w:r>
        <w:rPr>
          <w:spacing w:val="-81"/>
        </w:rPr>
      </w:r>
      <w:r>
        <w:rPr/>
        <w:t>附安装义务的销售和不附安装义务的销售。</w:t>
      </w:r>
    </w:p>
    <w:p>
      <w:pPr>
        <w:pStyle w:val="BodyText"/>
        <w:spacing w:line="240" w:lineRule="auto" w:before="52"/>
        <w:ind w:left="573" w:right="1113"/>
        <w:jc w:val="left"/>
      </w:pPr>
      <w:r>
        <w:rPr/>
        <w:t>销售商品收入确认的确认标准及收入确认时间的具体判断标准：</w:t>
      </w:r>
    </w:p>
    <w:p>
      <w:pPr>
        <w:spacing w:line="240" w:lineRule="auto" w:before="12"/>
        <w:rPr>
          <w:rFonts w:ascii="宋体" w:hAnsi="宋体" w:cs="宋体" w:eastAsia="宋体" w:hint="default"/>
          <w:sz w:val="9"/>
          <w:szCs w:val="9"/>
        </w:rPr>
      </w:pPr>
    </w:p>
    <w:tbl>
      <w:tblPr>
        <w:tblW w:w="0" w:type="auto"/>
        <w:jc w:val="left"/>
        <w:tblInd w:w="293" w:type="dxa"/>
        <w:tblLayout w:type="fixed"/>
        <w:tblCellMar>
          <w:top w:w="0" w:type="dxa"/>
          <w:left w:w="0" w:type="dxa"/>
          <w:bottom w:w="0" w:type="dxa"/>
          <w:right w:w="0" w:type="dxa"/>
        </w:tblCellMar>
        <w:tblLook w:val="01E0"/>
      </w:tblPr>
      <w:tblGrid>
        <w:gridCol w:w="1667"/>
        <w:gridCol w:w="2971"/>
        <w:gridCol w:w="4860"/>
      </w:tblGrid>
      <w:tr>
        <w:trPr>
          <w:trHeight w:val="337" w:hRule="exact"/>
        </w:trPr>
        <w:tc>
          <w:tcPr>
            <w:tcW w:w="1667"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left="133" w:right="0"/>
              <w:jc w:val="center"/>
              <w:rPr>
                <w:rFonts w:ascii="宋体" w:hAnsi="宋体" w:cs="宋体" w:eastAsia="宋体" w:hint="default"/>
                <w:sz w:val="18"/>
                <w:szCs w:val="18"/>
              </w:rPr>
            </w:pPr>
            <w:r>
              <w:rPr>
                <w:rFonts w:ascii="宋体" w:hAnsi="宋体" w:cs="宋体" w:eastAsia="宋体" w:hint="default"/>
                <w:sz w:val="18"/>
                <w:szCs w:val="18"/>
              </w:rPr>
              <w:t>销售模式</w:t>
            </w:r>
          </w:p>
        </w:tc>
        <w:tc>
          <w:tcPr>
            <w:tcW w:w="2971"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left="129" w:right="0"/>
              <w:jc w:val="center"/>
              <w:rPr>
                <w:rFonts w:ascii="宋体" w:hAnsi="宋体" w:cs="宋体" w:eastAsia="宋体" w:hint="default"/>
                <w:sz w:val="18"/>
                <w:szCs w:val="18"/>
              </w:rPr>
            </w:pPr>
            <w:r>
              <w:rPr>
                <w:rFonts w:ascii="宋体" w:hAnsi="宋体" w:cs="宋体" w:eastAsia="宋体" w:hint="default"/>
                <w:sz w:val="18"/>
                <w:szCs w:val="18"/>
              </w:rPr>
              <w:t>直销模式</w:t>
            </w:r>
          </w:p>
        </w:tc>
        <w:tc>
          <w:tcPr>
            <w:tcW w:w="4860"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left="129" w:right="0"/>
              <w:jc w:val="center"/>
              <w:rPr>
                <w:rFonts w:ascii="宋体" w:hAnsi="宋体" w:cs="宋体" w:eastAsia="宋体" w:hint="default"/>
                <w:sz w:val="18"/>
                <w:szCs w:val="18"/>
              </w:rPr>
            </w:pPr>
            <w:r>
              <w:rPr>
                <w:rFonts w:ascii="宋体" w:hAnsi="宋体" w:cs="宋体" w:eastAsia="宋体" w:hint="default"/>
                <w:sz w:val="18"/>
                <w:szCs w:val="18"/>
              </w:rPr>
              <w:t>经销模式</w:t>
            </w:r>
          </w:p>
        </w:tc>
      </w:tr>
      <w:tr>
        <w:trPr>
          <w:trHeight w:val="2210" w:hRule="exact"/>
        </w:trPr>
        <w:tc>
          <w:tcPr>
            <w:tcW w:w="16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3" w:right="0"/>
              <w:jc w:val="center"/>
              <w:rPr>
                <w:rFonts w:ascii="宋体" w:hAnsi="宋体" w:cs="宋体" w:eastAsia="宋体" w:hint="default"/>
                <w:sz w:val="18"/>
                <w:szCs w:val="18"/>
              </w:rPr>
            </w:pPr>
            <w:r>
              <w:rPr>
                <w:rFonts w:ascii="宋体" w:hAnsi="宋体" w:cs="宋体" w:eastAsia="宋体" w:hint="default"/>
                <w:sz w:val="18"/>
                <w:szCs w:val="18"/>
              </w:rPr>
              <w:t>收入确认时点</w:t>
            </w:r>
          </w:p>
        </w:tc>
        <w:tc>
          <w:tcPr>
            <w:tcW w:w="29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2" w:lineRule="auto"/>
              <w:ind w:left="139"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、附安装义务销售：在履行完毕安 </w:t>
            </w:r>
            <w:r>
              <w:rPr>
                <w:rFonts w:ascii="宋体" w:hAnsi="宋体" w:cs="宋体" w:eastAsia="宋体" w:hint="default"/>
                <w:spacing w:val="-4"/>
                <w:sz w:val="18"/>
                <w:szCs w:val="18"/>
              </w:rPr>
              <w:t>装义务，经客户验收合格后，开具发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票账单交付客户，确认收入。 </w:t>
            </w:r>
            <w:r>
              <w:rPr>
                <w:rFonts w:ascii="Times New Roman" w:hAnsi="Times New Roman" w:cs="Times New Roman" w:eastAsia="Times New Roman" w:hint="default"/>
                <w:sz w:val="18"/>
                <w:szCs w:val="18"/>
              </w:rPr>
              <w:t>2</w:t>
            </w:r>
            <w:r>
              <w:rPr>
                <w:rFonts w:ascii="宋体" w:hAnsi="宋体" w:cs="宋体" w:eastAsia="宋体" w:hint="default"/>
                <w:sz w:val="18"/>
                <w:szCs w:val="18"/>
              </w:rPr>
              <w:t>、不附安装义务销售：在客户收到 </w:t>
            </w:r>
            <w:r>
              <w:rPr>
                <w:rFonts w:ascii="宋体" w:hAnsi="宋体" w:cs="宋体" w:eastAsia="宋体" w:hint="default"/>
                <w:spacing w:val="-4"/>
                <w:sz w:val="18"/>
                <w:szCs w:val="18"/>
              </w:rPr>
              <w:t>货物，验收合格并确认付款后，开具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发票账单交付客户，确认收入。</w:t>
            </w:r>
          </w:p>
        </w:tc>
        <w:tc>
          <w:tcPr>
            <w:tcW w:w="4860" w:type="dxa"/>
            <w:tcBorders>
              <w:top w:val="single" w:sz="2" w:space="0" w:color="000000"/>
              <w:left w:val="single" w:sz="2" w:space="0" w:color="000000"/>
              <w:bottom w:val="single" w:sz="2" w:space="0" w:color="000000"/>
              <w:right w:val="single" w:sz="2" w:space="0" w:color="000000"/>
            </w:tcBorders>
          </w:tcPr>
          <w:p>
            <w:pPr>
              <w:pStyle w:val="TableParagraph"/>
              <w:spacing w:line="312" w:lineRule="auto" w:before="20"/>
              <w:ind w:left="139" w:right="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、无需安装调试或经销商可自行安装调试的产品：经销商收</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到货物，验收合格、账目核对并确认付款后，开具发票交付 经销商，确认收入。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、需本公司提供技术支持的新产品、复杂系统项目产品：经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销商在收到货物、待系统安装和调试通过后（本公司提供技 术支持），对方确认产品合格。经销商确认产品合格、账目 核对并同意付款后，开具发票交付经销商，确认收入。</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30"/>
          <w:szCs w:val="30"/>
        </w:rPr>
      </w:pPr>
    </w:p>
    <w:p>
      <w:pPr>
        <w:pStyle w:val="BodyText"/>
        <w:spacing w:line="386" w:lineRule="auto" w:before="0"/>
        <w:ind w:left="573" w:right="1113"/>
        <w:jc w:val="left"/>
      </w:pPr>
      <w:r>
        <w:rPr/>
        <w:t>（</w:t>
      </w:r>
      <w:r>
        <w:rPr>
          <w:rFonts w:ascii="Times New Roman" w:hAnsi="Times New Roman" w:cs="Times New Roman" w:eastAsia="Times New Roman" w:hint="default"/>
        </w:rPr>
        <w:t>1</w:t>
      </w:r>
      <w:r>
        <w:rPr/>
        <w:t>）类型 </w:t>
      </w:r>
      <w:r>
        <w:rPr>
          <w:spacing w:val="-1"/>
        </w:rPr>
        <w:t>政府补助，是本公司从政府无偿取得的货币性资产与非货币性资产。分为与资产相关的政府补助和与</w:t>
      </w:r>
    </w:p>
    <w:p>
      <w:pPr>
        <w:pStyle w:val="BodyText"/>
        <w:spacing w:line="408" w:lineRule="auto" w:before="65"/>
        <w:ind w:left="573" w:right="1113" w:hanging="420"/>
        <w:jc w:val="left"/>
      </w:pPr>
      <w:r>
        <w:rPr/>
        <w:t>收益相关的政府补助。 </w:t>
      </w:r>
      <w:r>
        <w:rPr>
          <w:spacing w:val="-1"/>
        </w:rPr>
        <w:t>与资产相关的政府补助，是指本公司取得的、用于购建或以其他方式形成长期资产的政府补助。与收</w:t>
      </w:r>
    </w:p>
    <w:p>
      <w:pPr>
        <w:pStyle w:val="BodyText"/>
        <w:spacing w:line="408" w:lineRule="auto"/>
        <w:ind w:left="573" w:right="1113" w:hanging="420"/>
        <w:jc w:val="left"/>
      </w:pPr>
      <w:r>
        <w:rPr/>
        <w:t>益相关的政府补助，是指除与资产相关的政府补助之外的政府补助。 </w:t>
      </w:r>
      <w:r>
        <w:rPr>
          <w:spacing w:val="-1"/>
        </w:rPr>
        <w:t>本公司将政府补助划分为与资产相关的具体标准为：本公司取得的、用于购建或以其他方式形成长期</w:t>
      </w:r>
    </w:p>
    <w:p>
      <w:pPr>
        <w:pStyle w:val="BodyText"/>
        <w:spacing w:line="408" w:lineRule="auto"/>
        <w:ind w:left="573" w:right="1091" w:hanging="420"/>
        <w:jc w:val="left"/>
      </w:pPr>
      <w:r>
        <w:rPr/>
        <w:t>资产的政府补助，包括购买固定资产或无形资产的财政拨款、固定资产专门借款的财政贴息等。 本公司将政府补助划分为与收益相关的具体标准为：是指除与资产相关的政府补助之外的政府补助。</w:t>
      </w:r>
    </w:p>
    <w:p>
      <w:pPr>
        <w:pStyle w:val="BodyText"/>
        <w:spacing w:line="386" w:lineRule="auto"/>
        <w:ind w:left="573" w:right="6341"/>
        <w:jc w:val="left"/>
      </w:pPr>
      <w:r>
        <w:rPr/>
        <w:t>（</w:t>
      </w:r>
      <w:r>
        <w:rPr>
          <w:rFonts w:ascii="Times New Roman" w:hAnsi="Times New Roman" w:cs="Times New Roman" w:eastAsia="Times New Roman" w:hint="default"/>
        </w:rPr>
        <w:t>2</w:t>
      </w:r>
      <w:r>
        <w:rPr/>
        <w:t>）确认时点 以实际收到的政府补助日期作为确认时点。</w:t>
      </w:r>
    </w:p>
    <w:p>
      <w:pPr>
        <w:pStyle w:val="BodyText"/>
        <w:spacing w:line="240" w:lineRule="auto" w:before="65"/>
        <w:ind w:left="573" w:right="1113"/>
        <w:jc w:val="left"/>
      </w:pPr>
      <w:r>
        <w:rPr/>
        <w:t>（</w:t>
      </w:r>
      <w:r>
        <w:rPr>
          <w:rFonts w:ascii="Times New Roman" w:hAnsi="Times New Roman" w:cs="Times New Roman" w:eastAsia="Times New Roman" w:hint="default"/>
        </w:rPr>
        <w:t>3</w:t>
      </w:r>
      <w:r>
        <w:rPr/>
        <w:t>）会计处理</w:t>
      </w:r>
    </w:p>
    <w:p>
      <w:pPr>
        <w:spacing w:after="0" w:line="240"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30" w:firstLine="420"/>
        <w:jc w:val="both"/>
      </w:pPr>
      <w:r>
        <w:rPr>
          <w:spacing w:val="-1"/>
        </w:rPr>
        <w:t>与资产相关的政府补助，冲减相关资产账面价值或确认为递延收益。确认为递延收益的，在相关资产</w:t>
      </w:r>
      <w:r>
        <w:rPr/>
        <w:t> </w:t>
      </w:r>
      <w:r>
        <w:rPr>
          <w:spacing w:val="-1"/>
        </w:rPr>
        <w:t>使用寿命内按照合理、系统的方法分期计入当期损益（与本公司日常活动相关的，计入其他收益；与本公</w:t>
      </w:r>
      <w:r>
        <w:rPr>
          <w:spacing w:val="-82"/>
        </w:rPr>
        <w:t> </w:t>
      </w:r>
      <w:r>
        <w:rPr>
          <w:spacing w:val="-82"/>
        </w:rPr>
      </w:r>
      <w:r>
        <w:rPr/>
        <w:t>司日常活动无关的，计入营业外收入）；</w:t>
      </w:r>
    </w:p>
    <w:p>
      <w:pPr>
        <w:pStyle w:val="BodyText"/>
        <w:spacing w:line="408" w:lineRule="auto"/>
        <w:ind w:right="1130" w:firstLine="420"/>
        <w:jc w:val="both"/>
      </w:pPr>
      <w:r>
        <w:rPr>
          <w:spacing w:val="-1"/>
        </w:rPr>
        <w:t>与收益相关的政府补助，用于补偿本公司以后期间的相关成本费用或损失的，确认为递延收益，并在</w:t>
      </w:r>
      <w:r>
        <w:rPr/>
        <w:t> </w:t>
      </w:r>
      <w:r>
        <w:rPr>
          <w:spacing w:val="-1"/>
        </w:rPr>
        <w:t>确认相关成本费用或损失的期间，计入当期损益（与本公司日常活动相关的，计入其他收益；与本公司日</w:t>
      </w:r>
      <w:r>
        <w:rPr>
          <w:spacing w:val="-82"/>
        </w:rPr>
        <w:t> </w:t>
      </w:r>
      <w:r>
        <w:rPr>
          <w:spacing w:val="-82"/>
        </w:rPr>
      </w:r>
      <w:r>
        <w:rPr>
          <w:spacing w:val="-1"/>
        </w:rPr>
        <w:t>常活动无关的，计入营业外收入）或冲减相关成本费用或损失；用于补偿本公司已发生的相关成本费用或</w:t>
      </w:r>
      <w:r>
        <w:rPr>
          <w:spacing w:val="-83"/>
        </w:rPr>
        <w:t> </w:t>
      </w:r>
      <w:r>
        <w:rPr>
          <w:spacing w:val="-83"/>
        </w:rPr>
      </w:r>
      <w:r>
        <w:rPr>
          <w:spacing w:val="-1"/>
        </w:rPr>
        <w:t>损失的，直接计入当期损益（与本公司日常活动相关的，计入其他收益；与本公司日常活动无关的，计入</w:t>
      </w:r>
      <w:r>
        <w:rPr>
          <w:spacing w:val="-83"/>
        </w:rPr>
        <w:t> </w:t>
      </w:r>
      <w:r>
        <w:rPr>
          <w:spacing w:val="-83"/>
        </w:rPr>
      </w:r>
      <w:r>
        <w:rPr/>
        <w:t>营业外收入）或冲减相关成本费用或损失。</w:t>
      </w:r>
    </w:p>
    <w:p>
      <w:pPr>
        <w:pStyle w:val="BodyText"/>
        <w:spacing w:line="240" w:lineRule="auto"/>
        <w:ind w:left="574" w:right="1113"/>
        <w:jc w:val="left"/>
      </w:pPr>
      <w:r>
        <w:rPr/>
        <w:t>本公司取得的政策性优惠贷款贴息，区分以下两种情况，分别进行会计处理：</w:t>
      </w:r>
    </w:p>
    <w:p>
      <w:pPr>
        <w:spacing w:line="240" w:lineRule="auto" w:before="10"/>
        <w:rPr>
          <w:rFonts w:ascii="宋体" w:hAnsi="宋体" w:cs="宋体" w:eastAsia="宋体" w:hint="default"/>
          <w:sz w:val="14"/>
          <w:szCs w:val="14"/>
        </w:rPr>
      </w:pPr>
    </w:p>
    <w:p>
      <w:pPr>
        <w:pStyle w:val="BodyText"/>
        <w:spacing w:line="408" w:lineRule="auto" w:before="0"/>
        <w:ind w:right="1131" w:firstLine="420"/>
        <w:jc w:val="both"/>
      </w:pPr>
      <w:r>
        <w:rPr>
          <w:spacing w:val="-1"/>
        </w:rPr>
        <w:t>①财政将贴息资金拨付给贷款银行，由贷款银行以政策性优惠利率向本公司提供贷款的，本公司以实</w:t>
      </w:r>
      <w:r>
        <w:rPr/>
        <w:t> 际收到的借款金额作为借款的入账价值，按照借款本金和该政策性优惠利率计算相关借款费用。</w:t>
      </w:r>
    </w:p>
    <w:p>
      <w:pPr>
        <w:pStyle w:val="BodyText"/>
        <w:spacing w:line="240" w:lineRule="auto"/>
        <w:ind w:left="574" w:right="1113"/>
        <w:jc w:val="left"/>
      </w:pPr>
      <w:r>
        <w:rPr/>
        <w:t>②财政将贴息资金直接拨付给本公司的，本公司将对应的贴息冲减相关借款费用。</w:t>
      </w:r>
    </w:p>
    <w:p>
      <w:pPr>
        <w:spacing w:line="670" w:lineRule="atLeast" w:before="37"/>
        <w:ind w:left="574" w:right="1113"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pacing w:val="-1"/>
          <w:sz w:val="21"/>
          <w:szCs w:val="21"/>
        </w:rPr>
        <w:t>对于可抵扣暂时性差异确认递延所得税资产，以未来期间很可能取得的用来抵扣可抵扣暂时性差异的</w:t>
      </w:r>
    </w:p>
    <w:p>
      <w:pPr>
        <w:spacing w:line="240" w:lineRule="auto" w:before="10"/>
        <w:rPr>
          <w:rFonts w:ascii="宋体" w:hAnsi="宋体" w:cs="宋体" w:eastAsia="宋体" w:hint="default"/>
          <w:sz w:val="14"/>
          <w:szCs w:val="14"/>
        </w:rPr>
      </w:pPr>
    </w:p>
    <w:p>
      <w:pPr>
        <w:pStyle w:val="BodyText"/>
        <w:spacing w:line="408" w:lineRule="auto" w:before="0"/>
        <w:ind w:right="1129"/>
        <w:jc w:val="both"/>
      </w:pPr>
      <w:r>
        <w:rPr>
          <w:spacing w:val="-1"/>
        </w:rPr>
        <w:t>应纳税所得额为限。对于能够结转以后年度的可抵扣亏损和税款抵减，以很可能获得用来抵扣可抵扣亏损</w:t>
      </w:r>
      <w:r>
        <w:rPr>
          <w:spacing w:val="-81"/>
        </w:rPr>
        <w:t> </w:t>
      </w:r>
      <w:r>
        <w:rPr>
          <w:spacing w:val="-81"/>
        </w:rPr>
      </w:r>
      <w:r>
        <w:rPr/>
        <w:t>和税款抵减的未来应纳税所得额为限，确认相应的递延所得税资产。</w:t>
      </w:r>
    </w:p>
    <w:p>
      <w:pPr>
        <w:pStyle w:val="BodyText"/>
        <w:spacing w:line="408" w:lineRule="auto"/>
        <w:ind w:left="574" w:right="1113"/>
        <w:jc w:val="left"/>
      </w:pPr>
      <w:r>
        <w:rPr/>
        <w:t>对于应纳税暂时性差异，除特殊情况外，确认递延所得税负债。 </w:t>
      </w:r>
      <w:r>
        <w:rPr>
          <w:spacing w:val="-1"/>
        </w:rPr>
        <w:t>不确认递延所得税资产或递延所得税负债的特殊情况包括：商誉的初始确认；除企业合并以外的发生</w:t>
      </w:r>
    </w:p>
    <w:p>
      <w:pPr>
        <w:pStyle w:val="BodyText"/>
        <w:spacing w:line="408" w:lineRule="auto"/>
        <w:ind w:left="574" w:right="1113" w:hanging="420"/>
        <w:jc w:val="left"/>
      </w:pPr>
      <w:r>
        <w:rPr/>
        <w:t>时既不影响会计利润也不影响应纳税所得额（或可抵扣亏损）的其他交易或事项。 </w:t>
      </w:r>
      <w:r>
        <w:rPr>
          <w:spacing w:val="-1"/>
        </w:rPr>
        <w:t>当拥有以净额结算的法定权利，且意图以净额结算或取得资产、清偿负债同时进行时，当期所得税资</w:t>
      </w:r>
    </w:p>
    <w:p>
      <w:pPr>
        <w:pStyle w:val="BodyText"/>
        <w:spacing w:line="408" w:lineRule="auto"/>
        <w:ind w:left="574" w:right="1113" w:hanging="420"/>
        <w:jc w:val="left"/>
      </w:pPr>
      <w:r>
        <w:rPr/>
        <w:t>产及当期所得税负债以抵销后的净额列报。 </w:t>
      </w:r>
      <w:r>
        <w:rPr>
          <w:spacing w:val="-1"/>
        </w:rPr>
        <w:t>当拥有以净额结算当期所得税资产及当期所得税负债的法定权利，且递延所得税资产及递延所得税负</w:t>
      </w:r>
    </w:p>
    <w:p>
      <w:pPr>
        <w:pStyle w:val="BodyText"/>
        <w:spacing w:line="408" w:lineRule="auto"/>
        <w:ind w:right="1131"/>
        <w:jc w:val="both"/>
      </w:pPr>
      <w:r>
        <w:rPr>
          <w:spacing w:val="-1"/>
        </w:rPr>
        <w:t>债是与同一税收征管部门对同一纳税主体征收的所得税相关或者是对不同的纳税主体相关，但在未来每一</w:t>
      </w:r>
      <w:r>
        <w:rPr>
          <w:spacing w:val="-81"/>
        </w:rPr>
        <w:t> </w:t>
      </w:r>
      <w:r>
        <w:rPr>
          <w:spacing w:val="-81"/>
        </w:rPr>
      </w:r>
      <w:r>
        <w:rPr>
          <w:spacing w:val="-1"/>
        </w:rPr>
        <w:t>具有重要性的递延所得税资产及负债转回的期间内，涉及的纳税主体意图以净额结算当期所得税资产和负</w:t>
      </w:r>
      <w:r>
        <w:rPr>
          <w:spacing w:val="-81"/>
        </w:rPr>
        <w:t> </w:t>
      </w:r>
      <w:r>
        <w:rPr>
          <w:spacing w:val="-81"/>
        </w:rPr>
      </w:r>
      <w:r>
        <w:rPr/>
        <w:t>债或是同时取得资产、清偿负债时，递延所得税资产及递延所得税负债以抵销后的净额列报。</w:t>
      </w:r>
    </w:p>
    <w:p>
      <w:pPr>
        <w:spacing w:after="0" w:line="408" w:lineRule="auto"/>
        <w:jc w:val="both"/>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1113"/>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13"/>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3" w:right="1130" w:firstLine="420"/>
        <w:jc w:val="both"/>
      </w:pPr>
      <w:r>
        <w:rPr>
          <w:spacing w:val="-1"/>
        </w:rPr>
        <w:t>①公司租入资产所支付的租赁费，在不扣除免租期的整个租赁期内，按直线法进行分摊，计入当期费</w:t>
      </w:r>
      <w:r>
        <w:rPr/>
        <w:t> 用。公司支付的与租赁交易相关的初始直接费用，计入当期费用。</w:t>
      </w:r>
    </w:p>
    <w:p>
      <w:pPr>
        <w:pStyle w:val="BodyText"/>
        <w:spacing w:line="408" w:lineRule="auto"/>
        <w:ind w:left="153" w:right="1131" w:firstLine="420"/>
        <w:jc w:val="both"/>
      </w:pPr>
      <w:r>
        <w:rPr>
          <w:spacing w:val="-1"/>
        </w:rPr>
        <w:t>资产出租方承担了应由公司承担的与租赁相关的费用时，公司将该部分费用从租金总额中扣除，按扣</w:t>
      </w:r>
      <w:r>
        <w:rPr/>
        <w:t> 除后的租金费用在租赁期内分摊，计入当期费用。</w:t>
      </w:r>
    </w:p>
    <w:p>
      <w:pPr>
        <w:pStyle w:val="BodyText"/>
        <w:spacing w:line="408" w:lineRule="auto"/>
        <w:ind w:left="153" w:right="1108" w:firstLine="420"/>
        <w:jc w:val="both"/>
      </w:pPr>
      <w:r>
        <w:rPr>
          <w:spacing w:val="-1"/>
        </w:rPr>
        <w:t>②公司出租资产所收取的租赁费，在不扣除免租期的整个租赁期内，按直线法进行分摊，确认为租赁</w:t>
      </w:r>
      <w:r>
        <w:rPr/>
        <w:t> 相关收入。公司支付的与租赁交易相关的初始直接费用，计入当期费用；如金额较大的，则予以资本化， 在整个租赁期间内按照与租赁相关收入确认相同的基础分期计入当期收益。</w:t>
      </w:r>
    </w:p>
    <w:p>
      <w:pPr>
        <w:pStyle w:val="BodyText"/>
        <w:spacing w:line="408" w:lineRule="auto"/>
        <w:ind w:left="153" w:right="1131" w:firstLine="420"/>
        <w:jc w:val="both"/>
      </w:pPr>
      <w:r>
        <w:rPr>
          <w:spacing w:val="-1"/>
        </w:rPr>
        <w:t>公司承担了应由承租方承担的与租赁相关的费用时，公司将该部分费用从租金收入总额中扣除，按扣</w:t>
      </w:r>
      <w:r>
        <w:rPr/>
        <w:t> 除后的租金费用在租赁期内分配。</w:t>
      </w:r>
    </w:p>
    <w:p>
      <w:pPr>
        <w:spacing w:line="240" w:lineRule="auto" w:before="8"/>
        <w:rPr>
          <w:rFonts w:ascii="宋体" w:hAnsi="宋体" w:cs="宋体" w:eastAsia="宋体" w:hint="default"/>
          <w:sz w:val="20"/>
          <w:szCs w:val="20"/>
        </w:rPr>
      </w:pPr>
    </w:p>
    <w:p>
      <w:pPr>
        <w:pStyle w:val="Heading3"/>
        <w:spacing w:line="240" w:lineRule="auto"/>
        <w:ind w:left="153" w:right="1113"/>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3" w:right="1131" w:firstLine="420"/>
        <w:jc w:val="both"/>
      </w:pPr>
      <w:r>
        <w:rPr>
          <w:spacing w:val="-1"/>
        </w:rPr>
        <w:t>①融资租入资产：公司在承租开始日，将租赁资产公允价值与最低租赁付款额现值两者中较低者作为</w:t>
      </w:r>
      <w:r>
        <w:rPr/>
        <w:t> </w:t>
      </w:r>
      <w:r>
        <w:rPr>
          <w:spacing w:val="-1"/>
        </w:rPr>
        <w:t>租入资产的入账价值，将最低租赁付款额作为长期应付款的入账价值，其差额作为未确认的融资费用。公</w:t>
      </w:r>
      <w:r>
        <w:rPr>
          <w:spacing w:val="-83"/>
        </w:rPr>
        <w:t> </w:t>
      </w:r>
      <w:r>
        <w:rPr>
          <w:spacing w:val="-83"/>
        </w:rPr>
      </w:r>
      <w:r>
        <w:rPr>
          <w:spacing w:val="-1"/>
        </w:rPr>
        <w:t>司采用实际利率法对未确认的融资费用，在资产租赁期间内摊销，计入财务费用。公司发生的初始直接费</w:t>
      </w:r>
      <w:r>
        <w:rPr>
          <w:spacing w:val="-83"/>
        </w:rPr>
        <w:t> </w:t>
      </w:r>
      <w:r>
        <w:rPr>
          <w:spacing w:val="-83"/>
        </w:rPr>
      </w:r>
      <w:r>
        <w:rPr/>
        <w:t>用，计入租入资产价值。</w:t>
      </w:r>
    </w:p>
    <w:p>
      <w:pPr>
        <w:pStyle w:val="BodyText"/>
        <w:spacing w:line="408" w:lineRule="auto"/>
        <w:ind w:left="153" w:right="1022" w:firstLine="420"/>
        <w:jc w:val="left"/>
      </w:pPr>
      <w:r>
        <w:rPr/>
        <w:t>②融资租出资产：公司在租赁开始日，将应收融资租赁款，未担保余值之和与其现值的差额确认为未 </w:t>
      </w:r>
      <w:r>
        <w:rPr>
          <w:spacing w:val="-3"/>
        </w:rPr>
        <w:t>实现融资收益，在将来收到租金的各期间内确认为租赁收入。公司发生的与出租交易相关的初始直接费用，</w:t>
      </w:r>
      <w:r>
        <w:rPr>
          <w:spacing w:val="-92"/>
        </w:rPr>
        <w:t> </w:t>
      </w:r>
      <w:r>
        <w:rPr>
          <w:spacing w:val="-92"/>
        </w:rPr>
      </w:r>
      <w:r>
        <w:rPr/>
        <w:t>计入应收融资租赁款的初始计量中，并减少租赁期内确认的收益金额。</w:t>
      </w:r>
    </w:p>
    <w:p>
      <w:pPr>
        <w:spacing w:line="240" w:lineRule="auto" w:before="8"/>
        <w:rPr>
          <w:rFonts w:ascii="宋体" w:hAnsi="宋体" w:cs="宋体" w:eastAsia="宋体" w:hint="default"/>
          <w:sz w:val="20"/>
          <w:szCs w:val="20"/>
        </w:rPr>
      </w:pPr>
    </w:p>
    <w:p>
      <w:pPr>
        <w:pStyle w:val="Heading3"/>
        <w:spacing w:line="240" w:lineRule="auto"/>
        <w:ind w:right="1113"/>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1" w:firstLine="420"/>
        <w:jc w:val="both"/>
      </w:pPr>
      <w:r>
        <w:rPr>
          <w:spacing w:val="-1"/>
        </w:rPr>
        <w:t>终止经营是满足下列条件之一的、能够单独区分的组成部分，且该组成部分已被本公司处置或被本公</w:t>
      </w:r>
      <w:r>
        <w:rPr/>
        <w:t> 司划归为持有待售类别：</w:t>
      </w:r>
    </w:p>
    <w:p>
      <w:pPr>
        <w:pStyle w:val="BodyText"/>
        <w:spacing w:line="240" w:lineRule="auto"/>
        <w:ind w:left="574" w:right="1113"/>
        <w:jc w:val="left"/>
      </w:pPr>
      <w:r>
        <w:rPr/>
        <w:t>（</w:t>
      </w:r>
      <w:r>
        <w:rPr>
          <w:rFonts w:ascii="Times New Roman" w:hAnsi="Times New Roman" w:cs="Times New Roman" w:eastAsia="Times New Roman" w:hint="default"/>
        </w:rPr>
        <w:t>1</w:t>
      </w:r>
      <w:r>
        <w:rPr/>
        <w:t>）该组成部分代表一项独立的主要业务或一个单独的主要经营地区；</w:t>
      </w:r>
    </w:p>
    <w:p>
      <w:pPr>
        <w:pStyle w:val="BodyText"/>
        <w:spacing w:line="386" w:lineRule="auto" w:before="177"/>
        <w:ind w:right="1127" w:firstLine="420"/>
        <w:jc w:val="both"/>
      </w:pPr>
      <w:r>
        <w:rPr/>
        <w:t>（</w:t>
      </w:r>
      <w:r>
        <w:rPr>
          <w:rFonts w:ascii="Times New Roman" w:hAnsi="Times New Roman" w:cs="Times New Roman" w:eastAsia="Times New Roman" w:hint="default"/>
        </w:rPr>
        <w:t>2</w:t>
      </w:r>
      <w:r>
        <w:rPr/>
        <w:t>）该组成部分是拟对一项独立的主要业务或一个单独的主要经营地区进行处置的一项相关联计划</w:t>
      </w:r>
      <w:r>
        <w:rPr>
          <w:spacing w:val="2"/>
        </w:rPr>
        <w:t> </w:t>
      </w:r>
      <w:r>
        <w:rPr/>
        <w:t>的一部分；</w:t>
      </w:r>
    </w:p>
    <w:p>
      <w:pPr>
        <w:pStyle w:val="BodyText"/>
        <w:spacing w:line="240" w:lineRule="auto" w:before="65"/>
        <w:ind w:left="574" w:right="1113"/>
        <w:jc w:val="left"/>
      </w:pPr>
      <w:r>
        <w:rPr/>
        <w:t>（</w:t>
      </w:r>
      <w:r>
        <w:rPr>
          <w:rFonts w:ascii="Times New Roman" w:hAnsi="Times New Roman" w:cs="Times New Roman" w:eastAsia="Times New Roman" w:hint="default"/>
        </w:rPr>
        <w:t>3</w:t>
      </w:r>
      <w:r>
        <w:rPr/>
        <w:t>）该组成部分是专为转售而取得的子公司。</w:t>
      </w:r>
    </w:p>
    <w:p>
      <w:pPr>
        <w:spacing w:after="0" w:line="240" w:lineRule="auto"/>
        <w:jc w:val="left"/>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1113"/>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right="1113" w:firstLine="420"/>
        <w:jc w:val="left"/>
      </w:pPr>
      <w:r>
        <w:rPr>
          <w:spacing w:val="-1"/>
        </w:rPr>
        <w:t>①执行《财政部关于修订印发</w:t>
      </w:r>
      <w:r>
        <w:rPr>
          <w:rFonts w:ascii="Times New Roman" w:hAnsi="Times New Roman" w:cs="Times New Roman" w:eastAsia="Times New Roman" w:hint="default"/>
          <w:spacing w:val="-1"/>
        </w:rPr>
        <w:t>2019</w:t>
      </w:r>
      <w:r>
        <w:rPr>
          <w:spacing w:val="-1"/>
        </w:rPr>
        <w:t>年度一般企业财务报表格式的通知》和《关于修订印发合并财务报</w:t>
      </w:r>
      <w:r>
        <w:rPr/>
        <w:t> 表格式（</w:t>
      </w:r>
      <w:r>
        <w:rPr>
          <w:rFonts w:ascii="Times New Roman" w:hAnsi="Times New Roman" w:cs="Times New Roman" w:eastAsia="Times New Roman" w:hint="default"/>
        </w:rPr>
        <w:t>2019</w:t>
      </w:r>
      <w:r>
        <w:rPr/>
        <w:t>版）的通知》</w:t>
      </w:r>
    </w:p>
    <w:p>
      <w:pPr>
        <w:pStyle w:val="BodyText"/>
        <w:spacing w:line="386" w:lineRule="auto" w:before="35"/>
        <w:ind w:left="153" w:right="993" w:firstLine="420"/>
        <w:jc w:val="left"/>
      </w:pPr>
      <w:r>
        <w:rPr/>
        <w:pict>
          <v:shape style="position:absolute;margin-left:63.66pt;margin-top:68.793381pt;width:468.2pt;height:250.5pt;mso-position-horizontal-relative:page;mso-position-vertical-relative:paragraph;z-index:34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77"/>
                    <w:gridCol w:w="1134"/>
                    <w:gridCol w:w="1985"/>
                    <w:gridCol w:w="3260"/>
                  </w:tblGrid>
                  <w:tr>
                    <w:trPr>
                      <w:trHeight w:val="337" w:hRule="exact"/>
                    </w:trPr>
                    <w:tc>
                      <w:tcPr>
                        <w:tcW w:w="2977" w:type="dxa"/>
                        <w:vMerge w:val="restart"/>
                        <w:tcBorders>
                          <w:top w:val="single" w:sz="2" w:space="0" w:color="000000"/>
                          <w:left w:val="single" w:sz="2" w:space="0" w:color="000000"/>
                          <w:right w:val="single" w:sz="2" w:space="0" w:color="000000"/>
                        </w:tcBorders>
                        <w:shd w:val="clear" w:color="auto" w:fill="BFBFBF"/>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134" w:type="dxa"/>
                        <w:vMerge w:val="restart"/>
                        <w:tcBorders>
                          <w:top w:val="single" w:sz="2" w:space="0" w:color="000000"/>
                          <w:left w:val="single" w:sz="2" w:space="0" w:color="000000"/>
                          <w:right w:val="single" w:sz="2" w:space="0" w:color="000000"/>
                        </w:tcBorders>
                        <w:shd w:val="clear" w:color="auto" w:fill="BFBFBF"/>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5245" w:type="dxa"/>
                        <w:gridSpan w:val="2"/>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1"/>
                          <w:ind w:left="1449"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337" w:hRule="exact"/>
                    </w:trPr>
                    <w:tc>
                      <w:tcPr>
                        <w:tcW w:w="2977" w:type="dxa"/>
                        <w:vMerge/>
                        <w:tcBorders>
                          <w:left w:val="single" w:sz="2" w:space="0" w:color="000000"/>
                          <w:bottom w:val="single" w:sz="2" w:space="0" w:color="000000"/>
                          <w:right w:val="single" w:sz="2" w:space="0" w:color="000000"/>
                        </w:tcBorders>
                        <w:shd w:val="clear" w:color="auto" w:fill="BFBFBF"/>
                      </w:tcPr>
                      <w:p>
                        <w:pPr/>
                      </w:p>
                    </w:tc>
                    <w:tc>
                      <w:tcPr>
                        <w:tcW w:w="1134" w:type="dxa"/>
                        <w:vMerge/>
                        <w:tcBorders>
                          <w:left w:val="single" w:sz="2" w:space="0" w:color="000000"/>
                          <w:bottom w:val="single" w:sz="2" w:space="0" w:color="000000"/>
                          <w:right w:val="single" w:sz="2" w:space="0" w:color="000000"/>
                        </w:tcBorders>
                        <w:shd w:val="clear" w:color="auto" w:fill="BFBFBF"/>
                      </w:tcPr>
                      <w:p>
                        <w:pPr/>
                      </w:p>
                    </w:tc>
                    <w:tc>
                      <w:tcPr>
                        <w:tcW w:w="1985"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3260"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76" w:hRule="exact"/>
                    </w:trPr>
                    <w:tc>
                      <w:tcPr>
                        <w:tcW w:w="2977" w:type="dxa"/>
                        <w:tcBorders>
                          <w:top w:val="single" w:sz="2" w:space="0" w:color="000000"/>
                          <w:left w:val="single" w:sz="2" w:space="0" w:color="000000"/>
                          <w:bottom w:val="nil" w:sz="6" w:space="0" w:color="auto"/>
                          <w:right w:val="single" w:sz="2" w:space="0" w:color="000000"/>
                        </w:tcBorders>
                      </w:tcPr>
                      <w:p>
                        <w:pPr/>
                      </w:p>
                    </w:tc>
                    <w:tc>
                      <w:tcPr>
                        <w:tcW w:w="1134" w:type="dxa"/>
                        <w:tcBorders>
                          <w:top w:val="single" w:sz="2" w:space="0" w:color="000000"/>
                          <w:left w:val="single" w:sz="2" w:space="0" w:color="000000"/>
                          <w:bottom w:val="nil" w:sz="6" w:space="0" w:color="auto"/>
                          <w:right w:val="single" w:sz="2" w:space="0" w:color="000000"/>
                        </w:tcBorders>
                      </w:tcPr>
                      <w:p>
                        <w:pPr/>
                      </w:p>
                    </w:tc>
                    <w:tc>
                      <w:tcPr>
                        <w:tcW w:w="1985"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w:t>
                        </w:r>
                      </w:p>
                    </w:tc>
                    <w:tc>
                      <w:tcPr>
                        <w:tcW w:w="3260" w:type="dxa"/>
                        <w:tcBorders>
                          <w:top w:val="single" w:sz="2" w:space="0" w:color="000000"/>
                          <w:left w:val="single" w:sz="2" w:space="0" w:color="000000"/>
                          <w:bottom w:val="nil" w:sz="6" w:space="0" w:color="auto"/>
                          <w:right w:val="single" w:sz="2" w:space="0" w:color="000000"/>
                        </w:tcBorders>
                      </w:tcPr>
                      <w:p>
                        <w:pPr/>
                      </w:p>
                    </w:tc>
                  </w:tr>
                  <w:tr>
                    <w:trPr>
                      <w:trHeight w:val="359" w:hRule="exact"/>
                    </w:trPr>
                    <w:tc>
                      <w:tcPr>
                        <w:tcW w:w="2977" w:type="dxa"/>
                        <w:tcBorders>
                          <w:top w:val="nil" w:sz="6" w:space="0" w:color="auto"/>
                          <w:left w:val="single" w:sz="2" w:space="0" w:color="000000"/>
                          <w:bottom w:val="nil" w:sz="6" w:space="0" w:color="auto"/>
                          <w:right w:val="single" w:sz="2" w:space="0" w:color="000000"/>
                        </w:tcBorders>
                      </w:tcPr>
                      <w:p>
                        <w:pPr/>
                      </w:p>
                    </w:tc>
                    <w:tc>
                      <w:tcPr>
                        <w:tcW w:w="1134" w:type="dxa"/>
                        <w:tcBorders>
                          <w:top w:val="nil" w:sz="6" w:space="0" w:color="auto"/>
                          <w:left w:val="single" w:sz="2" w:space="0" w:color="000000"/>
                          <w:bottom w:val="nil" w:sz="6" w:space="0" w:color="auto"/>
                          <w:right w:val="single" w:sz="2" w:space="0" w:color="000000"/>
                        </w:tcBorders>
                      </w:tcPr>
                      <w:p>
                        <w:pPr/>
                      </w:p>
                    </w:tc>
                    <w:tc>
                      <w:tcPr>
                        <w:tcW w:w="1985" w:type="dxa"/>
                        <w:tcBorders>
                          <w:top w:val="nil" w:sz="6" w:space="0" w:color="auto"/>
                          <w:left w:val="single" w:sz="2" w:space="0" w:color="000000"/>
                          <w:bottom w:val="nil" w:sz="6" w:space="0" w:color="auto"/>
                          <w:right w:val="single" w:sz="2"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w:t>
                        </w:r>
                      </w:p>
                    </w:tc>
                    <w:tc>
                      <w:tcPr>
                        <w:tcW w:w="3260" w:type="dxa"/>
                        <w:tcBorders>
                          <w:top w:val="nil" w:sz="6" w:space="0" w:color="auto"/>
                          <w:left w:val="single" w:sz="2" w:space="0" w:color="000000"/>
                          <w:bottom w:val="nil" w:sz="6" w:space="0" w:color="auto"/>
                          <w:right w:val="single" w:sz="2" w:space="0" w:color="000000"/>
                        </w:tcBorders>
                      </w:tcPr>
                      <w:p>
                        <w:pPr/>
                      </w:p>
                    </w:tc>
                  </w:tr>
                  <w:tr>
                    <w:trPr>
                      <w:trHeight w:val="359" w:hRule="exact"/>
                    </w:trPr>
                    <w:tc>
                      <w:tcPr>
                        <w:tcW w:w="2977" w:type="dxa"/>
                        <w:tcBorders>
                          <w:top w:val="nil" w:sz="6" w:space="0" w:color="auto"/>
                          <w:left w:val="single" w:sz="2" w:space="0" w:color="000000"/>
                          <w:bottom w:val="nil" w:sz="6" w:space="0" w:color="auto"/>
                          <w:right w:val="single" w:sz="2" w:space="0" w:color="000000"/>
                        </w:tcBorders>
                      </w:tcPr>
                      <w:p>
                        <w:pPr/>
                      </w:p>
                    </w:tc>
                    <w:tc>
                      <w:tcPr>
                        <w:tcW w:w="1134" w:type="dxa"/>
                        <w:tcBorders>
                          <w:top w:val="nil" w:sz="6" w:space="0" w:color="auto"/>
                          <w:left w:val="single" w:sz="2" w:space="0" w:color="000000"/>
                          <w:bottom w:val="nil" w:sz="6" w:space="0" w:color="auto"/>
                          <w:right w:val="single" w:sz="2" w:space="0" w:color="000000"/>
                        </w:tcBorders>
                      </w:tcPr>
                      <w:p>
                        <w:pPr/>
                      </w:p>
                    </w:tc>
                    <w:tc>
                      <w:tcPr>
                        <w:tcW w:w="1985" w:type="dxa"/>
                        <w:tcBorders>
                          <w:top w:val="nil" w:sz="6" w:space="0" w:color="auto"/>
                          <w:left w:val="single" w:sz="2" w:space="0" w:color="000000"/>
                          <w:bottom w:val="nil" w:sz="6" w:space="0" w:color="auto"/>
                          <w:right w:val="single" w:sz="2"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账款</w:t>
                        </w:r>
                        <w:r>
                          <w:rPr>
                            <w:rFonts w:ascii="Times New Roman" w:hAnsi="Times New Roman" w:cs="Times New Roman" w:eastAsia="Times New Roman" w:hint="default"/>
                            <w:sz w:val="18"/>
                            <w:szCs w:val="18"/>
                          </w:rPr>
                          <w:t>”</w:t>
                        </w:r>
                        <w:r>
                          <w:rPr>
                            <w:rFonts w:ascii="宋体" w:hAnsi="宋体" w:cs="宋体" w:eastAsia="宋体" w:hint="default"/>
                            <w:spacing w:val="-75"/>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w:t>
                        </w:r>
                      </w:p>
                    </w:tc>
                    <w:tc>
                      <w:tcPr>
                        <w:tcW w:w="3260" w:type="dxa"/>
                        <w:tcBorders>
                          <w:top w:val="nil" w:sz="6" w:space="0" w:color="auto"/>
                          <w:left w:val="single" w:sz="2" w:space="0" w:color="000000"/>
                          <w:bottom w:val="nil" w:sz="6" w:space="0" w:color="auto"/>
                          <w:right w:val="single" w:sz="2" w:space="0" w:color="000000"/>
                        </w:tcBorders>
                      </w:tcPr>
                      <w:p>
                        <w:pPr>
                          <w:pStyle w:val="TableParagraph"/>
                          <w:spacing w:line="240" w:lineRule="auto" w:before="29"/>
                          <w:ind w:left="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p>
                    </w:tc>
                  </w:tr>
                  <w:tr>
                    <w:trPr>
                      <w:trHeight w:val="1878" w:hRule="exact"/>
                    </w:trPr>
                    <w:tc>
                      <w:tcPr>
                        <w:tcW w:w="2977" w:type="dxa"/>
                        <w:tcBorders>
                          <w:top w:val="nil" w:sz="6" w:space="0" w:color="auto"/>
                          <w:left w:val="single" w:sz="2" w:space="0" w:color="000000"/>
                          <w:bottom w:val="nil" w:sz="6" w:space="0" w:color="auto"/>
                          <w:right w:val="single" w:sz="2" w:space="0" w:color="000000"/>
                        </w:tcBorders>
                      </w:tcPr>
                      <w:p>
                        <w:pPr>
                          <w:pStyle w:val="TableParagraph"/>
                          <w:spacing w:line="358" w:lineRule="exact" w:before="131"/>
                          <w:ind w:left="8" w:right="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）资产负债表中</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 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 </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 </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应付票据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和</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应付账款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列示；比较数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据相应调整。</w:t>
                        </w:r>
                      </w:p>
                    </w:tc>
                    <w:tc>
                      <w:tcPr>
                        <w:tcW w:w="1134" w:type="dxa"/>
                        <w:tcBorders>
                          <w:top w:val="nil" w:sz="6" w:space="0" w:color="auto"/>
                          <w:left w:val="single" w:sz="2" w:space="0" w:color="000000"/>
                          <w:bottom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1985" w:type="dxa"/>
                        <w:tcBorders>
                          <w:top w:val="nil" w:sz="6" w:space="0" w:color="auto"/>
                          <w:left w:val="single" w:sz="2" w:space="0" w:color="000000"/>
                          <w:bottom w:val="nil" w:sz="6" w:space="0" w:color="auto"/>
                          <w:right w:val="single" w:sz="2"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末余额</w:t>
                        </w:r>
                        <w:r>
                          <w:rPr>
                            <w:rFonts w:ascii="Times New Roman" w:hAnsi="Times New Roman" w:cs="Times New Roman" w:eastAsia="Times New Roman" w:hint="default"/>
                            <w:sz w:val="18"/>
                            <w:szCs w:val="18"/>
                          </w:rPr>
                          <w:t>1,102,000.00</w:t>
                        </w:r>
                        <w:r>
                          <w:rPr>
                            <w:rFonts w:ascii="宋体" w:hAnsi="宋体" w:cs="宋体" w:eastAsia="宋体" w:hint="default"/>
                            <w:sz w:val="18"/>
                            <w:szCs w:val="18"/>
                          </w:rPr>
                          <w:t>元，</w:t>
                        </w:r>
                      </w:p>
                      <w:p>
                        <w:pPr>
                          <w:pStyle w:val="TableParagraph"/>
                          <w:spacing w:line="345" w:lineRule="auto" w:before="109"/>
                          <w:ind w:left="7"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 </w:t>
                        </w:r>
                        <w:r>
                          <w:rPr>
                            <w:rFonts w:ascii="Times New Roman" w:hAnsi="Times New Roman" w:cs="Times New Roman" w:eastAsia="Times New Roman" w:hint="default"/>
                            <w:sz w:val="18"/>
                            <w:szCs w:val="18"/>
                          </w:rPr>
                          <w:t>417,074,051.07</w:t>
                        </w:r>
                        <w:r>
                          <w:rPr>
                            <w:rFonts w:ascii="宋体" w:hAnsi="宋体" w:cs="宋体" w:eastAsia="宋体" w:hint="default"/>
                            <w:sz w:val="18"/>
                            <w:szCs w:val="18"/>
                          </w:rPr>
                          <w:t>元；</w:t>
                        </w:r>
                      </w:p>
                      <w:p>
                        <w:pPr>
                          <w:pStyle w:val="TableParagraph"/>
                          <w:spacing w:line="345" w:lineRule="auto" w:before="22"/>
                          <w:ind w:left="7"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 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w:t>
                        </w:r>
                      </w:p>
                    </w:tc>
                    <w:tc>
                      <w:tcPr>
                        <w:tcW w:w="3260" w:type="dxa"/>
                        <w:tcBorders>
                          <w:top w:val="nil" w:sz="6" w:space="0" w:color="auto"/>
                          <w:left w:val="single" w:sz="2" w:space="0" w:color="000000"/>
                          <w:bottom w:val="nil" w:sz="6" w:space="0" w:color="auto"/>
                          <w:right w:val="single" w:sz="2" w:space="0" w:color="000000"/>
                        </w:tcBorders>
                      </w:tcPr>
                      <w:p>
                        <w:pPr>
                          <w:pStyle w:val="TableParagraph"/>
                          <w:spacing w:line="240" w:lineRule="auto" w:before="29"/>
                          <w:ind w:left="8" w:right="0"/>
                          <w:jc w:val="left"/>
                          <w:rPr>
                            <w:rFonts w:ascii="宋体" w:hAnsi="宋体" w:cs="宋体" w:eastAsia="宋体" w:hint="default"/>
                            <w:sz w:val="18"/>
                            <w:szCs w:val="18"/>
                          </w:rPr>
                        </w:pP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p>
                      <w:p>
                        <w:pPr>
                          <w:pStyle w:val="TableParagraph"/>
                          <w:spacing w:line="240" w:lineRule="auto" w:before="109"/>
                          <w:ind w:left="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202,000.00</w:t>
                        </w:r>
                        <w:r>
                          <w:rPr>
                            <w:rFonts w:ascii="宋体" w:hAnsi="宋体" w:cs="宋体" w:eastAsia="宋体" w:hint="default"/>
                            <w:sz w:val="18"/>
                            <w:szCs w:val="18"/>
                          </w:rPr>
                          <w:t>元，</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p>
                      <w:p>
                        <w:pPr>
                          <w:pStyle w:val="TableParagraph"/>
                          <w:spacing w:line="240" w:lineRule="auto" w:before="109"/>
                          <w:ind w:left="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308,435,199.25</w:t>
                        </w:r>
                        <w:r>
                          <w:rPr>
                            <w:rFonts w:ascii="宋体" w:hAnsi="宋体" w:cs="宋体" w:eastAsia="宋体" w:hint="default"/>
                            <w:sz w:val="18"/>
                            <w:szCs w:val="18"/>
                          </w:rPr>
                          <w:t>元；</w:t>
                        </w:r>
                      </w:p>
                      <w:p>
                        <w:pPr>
                          <w:pStyle w:val="TableParagraph"/>
                          <w:spacing w:line="240" w:lineRule="auto" w:before="109"/>
                          <w:ind w:left="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p>
                      <w:p>
                        <w:pPr>
                          <w:pStyle w:val="TableParagraph"/>
                          <w:spacing w:line="240" w:lineRule="auto" w:before="109"/>
                          <w:ind w:left="8" w:right="0"/>
                          <w:jc w:val="left"/>
                          <w:rPr>
                            <w:rFonts w:ascii="宋体" w:hAnsi="宋体" w:cs="宋体" w:eastAsia="宋体" w:hint="default"/>
                            <w:sz w:val="18"/>
                            <w:szCs w:val="18"/>
                          </w:rPr>
                        </w:pP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p>
                    </w:tc>
                  </w:tr>
                  <w:tr>
                    <w:trPr>
                      <w:trHeight w:val="274" w:hRule="exact"/>
                    </w:trPr>
                    <w:tc>
                      <w:tcPr>
                        <w:tcW w:w="2977" w:type="dxa"/>
                        <w:tcBorders>
                          <w:top w:val="nil" w:sz="6" w:space="0" w:color="auto"/>
                          <w:left w:val="single" w:sz="2" w:space="0" w:color="000000"/>
                          <w:bottom w:val="nil" w:sz="6" w:space="0" w:color="auto"/>
                          <w:right w:val="single" w:sz="2" w:space="0" w:color="000000"/>
                        </w:tcBorders>
                      </w:tcPr>
                      <w:p>
                        <w:pPr/>
                      </w:p>
                    </w:tc>
                    <w:tc>
                      <w:tcPr>
                        <w:tcW w:w="1134" w:type="dxa"/>
                        <w:tcBorders>
                          <w:top w:val="nil" w:sz="6" w:space="0" w:color="auto"/>
                          <w:left w:val="single" w:sz="2" w:space="0" w:color="000000"/>
                          <w:bottom w:val="nil" w:sz="6" w:space="0" w:color="auto"/>
                          <w:right w:val="single" w:sz="2" w:space="0" w:color="000000"/>
                        </w:tcBorders>
                      </w:tcPr>
                      <w:p>
                        <w:pPr/>
                      </w:p>
                    </w:tc>
                    <w:tc>
                      <w:tcPr>
                        <w:tcW w:w="1985" w:type="dxa"/>
                        <w:tcBorders>
                          <w:top w:val="nil" w:sz="6" w:space="0" w:color="auto"/>
                          <w:left w:val="single" w:sz="2" w:space="0" w:color="000000"/>
                          <w:bottom w:val="nil" w:sz="6" w:space="0" w:color="auto"/>
                          <w:right w:val="single" w:sz="2" w:space="0" w:color="000000"/>
                        </w:tcBorders>
                      </w:tcPr>
                      <w:p>
                        <w:pPr>
                          <w:pStyle w:val="TableParagraph"/>
                          <w:spacing w:line="194" w:lineRule="exact"/>
                          <w:ind w:left="7" w:right="0"/>
                          <w:jc w:val="left"/>
                          <w:rPr>
                            <w:rFonts w:ascii="宋体" w:hAnsi="宋体" w:cs="宋体" w:eastAsia="宋体" w:hint="default"/>
                            <w:sz w:val="18"/>
                            <w:szCs w:val="18"/>
                          </w:rPr>
                        </w:pPr>
                        <w:r>
                          <w:rPr>
                            <w:rFonts w:ascii="宋体" w:hAnsi="宋体" w:cs="宋体" w:eastAsia="宋体" w:hint="default"/>
                            <w:sz w:val="18"/>
                            <w:szCs w:val="18"/>
                          </w:rPr>
                          <w:t>账款</w:t>
                        </w:r>
                        <w:r>
                          <w:rPr>
                            <w:rFonts w:ascii="Times New Roman" w:hAnsi="Times New Roman" w:cs="Times New Roman" w:eastAsia="Times New Roman" w:hint="default"/>
                            <w:sz w:val="18"/>
                            <w:szCs w:val="18"/>
                          </w:rPr>
                          <w:t>”</w:t>
                        </w:r>
                        <w:r>
                          <w:rPr>
                            <w:rFonts w:ascii="宋体" w:hAnsi="宋体" w:cs="宋体" w:eastAsia="宋体" w:hint="default"/>
                            <w:spacing w:val="-75"/>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w:t>
                        </w:r>
                      </w:p>
                    </w:tc>
                    <w:tc>
                      <w:tcPr>
                        <w:tcW w:w="3260" w:type="dxa"/>
                        <w:tcBorders>
                          <w:top w:val="nil" w:sz="6" w:space="0" w:color="auto"/>
                          <w:left w:val="single" w:sz="2" w:space="0" w:color="000000"/>
                          <w:bottom w:val="nil" w:sz="6" w:space="0" w:color="auto"/>
                          <w:right w:val="single" w:sz="2" w:space="0" w:color="000000"/>
                        </w:tcBorders>
                      </w:tcPr>
                      <w:p>
                        <w:pPr>
                          <w:pStyle w:val="TableParagraph"/>
                          <w:spacing w:line="194" w:lineRule="exact"/>
                          <w:ind w:left="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46,928,368.15</w:t>
                        </w:r>
                        <w:r>
                          <w:rPr>
                            <w:rFonts w:ascii="宋体" w:hAnsi="宋体" w:cs="宋体" w:eastAsia="宋体" w:hint="default"/>
                            <w:sz w:val="18"/>
                            <w:szCs w:val="18"/>
                          </w:rPr>
                          <w:t>元，</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w:t>
                        </w:r>
                      </w:p>
                    </w:tc>
                  </w:tr>
                  <w:tr>
                    <w:trPr>
                      <w:trHeight w:val="359" w:hRule="exact"/>
                    </w:trPr>
                    <w:tc>
                      <w:tcPr>
                        <w:tcW w:w="2977" w:type="dxa"/>
                        <w:tcBorders>
                          <w:top w:val="nil" w:sz="6" w:space="0" w:color="auto"/>
                          <w:left w:val="single" w:sz="2" w:space="0" w:color="000000"/>
                          <w:bottom w:val="nil" w:sz="6" w:space="0" w:color="auto"/>
                          <w:right w:val="single" w:sz="2" w:space="0" w:color="000000"/>
                        </w:tcBorders>
                      </w:tcPr>
                      <w:p>
                        <w:pPr/>
                      </w:p>
                    </w:tc>
                    <w:tc>
                      <w:tcPr>
                        <w:tcW w:w="1134" w:type="dxa"/>
                        <w:tcBorders>
                          <w:top w:val="nil" w:sz="6" w:space="0" w:color="auto"/>
                          <w:left w:val="single" w:sz="2" w:space="0" w:color="000000"/>
                          <w:bottom w:val="nil" w:sz="6" w:space="0" w:color="auto"/>
                          <w:right w:val="single" w:sz="2" w:space="0" w:color="000000"/>
                        </w:tcBorders>
                      </w:tcPr>
                      <w:p>
                        <w:pPr/>
                      </w:p>
                    </w:tc>
                    <w:tc>
                      <w:tcPr>
                        <w:tcW w:w="1985" w:type="dxa"/>
                        <w:tcBorders>
                          <w:top w:val="nil" w:sz="6" w:space="0" w:color="auto"/>
                          <w:left w:val="single" w:sz="2" w:space="0" w:color="000000"/>
                          <w:bottom w:val="nil" w:sz="6" w:space="0" w:color="auto"/>
                          <w:right w:val="single" w:sz="2"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末余额</w:t>
                        </w:r>
                        <w:r>
                          <w:rPr>
                            <w:rFonts w:ascii="Times New Roman" w:hAnsi="Times New Roman" w:cs="Times New Roman" w:eastAsia="Times New Roman" w:hint="default"/>
                            <w:sz w:val="18"/>
                            <w:szCs w:val="18"/>
                          </w:rPr>
                          <w:t>46,928,368.15</w:t>
                        </w:r>
                        <w:r>
                          <w:rPr>
                            <w:rFonts w:ascii="宋体" w:hAnsi="宋体" w:cs="宋体" w:eastAsia="宋体" w:hint="default"/>
                            <w:sz w:val="18"/>
                            <w:szCs w:val="18"/>
                          </w:rPr>
                          <w:t>元，</w:t>
                        </w:r>
                      </w:p>
                    </w:tc>
                    <w:tc>
                      <w:tcPr>
                        <w:tcW w:w="3260" w:type="dxa"/>
                        <w:tcBorders>
                          <w:top w:val="nil" w:sz="6" w:space="0" w:color="auto"/>
                          <w:left w:val="single" w:sz="2" w:space="0" w:color="000000"/>
                          <w:bottom w:val="nil" w:sz="6" w:space="0" w:color="auto"/>
                          <w:right w:val="single" w:sz="2" w:space="0" w:color="000000"/>
                        </w:tcBorders>
                      </w:tcPr>
                      <w:p>
                        <w:pPr>
                          <w:pStyle w:val="TableParagraph"/>
                          <w:spacing w:line="240" w:lineRule="auto" w:before="29"/>
                          <w:ind w:left="8" w:right="0"/>
                          <w:jc w:val="left"/>
                          <w:rPr>
                            <w:rFonts w:ascii="宋体" w:hAnsi="宋体" w:cs="宋体" w:eastAsia="宋体"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171,119,375.99</w:t>
                        </w:r>
                        <w:r>
                          <w:rPr>
                            <w:rFonts w:ascii="宋体" w:hAnsi="宋体" w:cs="宋体" w:eastAsia="宋体" w:hint="default"/>
                            <w:sz w:val="18"/>
                            <w:szCs w:val="18"/>
                          </w:rPr>
                          <w:t>元。</w:t>
                        </w:r>
                      </w:p>
                    </w:tc>
                  </w:tr>
                  <w:tr>
                    <w:trPr>
                      <w:trHeight w:val="359" w:hRule="exact"/>
                    </w:trPr>
                    <w:tc>
                      <w:tcPr>
                        <w:tcW w:w="2977" w:type="dxa"/>
                        <w:tcBorders>
                          <w:top w:val="nil" w:sz="6" w:space="0" w:color="auto"/>
                          <w:left w:val="single" w:sz="2" w:space="0" w:color="000000"/>
                          <w:bottom w:val="nil" w:sz="6" w:space="0" w:color="auto"/>
                          <w:right w:val="single" w:sz="2" w:space="0" w:color="000000"/>
                        </w:tcBorders>
                      </w:tcPr>
                      <w:p>
                        <w:pPr/>
                      </w:p>
                    </w:tc>
                    <w:tc>
                      <w:tcPr>
                        <w:tcW w:w="1134" w:type="dxa"/>
                        <w:tcBorders>
                          <w:top w:val="nil" w:sz="6" w:space="0" w:color="auto"/>
                          <w:left w:val="single" w:sz="2" w:space="0" w:color="000000"/>
                          <w:bottom w:val="nil" w:sz="6" w:space="0" w:color="auto"/>
                          <w:right w:val="single" w:sz="2" w:space="0" w:color="000000"/>
                        </w:tcBorders>
                      </w:tcPr>
                      <w:p>
                        <w:pPr/>
                      </w:p>
                    </w:tc>
                    <w:tc>
                      <w:tcPr>
                        <w:tcW w:w="1985" w:type="dxa"/>
                        <w:tcBorders>
                          <w:top w:val="nil" w:sz="6" w:space="0" w:color="auto"/>
                          <w:left w:val="single" w:sz="2" w:space="0" w:color="000000"/>
                          <w:bottom w:val="nil" w:sz="6" w:space="0" w:color="auto"/>
                          <w:right w:val="single" w:sz="2"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p>
                    </w:tc>
                    <w:tc>
                      <w:tcPr>
                        <w:tcW w:w="3260" w:type="dxa"/>
                        <w:tcBorders>
                          <w:top w:val="nil" w:sz="6" w:space="0" w:color="auto"/>
                          <w:left w:val="single" w:sz="2" w:space="0" w:color="000000"/>
                          <w:bottom w:val="nil" w:sz="6" w:space="0" w:color="auto"/>
                          <w:right w:val="single" w:sz="2" w:space="0" w:color="000000"/>
                        </w:tcBorders>
                      </w:tcPr>
                      <w:p>
                        <w:pPr/>
                      </w:p>
                    </w:tc>
                  </w:tr>
                  <w:tr>
                    <w:trPr>
                      <w:trHeight w:val="366" w:hRule="exact"/>
                    </w:trPr>
                    <w:tc>
                      <w:tcPr>
                        <w:tcW w:w="2977" w:type="dxa"/>
                        <w:tcBorders>
                          <w:top w:val="nil" w:sz="6" w:space="0" w:color="auto"/>
                          <w:left w:val="single" w:sz="2" w:space="0" w:color="000000"/>
                          <w:bottom w:val="single" w:sz="2" w:space="0" w:color="000000"/>
                          <w:right w:val="single" w:sz="2" w:space="0" w:color="000000"/>
                        </w:tcBorders>
                      </w:tcPr>
                      <w:p>
                        <w:pPr/>
                      </w:p>
                    </w:tc>
                    <w:tc>
                      <w:tcPr>
                        <w:tcW w:w="1134" w:type="dxa"/>
                        <w:tcBorders>
                          <w:top w:val="nil" w:sz="6" w:space="0" w:color="auto"/>
                          <w:left w:val="single" w:sz="2" w:space="0" w:color="000000"/>
                          <w:bottom w:val="single" w:sz="2" w:space="0" w:color="000000"/>
                          <w:right w:val="single" w:sz="2" w:space="0" w:color="000000"/>
                        </w:tcBorders>
                      </w:tcPr>
                      <w:p>
                        <w:pPr/>
                      </w:p>
                    </w:tc>
                    <w:tc>
                      <w:tcPr>
                        <w:tcW w:w="1985"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168,650,977.27</w:t>
                        </w:r>
                        <w:r>
                          <w:rPr>
                            <w:rFonts w:ascii="宋体" w:hAnsi="宋体" w:cs="宋体" w:eastAsia="宋体" w:hint="default"/>
                            <w:sz w:val="18"/>
                            <w:szCs w:val="18"/>
                          </w:rPr>
                          <w:t>元。</w:t>
                        </w:r>
                      </w:p>
                    </w:tc>
                    <w:tc>
                      <w:tcPr>
                        <w:tcW w:w="3260" w:type="dxa"/>
                        <w:tcBorders>
                          <w:top w:val="nil" w:sz="6" w:space="0" w:color="auto"/>
                          <w:left w:val="single" w:sz="2" w:space="0" w:color="000000"/>
                          <w:bottom w:val="single" w:sz="2" w:space="0" w:color="000000"/>
                          <w:right w:val="single" w:sz="2" w:space="0" w:color="000000"/>
                        </w:tcBorders>
                      </w:tcPr>
                      <w:p>
                        <w:pPr/>
                      </w:p>
                    </w:tc>
                  </w:tr>
                </w:tbl>
                <w:p>
                  <w:pPr/>
                </w:p>
              </w:txbxContent>
            </v:textbox>
            <w10:wrap type="none"/>
          </v:shape>
        </w:pict>
      </w:r>
      <w:r>
        <w:rPr/>
        <w:t>财政部分别于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w:t>
      </w:r>
      <w:r>
        <w:rPr>
          <w:spacing w:val="14"/>
        </w:rPr>
        <w:t> </w:t>
      </w:r>
      <w:r>
        <w:rPr/>
        <w:t>发布了《关于修订印发</w:t>
      </w:r>
      <w:r>
        <w:rPr>
          <w:rFonts w:ascii="Times New Roman" w:hAnsi="Times New Roman" w:cs="Times New Roman" w:eastAsia="Times New Roman" w:hint="default"/>
        </w:rPr>
        <w:t>2019</w:t>
      </w:r>
      <w:r>
        <w:rPr/>
        <w:t>年度一般企业财务报表格</w:t>
      </w:r>
      <w:r>
        <w:rPr>
          <w:spacing w:val="2"/>
        </w:rPr>
        <w:t> </w:t>
      </w:r>
      <w:r>
        <w:rPr>
          <w:spacing w:val="-1"/>
        </w:rPr>
        <w:t>式的通知》（财会（</w:t>
      </w:r>
      <w:r>
        <w:rPr>
          <w:rFonts w:ascii="Times New Roman" w:hAnsi="Times New Roman" w:cs="Times New Roman" w:eastAsia="Times New Roman" w:hint="default"/>
          <w:spacing w:val="-1"/>
        </w:rPr>
        <w:t>2019</w:t>
      </w:r>
      <w:r>
        <w:rPr>
          <w:spacing w:val="-1"/>
        </w:rPr>
        <w:t>）</w:t>
      </w:r>
      <w:r>
        <w:rPr>
          <w:rFonts w:ascii="Times New Roman" w:hAnsi="Times New Roman" w:cs="Times New Roman" w:eastAsia="Times New Roman" w:hint="default"/>
          <w:spacing w:val="-1"/>
        </w:rPr>
        <w:t>6</w:t>
      </w:r>
      <w:r>
        <w:rPr>
          <w:spacing w:val="-1"/>
        </w:rPr>
        <w:t>号）和《关于修订印发合并财务报表格式（</w:t>
      </w:r>
      <w:r>
        <w:rPr>
          <w:rFonts w:ascii="Times New Roman" w:hAnsi="Times New Roman" w:cs="Times New Roman" w:eastAsia="Times New Roman" w:hint="default"/>
          <w:spacing w:val="-1"/>
        </w:rPr>
        <w:t>2019</w:t>
      </w:r>
      <w:r>
        <w:rPr>
          <w:spacing w:val="-1"/>
        </w:rPr>
        <w:t>版）的通知》（财会（</w:t>
      </w:r>
      <w:r>
        <w:rPr>
          <w:rFonts w:ascii="Times New Roman" w:hAnsi="Times New Roman" w:cs="Times New Roman" w:eastAsia="Times New Roman" w:hint="default"/>
          <w:spacing w:val="-1"/>
        </w:rPr>
        <w:t>2019</w:t>
      </w:r>
      <w:r>
        <w:rPr>
          <w:spacing w:val="-1"/>
        </w:rPr>
        <w:t>）</w:t>
      </w:r>
      <w:r>
        <w:rPr>
          <w:spacing w:val="-86"/>
        </w:rPr>
        <w:t> </w:t>
      </w:r>
      <w:r>
        <w:rPr>
          <w:rFonts w:ascii="Times New Roman" w:hAnsi="Times New Roman" w:cs="Times New Roman" w:eastAsia="Times New Roman" w:hint="default"/>
        </w:rPr>
        <w:t>16</w:t>
      </w:r>
      <w:r>
        <w:rPr/>
        <w:t>号），对一般企业财务报表格式进行了修订。本公司执行上述规定的主要影响如下：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before="35"/>
        <w:ind w:left="574" w:right="993"/>
        <w:jc w:val="left"/>
      </w:pPr>
      <w:r>
        <w:rPr/>
        <w:t>②执行《企业会计准则第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金融工具确认和计量》《企业会计准则第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w:t>
      </w:r>
    </w:p>
    <w:p>
      <w:pPr>
        <w:pStyle w:val="BodyText"/>
        <w:spacing w:line="386" w:lineRule="auto" w:before="177"/>
        <w:ind w:left="574" w:right="1125" w:hanging="420"/>
        <w:jc w:val="left"/>
        <w:rPr>
          <w:rFonts w:ascii="Times New Roman" w:hAnsi="Times New Roman" w:cs="Times New Roman" w:eastAsia="Times New Roman" w:hint="default"/>
        </w:rPr>
      </w:pPr>
      <w:r>
        <w:rPr/>
        <w:t>《企业会计准则第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套期会计》和《企业会计准则第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w:t>
      </w:r>
      <w:r>
        <w:rPr>
          <w:rFonts w:ascii="Times New Roman" w:hAnsi="Times New Roman" w:cs="Times New Roman" w:eastAsia="Times New Roman" w:hint="default"/>
        </w:rPr>
        <w:t>2017</w:t>
      </w:r>
      <w:r>
        <w:rPr/>
        <w:t>年修订） </w:t>
      </w:r>
      <w:r>
        <w:rPr>
          <w:spacing w:val="-5"/>
        </w:rPr>
        <w:t>财政部于</w:t>
      </w:r>
      <w:r>
        <w:rPr>
          <w:rFonts w:ascii="Times New Roman" w:hAnsi="Times New Roman" w:cs="Times New Roman" w:eastAsia="Times New Roman" w:hint="default"/>
          <w:spacing w:val="-5"/>
        </w:rPr>
        <w:t>2017</w:t>
      </w:r>
      <w:r>
        <w:rPr>
          <w:spacing w:val="-5"/>
        </w:rPr>
        <w:t>年度修订了《企业会计准则第</w:t>
      </w:r>
      <w:r>
        <w:rPr>
          <w:rFonts w:ascii="Times New Roman" w:hAnsi="Times New Roman" w:cs="Times New Roman" w:eastAsia="Times New Roman" w:hint="default"/>
          <w:spacing w:val="-5"/>
        </w:rPr>
        <w:t>22</w:t>
      </w:r>
      <w:r>
        <w:rPr>
          <w:spacing w:val="-5"/>
        </w:rPr>
        <w:t>号</w:t>
      </w:r>
      <w:r>
        <w:rPr>
          <w:rFonts w:ascii="Times New Roman" w:hAnsi="Times New Roman" w:cs="Times New Roman" w:eastAsia="Times New Roman" w:hint="default"/>
          <w:spacing w:val="-5"/>
        </w:rPr>
        <w:t>——</w:t>
      </w:r>
      <w:r>
        <w:rPr>
          <w:spacing w:val="-5"/>
        </w:rPr>
        <w:t>金融工具确认和计量》《企业会计准则第</w:t>
      </w:r>
      <w:r>
        <w:rPr>
          <w:rFonts w:ascii="Times New Roman" w:hAnsi="Times New Roman" w:cs="Times New Roman" w:eastAsia="Times New Roman" w:hint="default"/>
          <w:spacing w:val="-5"/>
        </w:rPr>
        <w:t>23</w:t>
      </w:r>
      <w:r>
        <w:rPr>
          <w:spacing w:val="-5"/>
        </w:rPr>
        <w:t>号</w:t>
      </w:r>
      <w:r>
        <w:rPr>
          <w:rFonts w:ascii="Times New Roman" w:hAnsi="Times New Roman" w:cs="Times New Roman" w:eastAsia="Times New Roman" w:hint="default"/>
          <w:spacing w:val="-5"/>
        </w:rPr>
        <w:t>——</w:t>
      </w:r>
      <w:r>
        <w:rPr>
          <w:rFonts w:ascii="Times New Roman" w:hAnsi="Times New Roman" w:cs="Times New Roman" w:eastAsia="Times New Roman" w:hint="default"/>
        </w:rPr>
      </w:r>
    </w:p>
    <w:p>
      <w:pPr>
        <w:pStyle w:val="BodyText"/>
        <w:spacing w:line="400" w:lineRule="auto" w:before="35"/>
        <w:ind w:right="1131"/>
        <w:jc w:val="both"/>
      </w:pPr>
      <w:r>
        <w:rPr>
          <w:spacing w:val="-1"/>
        </w:rPr>
        <w:t>金融资产转移》《企业会计准则第</w:t>
      </w:r>
      <w:r>
        <w:rPr>
          <w:rFonts w:ascii="Times New Roman" w:hAnsi="Times New Roman" w:cs="Times New Roman" w:eastAsia="Times New Roman" w:hint="default"/>
          <w:spacing w:val="-1"/>
        </w:rPr>
        <w:t>24</w:t>
      </w:r>
      <w:r>
        <w:rPr>
          <w:spacing w:val="-1"/>
        </w:rPr>
        <w:t>号</w:t>
      </w:r>
      <w:r>
        <w:rPr>
          <w:rFonts w:ascii="Times New Roman" w:hAnsi="Times New Roman" w:cs="Times New Roman" w:eastAsia="Times New Roman" w:hint="default"/>
          <w:spacing w:val="-1"/>
        </w:rPr>
        <w:t>——</w:t>
      </w:r>
      <w:r>
        <w:rPr>
          <w:spacing w:val="-1"/>
        </w:rPr>
        <w:t>套期会计》和《企业会计准则第</w:t>
      </w:r>
      <w:r>
        <w:rPr>
          <w:rFonts w:ascii="Times New Roman" w:hAnsi="Times New Roman" w:cs="Times New Roman" w:eastAsia="Times New Roman" w:hint="default"/>
          <w:spacing w:val="-1"/>
        </w:rPr>
        <w:t>37</w:t>
      </w:r>
      <w:r>
        <w:rPr>
          <w:spacing w:val="-1"/>
        </w:rPr>
        <w:t>号</w:t>
      </w:r>
      <w:r>
        <w:rPr>
          <w:rFonts w:ascii="Times New Roman" w:hAnsi="Times New Roman" w:cs="Times New Roman" w:eastAsia="Times New Roman" w:hint="default"/>
          <w:spacing w:val="-1"/>
        </w:rPr>
        <w:t>——</w:t>
      </w:r>
      <w:r>
        <w:rPr>
          <w:spacing w:val="-1"/>
        </w:rPr>
        <w:t>金融工具列报》。修</w:t>
      </w:r>
      <w:r>
        <w:rPr>
          <w:spacing w:val="-87"/>
        </w:rPr>
        <w:t> </w:t>
      </w:r>
      <w:r>
        <w:rPr>
          <w:spacing w:val="-87"/>
        </w:rPr>
      </w:r>
      <w:r>
        <w:rPr>
          <w:spacing w:val="-1"/>
        </w:rPr>
        <w:t>订后的准则规定，对于首次执行日尚未终止确认的金融工具，之前的确认和计量与修订后的准则要求不一</w:t>
      </w:r>
      <w:r>
        <w:rPr>
          <w:spacing w:val="-81"/>
        </w:rPr>
        <w:t> </w:t>
      </w:r>
      <w:r>
        <w:rPr>
          <w:spacing w:val="-81"/>
        </w:rPr>
      </w:r>
      <w:r>
        <w:rPr>
          <w:spacing w:val="-1"/>
        </w:rPr>
        <w:t>致的，应当追溯调整。涉及前期比较财务报表数据与修订后的准则要求不一致的，无需调整。本公司将因</w:t>
      </w:r>
      <w:r>
        <w:rPr>
          <w:spacing w:val="-82"/>
        </w:rPr>
        <w:t> </w:t>
      </w:r>
      <w:r>
        <w:rPr>
          <w:spacing w:val="-82"/>
        </w:rPr>
      </w:r>
      <w:r>
        <w:rPr/>
        <w:t>追溯调整产生的累积影响数调整当年年初留存收益和其他综合收益。</w:t>
      </w:r>
    </w:p>
    <w:p>
      <w:pPr>
        <w:pStyle w:val="BodyText"/>
        <w:spacing w:line="386" w:lineRule="auto" w:before="52"/>
        <w:ind w:left="153" w:right="1113" w:firstLine="420"/>
        <w:jc w:val="left"/>
      </w:pPr>
      <w:r>
        <w:rPr/>
        <w:t>以按照财会〔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号和财会〔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t>号的规定调整后的上年年末余额为基础，执行上述新金融 工具准则的主要影响如下：</w:t>
      </w:r>
    </w:p>
    <w:tbl>
      <w:tblPr>
        <w:tblW w:w="0" w:type="auto"/>
        <w:jc w:val="left"/>
        <w:tblInd w:w="293" w:type="dxa"/>
        <w:tblLayout w:type="fixed"/>
        <w:tblCellMar>
          <w:top w:w="0" w:type="dxa"/>
          <w:left w:w="0" w:type="dxa"/>
          <w:bottom w:w="0" w:type="dxa"/>
          <w:right w:w="0" w:type="dxa"/>
        </w:tblCellMar>
        <w:tblLook w:val="01E0"/>
      </w:tblPr>
      <w:tblGrid>
        <w:gridCol w:w="2371"/>
        <w:gridCol w:w="1544"/>
        <w:gridCol w:w="1874"/>
        <w:gridCol w:w="3566"/>
      </w:tblGrid>
      <w:tr>
        <w:trPr>
          <w:trHeight w:val="326" w:hRule="exact"/>
        </w:trPr>
        <w:tc>
          <w:tcPr>
            <w:tcW w:w="2371" w:type="dxa"/>
            <w:vMerge w:val="restart"/>
            <w:tcBorders>
              <w:top w:val="single" w:sz="2" w:space="0" w:color="000000"/>
              <w:left w:val="single" w:sz="2" w:space="0" w:color="000000"/>
              <w:right w:val="single" w:sz="2" w:space="0" w:color="000000"/>
            </w:tcBorders>
            <w:shd w:val="clear" w:color="auto" w:fill="BFBFBF"/>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544" w:type="dxa"/>
            <w:vMerge w:val="restart"/>
            <w:tcBorders>
              <w:top w:val="single" w:sz="2" w:space="0" w:color="000000"/>
              <w:left w:val="single" w:sz="2" w:space="0" w:color="000000"/>
              <w:right w:val="single" w:sz="2" w:space="0" w:color="000000"/>
            </w:tcBorders>
            <w:shd w:val="clear" w:color="auto" w:fill="BFBFBF"/>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5441" w:type="dxa"/>
            <w:gridSpan w:val="2"/>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16"/>
              <w:ind w:left="1548"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343" w:hRule="exact"/>
        </w:trPr>
        <w:tc>
          <w:tcPr>
            <w:tcW w:w="2371" w:type="dxa"/>
            <w:vMerge/>
            <w:tcBorders>
              <w:left w:val="single" w:sz="2" w:space="0" w:color="000000"/>
              <w:bottom w:val="single" w:sz="2" w:space="0" w:color="000000"/>
              <w:right w:val="single" w:sz="2" w:space="0" w:color="000000"/>
            </w:tcBorders>
            <w:shd w:val="clear" w:color="auto" w:fill="BFBFBF"/>
          </w:tcPr>
          <w:p>
            <w:pPr/>
          </w:p>
        </w:tc>
        <w:tc>
          <w:tcPr>
            <w:tcW w:w="1544" w:type="dxa"/>
            <w:vMerge/>
            <w:tcBorders>
              <w:left w:val="single" w:sz="2" w:space="0" w:color="000000"/>
              <w:bottom w:val="single" w:sz="2" w:space="0" w:color="000000"/>
              <w:right w:val="single" w:sz="2" w:space="0" w:color="000000"/>
            </w:tcBorders>
            <w:shd w:val="clear" w:color="auto" w:fill="BFBFBF"/>
          </w:tcPr>
          <w:p>
            <w:pPr/>
          </w:p>
        </w:tc>
        <w:tc>
          <w:tcPr>
            <w:tcW w:w="1874" w:type="dxa"/>
            <w:tcBorders>
              <w:top w:val="single" w:sz="6" w:space="0" w:color="BFBFBF"/>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3566" w:type="dxa"/>
            <w:tcBorders>
              <w:top w:val="single" w:sz="6" w:space="0" w:color="BFBFBF"/>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母公司</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293" w:type="dxa"/>
        <w:tblLayout w:type="fixed"/>
        <w:tblCellMar>
          <w:top w:w="0" w:type="dxa"/>
          <w:left w:w="0" w:type="dxa"/>
          <w:bottom w:w="0" w:type="dxa"/>
          <w:right w:w="0" w:type="dxa"/>
        </w:tblCellMar>
        <w:tblLook w:val="01E0"/>
      </w:tblPr>
      <w:tblGrid>
        <w:gridCol w:w="2371"/>
        <w:gridCol w:w="1544"/>
        <w:gridCol w:w="1874"/>
        <w:gridCol w:w="3566"/>
      </w:tblGrid>
      <w:tr>
        <w:trPr>
          <w:trHeight w:val="371" w:hRule="exact"/>
        </w:trPr>
        <w:tc>
          <w:tcPr>
            <w:tcW w:w="2371" w:type="dxa"/>
            <w:tcBorders>
              <w:top w:val="single" w:sz="2" w:space="0" w:color="000000"/>
              <w:left w:val="single" w:sz="2" w:space="0" w:color="000000"/>
              <w:bottom w:val="nil" w:sz="6" w:space="0" w:color="auto"/>
              <w:right w:val="single" w:sz="2" w:space="0" w:color="000000"/>
            </w:tcBorders>
          </w:tcPr>
          <w:p>
            <w:pPr/>
          </w:p>
        </w:tc>
        <w:tc>
          <w:tcPr>
            <w:tcW w:w="1544" w:type="dxa"/>
            <w:tcBorders>
              <w:top w:val="single" w:sz="2" w:space="0" w:color="000000"/>
              <w:left w:val="single" w:sz="2" w:space="0" w:color="000000"/>
              <w:bottom w:val="nil" w:sz="6" w:space="0" w:color="auto"/>
              <w:right w:val="single" w:sz="2" w:space="0" w:color="000000"/>
            </w:tcBorders>
          </w:tcPr>
          <w:p>
            <w:pPr/>
          </w:p>
        </w:tc>
        <w:tc>
          <w:tcPr>
            <w:tcW w:w="1874"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留存收益增加</w:t>
            </w:r>
          </w:p>
        </w:tc>
        <w:tc>
          <w:tcPr>
            <w:tcW w:w="3566" w:type="dxa"/>
            <w:tcBorders>
              <w:top w:val="single" w:sz="2" w:space="0" w:color="000000"/>
              <w:left w:val="single" w:sz="2" w:space="0" w:color="000000"/>
              <w:bottom w:val="nil" w:sz="6" w:space="0" w:color="auto"/>
              <w:right w:val="single" w:sz="2" w:space="0" w:color="000000"/>
            </w:tcBorders>
          </w:tcPr>
          <w:p>
            <w:pPr/>
          </w:p>
        </w:tc>
      </w:tr>
      <w:tr>
        <w:trPr>
          <w:trHeight w:val="363" w:hRule="exact"/>
        </w:trPr>
        <w:tc>
          <w:tcPr>
            <w:tcW w:w="2371" w:type="dxa"/>
            <w:tcBorders>
              <w:top w:val="nil" w:sz="6" w:space="0" w:color="auto"/>
              <w:left w:val="single" w:sz="2" w:space="0" w:color="000000"/>
              <w:bottom w:val="nil" w:sz="6" w:space="0" w:color="auto"/>
              <w:right w:val="single" w:sz="2" w:space="0" w:color="000000"/>
            </w:tcBorders>
          </w:tcPr>
          <w:p>
            <w:pPr/>
          </w:p>
        </w:tc>
        <w:tc>
          <w:tcPr>
            <w:tcW w:w="1544" w:type="dxa"/>
            <w:tcBorders>
              <w:top w:val="nil" w:sz="6" w:space="0" w:color="auto"/>
              <w:left w:val="single" w:sz="2" w:space="0" w:color="000000"/>
              <w:bottom w:val="nil" w:sz="6" w:space="0" w:color="auto"/>
              <w:right w:val="single" w:sz="2" w:space="0" w:color="000000"/>
            </w:tcBorders>
          </w:tcPr>
          <w:p>
            <w:pPr/>
          </w:p>
        </w:tc>
        <w:tc>
          <w:tcPr>
            <w:tcW w:w="1874" w:type="dxa"/>
            <w:tcBorders>
              <w:top w:val="nil" w:sz="6" w:space="0" w:color="auto"/>
              <w:left w:val="single" w:sz="2" w:space="0" w:color="000000"/>
              <w:bottom w:val="nil" w:sz="6" w:space="0" w:color="auto"/>
              <w:right w:val="single" w:sz="2" w:space="0" w:color="000000"/>
            </w:tcBorders>
          </w:tcPr>
          <w:p>
            <w:pPr>
              <w:pStyle w:val="TableParagraph"/>
              <w:spacing w:line="240" w:lineRule="auto" w:before="3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2,136,862.60</w:t>
            </w:r>
            <w:r>
              <w:rPr>
                <w:rFonts w:ascii="宋体" w:hAnsi="宋体" w:cs="宋体" w:eastAsia="宋体" w:hint="default"/>
                <w:sz w:val="18"/>
                <w:szCs w:val="18"/>
              </w:rPr>
              <w:t>元</w:t>
            </w:r>
          </w:p>
        </w:tc>
        <w:tc>
          <w:tcPr>
            <w:tcW w:w="3566" w:type="dxa"/>
            <w:tcBorders>
              <w:top w:val="nil" w:sz="6" w:space="0" w:color="auto"/>
              <w:left w:val="single" w:sz="2" w:space="0" w:color="000000"/>
              <w:bottom w:val="nil" w:sz="6" w:space="0" w:color="auto"/>
              <w:right w:val="single" w:sz="2" w:space="0" w:color="000000"/>
            </w:tcBorders>
          </w:tcPr>
          <w:p>
            <w:pPr/>
          </w:p>
        </w:tc>
      </w:tr>
      <w:tr>
        <w:trPr>
          <w:trHeight w:val="264" w:hRule="exact"/>
        </w:trPr>
        <w:tc>
          <w:tcPr>
            <w:tcW w:w="2371" w:type="dxa"/>
            <w:tcBorders>
              <w:top w:val="nil" w:sz="6" w:space="0" w:color="auto"/>
              <w:left w:val="single" w:sz="2" w:space="0" w:color="000000"/>
              <w:bottom w:val="nil" w:sz="6" w:space="0" w:color="auto"/>
              <w:right w:val="single" w:sz="2" w:space="0" w:color="000000"/>
            </w:tcBorders>
          </w:tcPr>
          <w:p>
            <w:pPr/>
          </w:p>
        </w:tc>
        <w:tc>
          <w:tcPr>
            <w:tcW w:w="1544" w:type="dxa"/>
            <w:tcBorders>
              <w:top w:val="nil" w:sz="6" w:space="0" w:color="auto"/>
              <w:left w:val="single" w:sz="2" w:space="0" w:color="000000"/>
              <w:bottom w:val="nil" w:sz="6" w:space="0" w:color="auto"/>
              <w:right w:val="single" w:sz="2" w:space="0" w:color="000000"/>
            </w:tcBorders>
          </w:tcPr>
          <w:p>
            <w:pPr/>
          </w:p>
        </w:tc>
        <w:tc>
          <w:tcPr>
            <w:tcW w:w="1874" w:type="dxa"/>
            <w:tcBorders>
              <w:top w:val="nil" w:sz="6" w:space="0" w:color="auto"/>
              <w:left w:val="single" w:sz="2" w:space="0" w:color="000000"/>
              <w:bottom w:val="nil" w:sz="6" w:space="0" w:color="auto"/>
              <w:right w:val="single" w:sz="2"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其他综合收益减少</w:t>
            </w:r>
          </w:p>
        </w:tc>
        <w:tc>
          <w:tcPr>
            <w:tcW w:w="3566" w:type="dxa"/>
            <w:tcBorders>
              <w:top w:val="nil" w:sz="6" w:space="0" w:color="auto"/>
              <w:left w:val="single" w:sz="2" w:space="0" w:color="000000"/>
              <w:bottom w:val="nil" w:sz="6" w:space="0" w:color="auto"/>
              <w:right w:val="single" w:sz="2" w:space="0" w:color="000000"/>
            </w:tcBorders>
          </w:tcPr>
          <w:p>
            <w:pPr/>
          </w:p>
        </w:tc>
      </w:tr>
      <w:tr>
        <w:trPr>
          <w:trHeight w:val="1888" w:hRule="exact"/>
        </w:trPr>
        <w:tc>
          <w:tcPr>
            <w:tcW w:w="2371" w:type="dxa"/>
            <w:tcBorders>
              <w:top w:val="nil" w:sz="6" w:space="0" w:color="auto"/>
              <w:left w:val="single" w:sz="2" w:space="0" w:color="000000"/>
              <w:bottom w:val="nil" w:sz="6" w:space="0" w:color="auto"/>
              <w:right w:val="single" w:sz="2" w:space="0" w:color="000000"/>
            </w:tcBorders>
          </w:tcPr>
          <w:p>
            <w:pPr>
              <w:pStyle w:val="TableParagraph"/>
              <w:spacing w:line="352" w:lineRule="auto" w:before="123"/>
              <w:ind w:left="8" w:right="5"/>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）非交易性的可供出售权益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工具投资指定为</w:t>
            </w:r>
            <w:r>
              <w:rPr>
                <w:rFonts w:ascii="Times New Roman" w:hAnsi="Times New Roman" w:cs="Times New Roman" w:eastAsia="Times New Roman" w:hint="default"/>
                <w:sz w:val="18"/>
                <w:szCs w:val="18"/>
              </w:rPr>
              <w:t>“</w:t>
            </w:r>
            <w:r>
              <w:rPr>
                <w:rFonts w:ascii="宋体" w:hAnsi="宋体" w:cs="宋体" w:eastAsia="宋体" w:hint="default"/>
                <w:sz w:val="18"/>
                <w:szCs w:val="18"/>
              </w:rPr>
              <w:t>以公允价值 计量且其变动计入其他综合收 益的金融资产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44" w:type="dxa"/>
            <w:tcBorders>
              <w:top w:val="nil" w:sz="6" w:space="0" w:color="auto"/>
              <w:left w:val="single" w:sz="2" w:space="0" w:color="000000"/>
              <w:bottom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1874" w:type="dxa"/>
            <w:tcBorders>
              <w:top w:val="nil" w:sz="6" w:space="0" w:color="auto"/>
              <w:left w:val="single" w:sz="2" w:space="0" w:color="000000"/>
              <w:bottom w:val="nil" w:sz="6" w:space="0" w:color="auto"/>
              <w:right w:val="single" w:sz="2" w:space="0" w:color="000000"/>
            </w:tcBorders>
          </w:tcPr>
          <w:p>
            <w:pPr>
              <w:pStyle w:val="TableParagraph"/>
              <w:spacing w:line="240" w:lineRule="auto" w:before="12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2,353,610.11</w:t>
            </w:r>
            <w:r>
              <w:rPr>
                <w:rFonts w:ascii="宋体" w:hAnsi="宋体" w:cs="宋体" w:eastAsia="宋体" w:hint="default"/>
                <w:sz w:val="18"/>
                <w:szCs w:val="18"/>
              </w:rPr>
              <w:t>元</w:t>
            </w:r>
          </w:p>
          <w:p>
            <w:pPr>
              <w:pStyle w:val="TableParagraph"/>
              <w:spacing w:line="240" w:lineRule="auto" w:before="109"/>
              <w:ind w:left="7"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p>
          <w:p>
            <w:pPr>
              <w:pStyle w:val="TableParagraph"/>
              <w:spacing w:line="240" w:lineRule="auto" w:before="12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216,747.51</w:t>
            </w:r>
            <w:r>
              <w:rPr>
                <w:rFonts w:ascii="宋体" w:hAnsi="宋体" w:cs="宋体" w:eastAsia="宋体" w:hint="default"/>
                <w:sz w:val="18"/>
                <w:szCs w:val="18"/>
              </w:rPr>
              <w:t>元</w:t>
            </w:r>
          </w:p>
          <w:p>
            <w:pPr>
              <w:pStyle w:val="TableParagraph"/>
              <w:spacing w:line="364" w:lineRule="auto" w:before="109"/>
              <w:ind w:left="7" w:right="60"/>
              <w:jc w:val="left"/>
              <w:rPr>
                <w:rFonts w:ascii="宋体" w:hAnsi="宋体" w:cs="宋体" w:eastAsia="宋体" w:hint="default"/>
                <w:sz w:val="18"/>
                <w:szCs w:val="18"/>
              </w:rPr>
            </w:pPr>
            <w:r>
              <w:rPr>
                <w:rFonts w:ascii="宋体" w:hAnsi="宋体" w:cs="宋体" w:eastAsia="宋体" w:hint="default"/>
                <w:sz w:val="18"/>
                <w:szCs w:val="18"/>
              </w:rPr>
              <w:t>可供出售金融资产：减 少</w:t>
            </w:r>
            <w:r>
              <w:rPr>
                <w:rFonts w:ascii="Times New Roman" w:hAnsi="Times New Roman" w:cs="Times New Roman" w:eastAsia="Times New Roman" w:hint="default"/>
                <w:sz w:val="18"/>
                <w:szCs w:val="18"/>
              </w:rPr>
              <w:t>18,060,000.00</w:t>
            </w:r>
            <w:r>
              <w:rPr>
                <w:rFonts w:ascii="宋体" w:hAnsi="宋体" w:cs="宋体" w:eastAsia="宋体" w:hint="default"/>
                <w:sz w:val="18"/>
                <w:szCs w:val="18"/>
              </w:rPr>
              <w:t>元</w:t>
            </w:r>
          </w:p>
        </w:tc>
        <w:tc>
          <w:tcPr>
            <w:tcW w:w="3566" w:type="dxa"/>
            <w:tcBorders>
              <w:top w:val="nil" w:sz="6" w:space="0" w:color="auto"/>
              <w:left w:val="single" w:sz="2" w:space="0" w:color="000000"/>
              <w:bottom w:val="nil" w:sz="6" w:space="0" w:color="auto"/>
              <w:right w:val="single" w:sz="2" w:space="0" w:color="000000"/>
            </w:tcBorders>
          </w:tcPr>
          <w:p>
            <w:pPr>
              <w:pStyle w:val="TableParagraph"/>
              <w:spacing w:line="194" w:lineRule="exact"/>
              <w:ind w:left="7" w:right="0"/>
              <w:jc w:val="left"/>
              <w:rPr>
                <w:rFonts w:ascii="宋体" w:hAnsi="宋体" w:cs="宋体" w:eastAsia="宋体" w:hint="default"/>
                <w:sz w:val="18"/>
                <w:szCs w:val="18"/>
              </w:rPr>
            </w:pPr>
            <w:r>
              <w:rPr>
                <w:rFonts w:ascii="宋体" w:hAnsi="宋体" w:cs="宋体" w:eastAsia="宋体" w:hint="default"/>
                <w:sz w:val="18"/>
                <w:szCs w:val="18"/>
              </w:rPr>
              <w:t>留存收益增加</w:t>
            </w:r>
            <w:r>
              <w:rPr>
                <w:rFonts w:ascii="Times New Roman" w:hAnsi="Times New Roman" w:cs="Times New Roman" w:eastAsia="Times New Roman" w:hint="default"/>
                <w:sz w:val="18"/>
                <w:szCs w:val="18"/>
              </w:rPr>
              <w:t>2,136,862.60</w:t>
            </w:r>
            <w:r>
              <w:rPr>
                <w:rFonts w:ascii="宋体" w:hAnsi="宋体" w:cs="宋体" w:eastAsia="宋体" w:hint="default"/>
                <w:sz w:val="18"/>
                <w:szCs w:val="18"/>
              </w:rPr>
              <w:t>元</w:t>
            </w:r>
          </w:p>
          <w:p>
            <w:pPr>
              <w:pStyle w:val="TableParagraph"/>
              <w:spacing w:line="345" w:lineRule="auto" w:before="109"/>
              <w:ind w:left="7" w:right="356"/>
              <w:jc w:val="left"/>
              <w:rPr>
                <w:rFonts w:ascii="宋体" w:hAnsi="宋体" w:cs="宋体" w:eastAsia="宋体" w:hint="default"/>
                <w:sz w:val="18"/>
                <w:szCs w:val="18"/>
              </w:rPr>
            </w:pPr>
            <w:r>
              <w:rPr>
                <w:rFonts w:ascii="宋体" w:hAnsi="宋体" w:cs="宋体" w:eastAsia="宋体" w:hint="default"/>
                <w:sz w:val="18"/>
                <w:szCs w:val="18"/>
              </w:rPr>
              <w:t>其他综合收益减少</w:t>
            </w:r>
            <w:r>
              <w:rPr>
                <w:rFonts w:ascii="Times New Roman" w:hAnsi="Times New Roman" w:cs="Times New Roman" w:eastAsia="Times New Roman" w:hint="default"/>
                <w:sz w:val="18"/>
                <w:szCs w:val="18"/>
              </w:rPr>
              <w:t>2,353,610.11</w:t>
            </w:r>
            <w:r>
              <w:rPr>
                <w:rFonts w:ascii="宋体" w:hAnsi="宋体" w:cs="宋体" w:eastAsia="宋体" w:hint="default"/>
                <w:sz w:val="18"/>
                <w:szCs w:val="18"/>
              </w:rPr>
              <w:t>元 递延所得税资产减少</w:t>
            </w:r>
            <w:r>
              <w:rPr>
                <w:rFonts w:ascii="Times New Roman" w:hAnsi="Times New Roman" w:cs="Times New Roman" w:eastAsia="Times New Roman" w:hint="default"/>
                <w:sz w:val="18"/>
                <w:szCs w:val="18"/>
              </w:rPr>
              <w:t>216,747.51</w:t>
            </w:r>
            <w:r>
              <w:rPr>
                <w:rFonts w:ascii="宋体" w:hAnsi="宋体" w:cs="宋体" w:eastAsia="宋体" w:hint="default"/>
                <w:sz w:val="18"/>
                <w:szCs w:val="18"/>
              </w:rPr>
              <w:t>元 可供出售金融资产：减少</w:t>
            </w:r>
            <w:r>
              <w:rPr>
                <w:rFonts w:ascii="Times New Roman" w:hAnsi="Times New Roman" w:cs="Times New Roman" w:eastAsia="Times New Roman" w:hint="default"/>
                <w:sz w:val="18"/>
                <w:szCs w:val="18"/>
              </w:rPr>
              <w:t>18,060,000.00</w:t>
            </w:r>
            <w:r>
              <w:rPr>
                <w:rFonts w:ascii="宋体" w:hAnsi="宋体" w:cs="宋体" w:eastAsia="宋体" w:hint="default"/>
                <w:sz w:val="18"/>
                <w:szCs w:val="18"/>
              </w:rPr>
              <w:t>元 其他权益工具投资：增加</w:t>
            </w:r>
            <w:r>
              <w:rPr>
                <w:rFonts w:ascii="Times New Roman" w:hAnsi="Times New Roman" w:cs="Times New Roman" w:eastAsia="Times New Roman" w:hint="default"/>
                <w:sz w:val="18"/>
                <w:szCs w:val="18"/>
              </w:rPr>
              <w:t>18,060,000.00</w:t>
            </w:r>
            <w:r>
              <w:rPr>
                <w:rFonts w:ascii="宋体" w:hAnsi="宋体" w:cs="宋体" w:eastAsia="宋体" w:hint="default"/>
                <w:sz w:val="18"/>
                <w:szCs w:val="18"/>
              </w:rPr>
              <w:t>元</w:t>
            </w:r>
          </w:p>
        </w:tc>
      </w:tr>
      <w:tr>
        <w:trPr>
          <w:trHeight w:val="354" w:hRule="exact"/>
        </w:trPr>
        <w:tc>
          <w:tcPr>
            <w:tcW w:w="2371" w:type="dxa"/>
            <w:tcBorders>
              <w:top w:val="nil" w:sz="6" w:space="0" w:color="auto"/>
              <w:left w:val="single" w:sz="2" w:space="0" w:color="000000"/>
              <w:bottom w:val="nil" w:sz="6" w:space="0" w:color="auto"/>
              <w:right w:val="single" w:sz="2" w:space="0" w:color="000000"/>
            </w:tcBorders>
          </w:tcPr>
          <w:p>
            <w:pPr/>
          </w:p>
        </w:tc>
        <w:tc>
          <w:tcPr>
            <w:tcW w:w="1544" w:type="dxa"/>
            <w:tcBorders>
              <w:top w:val="nil" w:sz="6" w:space="0" w:color="auto"/>
              <w:left w:val="single" w:sz="2" w:space="0" w:color="000000"/>
              <w:bottom w:val="nil" w:sz="6" w:space="0" w:color="auto"/>
              <w:right w:val="single" w:sz="2" w:space="0" w:color="000000"/>
            </w:tcBorders>
          </w:tcPr>
          <w:p>
            <w:pPr/>
          </w:p>
        </w:tc>
        <w:tc>
          <w:tcPr>
            <w:tcW w:w="1874" w:type="dxa"/>
            <w:tcBorders>
              <w:top w:val="nil" w:sz="6" w:space="0" w:color="auto"/>
              <w:left w:val="single" w:sz="2" w:space="0" w:color="000000"/>
              <w:bottom w:val="nil" w:sz="6" w:space="0" w:color="auto"/>
              <w:right w:val="single" w:sz="2"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其他权益工具投资：增</w:t>
            </w:r>
          </w:p>
        </w:tc>
        <w:tc>
          <w:tcPr>
            <w:tcW w:w="3566" w:type="dxa"/>
            <w:tcBorders>
              <w:top w:val="nil" w:sz="6" w:space="0" w:color="auto"/>
              <w:left w:val="single" w:sz="2" w:space="0" w:color="000000"/>
              <w:bottom w:val="nil" w:sz="6" w:space="0" w:color="auto"/>
              <w:right w:val="single" w:sz="2" w:space="0" w:color="000000"/>
            </w:tcBorders>
          </w:tcPr>
          <w:p>
            <w:pPr/>
          </w:p>
        </w:tc>
      </w:tr>
      <w:tr>
        <w:trPr>
          <w:trHeight w:val="373" w:hRule="exact"/>
        </w:trPr>
        <w:tc>
          <w:tcPr>
            <w:tcW w:w="2371" w:type="dxa"/>
            <w:tcBorders>
              <w:top w:val="nil" w:sz="6" w:space="0" w:color="auto"/>
              <w:left w:val="single" w:sz="2" w:space="0" w:color="000000"/>
              <w:bottom w:val="single" w:sz="2" w:space="0" w:color="000000"/>
              <w:right w:val="single" w:sz="2" w:space="0" w:color="000000"/>
            </w:tcBorders>
          </w:tcPr>
          <w:p>
            <w:pPr/>
          </w:p>
        </w:tc>
        <w:tc>
          <w:tcPr>
            <w:tcW w:w="1544" w:type="dxa"/>
            <w:tcBorders>
              <w:top w:val="nil" w:sz="6" w:space="0" w:color="auto"/>
              <w:left w:val="single" w:sz="2" w:space="0" w:color="000000"/>
              <w:bottom w:val="single" w:sz="2" w:space="0" w:color="000000"/>
              <w:right w:val="single" w:sz="2" w:space="0" w:color="000000"/>
            </w:tcBorders>
          </w:tcPr>
          <w:p>
            <w:pPr/>
          </w:p>
        </w:tc>
        <w:tc>
          <w:tcPr>
            <w:tcW w:w="1874"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34"/>
              <w:ind w:left="7" w:right="0"/>
              <w:jc w:val="left"/>
              <w:rPr>
                <w:rFonts w:ascii="宋体" w:hAnsi="宋体" w:cs="宋体" w:eastAsia="宋体" w:hint="default"/>
                <w:sz w:val="18"/>
                <w:szCs w:val="18"/>
              </w:rPr>
            </w:pPr>
            <w:r>
              <w:rPr>
                <w:rFonts w:ascii="宋体" w:hAnsi="宋体" w:cs="宋体" w:eastAsia="宋体" w:hint="default"/>
                <w:sz w:val="18"/>
                <w:szCs w:val="18"/>
              </w:rPr>
              <w:t>加</w:t>
            </w:r>
            <w:r>
              <w:rPr>
                <w:rFonts w:ascii="Times New Roman" w:hAnsi="Times New Roman" w:cs="Times New Roman" w:eastAsia="Times New Roman" w:hint="default"/>
                <w:sz w:val="18"/>
                <w:szCs w:val="18"/>
              </w:rPr>
              <w:t>18,060,000.00</w:t>
            </w:r>
            <w:r>
              <w:rPr>
                <w:rFonts w:ascii="宋体" w:hAnsi="宋体" w:cs="宋体" w:eastAsia="宋体" w:hint="default"/>
                <w:sz w:val="18"/>
                <w:szCs w:val="18"/>
              </w:rPr>
              <w:t>元</w:t>
            </w:r>
          </w:p>
        </w:tc>
        <w:tc>
          <w:tcPr>
            <w:tcW w:w="3566" w:type="dxa"/>
            <w:tcBorders>
              <w:top w:val="nil" w:sz="6" w:space="0" w:color="auto"/>
              <w:left w:val="single" w:sz="2" w:space="0" w:color="000000"/>
              <w:bottom w:val="single" w:sz="2" w:space="0" w:color="000000"/>
              <w:right w:val="single" w:sz="2" w:space="0" w:color="000000"/>
            </w:tcBorders>
          </w:tcPr>
          <w:p>
            <w:pPr/>
          </w:p>
        </w:tc>
      </w:tr>
      <w:tr>
        <w:trPr>
          <w:trHeight w:val="460" w:hRule="exact"/>
        </w:trPr>
        <w:tc>
          <w:tcPr>
            <w:tcW w:w="2371"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43"/>
              <w:ind w:left="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）原归类为</w:t>
            </w:r>
            <w:r>
              <w:rPr>
                <w:rFonts w:ascii="Times New Roman" w:hAnsi="Times New Roman" w:cs="Times New Roman" w:eastAsia="Times New Roman" w:hint="default"/>
                <w:sz w:val="18"/>
                <w:szCs w:val="18"/>
              </w:rPr>
              <w:t>“</w:t>
            </w:r>
            <w:r>
              <w:rPr>
                <w:rFonts w:ascii="宋体" w:hAnsi="宋体" w:cs="宋体" w:eastAsia="宋体" w:hint="default"/>
                <w:sz w:val="18"/>
                <w:szCs w:val="18"/>
              </w:rPr>
              <w:t>以摊余成本计</w:t>
            </w:r>
          </w:p>
        </w:tc>
        <w:tc>
          <w:tcPr>
            <w:tcW w:w="1544" w:type="dxa"/>
            <w:tcBorders>
              <w:top w:val="single" w:sz="2" w:space="0" w:color="000000"/>
              <w:left w:val="single" w:sz="2" w:space="0" w:color="000000"/>
              <w:bottom w:val="nil" w:sz="6" w:space="0" w:color="auto"/>
              <w:right w:val="single" w:sz="2" w:space="0" w:color="000000"/>
            </w:tcBorders>
          </w:tcPr>
          <w:p>
            <w:pPr/>
          </w:p>
        </w:tc>
        <w:tc>
          <w:tcPr>
            <w:tcW w:w="1874"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应收票据：减少</w:t>
            </w:r>
          </w:p>
        </w:tc>
        <w:tc>
          <w:tcPr>
            <w:tcW w:w="3566" w:type="dxa"/>
            <w:vMerge w:val="restart"/>
            <w:tcBorders>
              <w:top w:val="single" w:sz="2" w:space="0" w:color="000000"/>
              <w:left w:val="single" w:sz="2" w:space="0" w:color="000000"/>
              <w:right w:val="single" w:sz="2" w:space="0" w:color="000000"/>
            </w:tcBorders>
          </w:tcPr>
          <w:p>
            <w:pPr/>
          </w:p>
        </w:tc>
      </w:tr>
      <w:tr>
        <w:trPr>
          <w:trHeight w:val="718" w:hRule="exact"/>
        </w:trPr>
        <w:tc>
          <w:tcPr>
            <w:tcW w:w="2371" w:type="dxa"/>
            <w:tcBorders>
              <w:top w:val="nil" w:sz="6" w:space="0" w:color="auto"/>
              <w:left w:val="single" w:sz="2" w:space="0" w:color="000000"/>
              <w:bottom w:val="nil" w:sz="6" w:space="0" w:color="auto"/>
              <w:right w:val="single" w:sz="2" w:space="0" w:color="000000"/>
            </w:tcBorders>
          </w:tcPr>
          <w:p>
            <w:pPr>
              <w:pStyle w:val="TableParagraph"/>
              <w:spacing w:line="193" w:lineRule="exact"/>
              <w:ind w:left="8" w:right="0"/>
              <w:jc w:val="left"/>
              <w:rPr>
                <w:rFonts w:ascii="宋体" w:hAnsi="宋体" w:cs="宋体" w:eastAsia="宋体" w:hint="default"/>
                <w:sz w:val="18"/>
                <w:szCs w:val="18"/>
              </w:rPr>
            </w:pPr>
            <w:r>
              <w:rPr>
                <w:rFonts w:ascii="宋体" w:hAnsi="宋体" w:cs="宋体" w:eastAsia="宋体" w:hint="default"/>
                <w:sz w:val="18"/>
                <w:szCs w:val="18"/>
              </w:rPr>
              <w:t>量的金融资产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的部分应收款</w:t>
            </w:r>
          </w:p>
          <w:p>
            <w:pPr>
              <w:pStyle w:val="TableParagraph"/>
              <w:spacing w:line="240" w:lineRule="auto" w:before="109"/>
              <w:ind w:left="8" w:right="0"/>
              <w:jc w:val="left"/>
              <w:rPr>
                <w:rFonts w:ascii="宋体" w:hAnsi="宋体" w:cs="宋体" w:eastAsia="宋体" w:hint="default"/>
                <w:sz w:val="18"/>
                <w:szCs w:val="18"/>
              </w:rPr>
            </w:pPr>
            <w:r>
              <w:rPr>
                <w:rFonts w:ascii="宋体" w:hAnsi="宋体" w:cs="宋体" w:eastAsia="宋体" w:hint="default"/>
                <w:spacing w:val="-5"/>
                <w:sz w:val="18"/>
                <w:szCs w:val="18"/>
              </w:rPr>
              <w:t>项，调整为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以公允价值计量且</w:t>
            </w:r>
          </w:p>
        </w:tc>
        <w:tc>
          <w:tcPr>
            <w:tcW w:w="1544" w:type="dxa"/>
            <w:tcBorders>
              <w:top w:val="nil" w:sz="6" w:space="0" w:color="auto"/>
              <w:left w:val="single" w:sz="2" w:space="0" w:color="000000"/>
              <w:bottom w:val="nil" w:sz="6" w:space="0" w:color="auto"/>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1874" w:type="dxa"/>
            <w:tcBorders>
              <w:top w:val="nil" w:sz="6" w:space="0" w:color="auto"/>
              <w:left w:val="single" w:sz="2" w:space="0" w:color="000000"/>
              <w:bottom w:val="nil" w:sz="6" w:space="0" w:color="auto"/>
              <w:right w:val="single" w:sz="2" w:space="0" w:color="000000"/>
            </w:tcBorders>
          </w:tcPr>
          <w:p>
            <w:pPr>
              <w:pStyle w:val="TableParagraph"/>
              <w:spacing w:line="240" w:lineRule="auto" w:before="12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900,000.00</w:t>
            </w:r>
            <w:r>
              <w:rPr>
                <w:rFonts w:ascii="宋体" w:hAnsi="宋体" w:cs="宋体" w:eastAsia="宋体" w:hint="default"/>
                <w:sz w:val="18"/>
                <w:szCs w:val="18"/>
              </w:rPr>
              <w:t>元</w:t>
            </w:r>
          </w:p>
          <w:p>
            <w:pPr>
              <w:pStyle w:val="TableParagraph"/>
              <w:spacing w:line="240" w:lineRule="auto" w:before="109"/>
              <w:ind w:left="7" w:right="0"/>
              <w:jc w:val="left"/>
              <w:rPr>
                <w:rFonts w:ascii="宋体" w:hAnsi="宋体" w:cs="宋体" w:eastAsia="宋体" w:hint="default"/>
                <w:sz w:val="18"/>
                <w:szCs w:val="18"/>
              </w:rPr>
            </w:pPr>
            <w:r>
              <w:rPr>
                <w:rFonts w:ascii="宋体" w:hAnsi="宋体" w:cs="宋体" w:eastAsia="宋体" w:hint="default"/>
                <w:sz w:val="18"/>
                <w:szCs w:val="18"/>
              </w:rPr>
              <w:t>应收款项融资：增加</w:t>
            </w:r>
          </w:p>
        </w:tc>
        <w:tc>
          <w:tcPr>
            <w:tcW w:w="3566" w:type="dxa"/>
            <w:vMerge/>
            <w:tcBorders>
              <w:left w:val="single" w:sz="2" w:space="0" w:color="000000"/>
              <w:right w:val="single" w:sz="2" w:space="0" w:color="000000"/>
            </w:tcBorders>
          </w:tcPr>
          <w:p>
            <w:pPr/>
          </w:p>
        </w:tc>
      </w:tr>
      <w:tr>
        <w:trPr>
          <w:trHeight w:val="179" w:hRule="exact"/>
        </w:trPr>
        <w:tc>
          <w:tcPr>
            <w:tcW w:w="2371" w:type="dxa"/>
            <w:tcBorders>
              <w:top w:val="nil" w:sz="6" w:space="0" w:color="auto"/>
              <w:left w:val="single" w:sz="2" w:space="0" w:color="000000"/>
              <w:bottom w:val="nil" w:sz="6" w:space="0" w:color="auto"/>
              <w:right w:val="single" w:sz="2" w:space="0" w:color="000000"/>
            </w:tcBorders>
          </w:tcPr>
          <w:p>
            <w:pPr>
              <w:pStyle w:val="TableParagraph"/>
              <w:spacing w:line="179" w:lineRule="exact"/>
              <w:ind w:left="8" w:right="0"/>
              <w:jc w:val="left"/>
              <w:rPr>
                <w:rFonts w:ascii="宋体" w:hAnsi="宋体" w:cs="宋体" w:eastAsia="宋体" w:hint="default"/>
                <w:sz w:val="18"/>
                <w:szCs w:val="18"/>
              </w:rPr>
            </w:pPr>
            <w:r>
              <w:rPr>
                <w:rFonts w:ascii="宋体" w:hAnsi="宋体" w:cs="宋体" w:eastAsia="宋体" w:hint="default"/>
                <w:sz w:val="18"/>
                <w:szCs w:val="18"/>
              </w:rPr>
              <w:t>其变动计入其他综合收益的金</w:t>
            </w:r>
          </w:p>
        </w:tc>
        <w:tc>
          <w:tcPr>
            <w:tcW w:w="1544" w:type="dxa"/>
            <w:tcBorders>
              <w:top w:val="nil" w:sz="6" w:space="0" w:color="auto"/>
              <w:left w:val="single" w:sz="2" w:space="0" w:color="000000"/>
              <w:bottom w:val="nil" w:sz="6" w:space="0" w:color="auto"/>
              <w:right w:val="single" w:sz="2" w:space="0" w:color="000000"/>
            </w:tcBorders>
          </w:tcPr>
          <w:p>
            <w:pPr/>
          </w:p>
        </w:tc>
        <w:tc>
          <w:tcPr>
            <w:tcW w:w="1874" w:type="dxa"/>
            <w:tcBorders>
              <w:top w:val="nil" w:sz="6" w:space="0" w:color="auto"/>
              <w:left w:val="single" w:sz="2" w:space="0" w:color="000000"/>
              <w:bottom w:val="nil" w:sz="6" w:space="0" w:color="auto"/>
              <w:right w:val="single" w:sz="2" w:space="0" w:color="000000"/>
            </w:tcBorders>
          </w:tcPr>
          <w:p>
            <w:pPr/>
          </w:p>
        </w:tc>
        <w:tc>
          <w:tcPr>
            <w:tcW w:w="3566" w:type="dxa"/>
            <w:vMerge/>
            <w:tcBorders>
              <w:left w:val="single" w:sz="2" w:space="0" w:color="000000"/>
              <w:right w:val="single" w:sz="2" w:space="0" w:color="000000"/>
            </w:tcBorders>
          </w:tcPr>
          <w:p>
            <w:pPr/>
          </w:p>
        </w:tc>
      </w:tr>
      <w:tr>
        <w:trPr>
          <w:trHeight w:val="462" w:hRule="exact"/>
        </w:trPr>
        <w:tc>
          <w:tcPr>
            <w:tcW w:w="2371"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23"/>
              <w:ind w:left="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融资产</w:t>
            </w:r>
            <w:r>
              <w:rPr>
                <w:rFonts w:ascii="Times New Roman" w:hAnsi="Times New Roman" w:cs="Times New Roman" w:eastAsia="Times New Roman" w:hint="default"/>
                <w:sz w:val="18"/>
                <w:szCs w:val="18"/>
              </w:rPr>
              <w:t>”</w:t>
            </w:r>
          </w:p>
        </w:tc>
        <w:tc>
          <w:tcPr>
            <w:tcW w:w="1544" w:type="dxa"/>
            <w:tcBorders>
              <w:top w:val="nil" w:sz="6" w:space="0" w:color="auto"/>
              <w:left w:val="single" w:sz="2" w:space="0" w:color="000000"/>
              <w:bottom w:val="single" w:sz="2" w:space="0" w:color="000000"/>
              <w:right w:val="single" w:sz="2" w:space="0" w:color="000000"/>
            </w:tcBorders>
          </w:tcPr>
          <w:p>
            <w:pPr/>
          </w:p>
        </w:tc>
        <w:tc>
          <w:tcPr>
            <w:tcW w:w="1874" w:type="dxa"/>
            <w:tcBorders>
              <w:top w:val="nil" w:sz="6" w:space="0" w:color="auto"/>
              <w:left w:val="single" w:sz="2" w:space="0" w:color="000000"/>
              <w:bottom w:val="single" w:sz="2" w:space="0" w:color="000000"/>
              <w:right w:val="single" w:sz="2" w:space="0" w:color="000000"/>
            </w:tcBorders>
          </w:tcPr>
          <w:p>
            <w:pPr>
              <w:pStyle w:val="TableParagraph"/>
              <w:spacing w:line="194" w:lineRule="exact"/>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900,000.00</w:t>
            </w:r>
            <w:r>
              <w:rPr>
                <w:rFonts w:ascii="宋体" w:hAnsi="宋体" w:cs="宋体" w:eastAsia="宋体" w:hint="default"/>
                <w:sz w:val="18"/>
                <w:szCs w:val="18"/>
              </w:rPr>
              <w:t>元</w:t>
            </w:r>
          </w:p>
        </w:tc>
        <w:tc>
          <w:tcPr>
            <w:tcW w:w="3566" w:type="dxa"/>
            <w:vMerge/>
            <w:tcBorders>
              <w:left w:val="single" w:sz="2" w:space="0" w:color="000000"/>
              <w:bottom w:val="single" w:sz="2" w:space="0" w:color="000000"/>
              <w:right w:val="single" w:sz="2" w:space="0" w:color="000000"/>
            </w:tcBorders>
          </w:tcPr>
          <w:p>
            <w:pPr/>
          </w:p>
        </w:tc>
      </w:tr>
      <w:tr>
        <w:trPr>
          <w:trHeight w:val="460" w:hRule="exact"/>
        </w:trPr>
        <w:tc>
          <w:tcPr>
            <w:tcW w:w="2371"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43"/>
              <w:ind w:left="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）原归类为</w:t>
            </w:r>
            <w:r>
              <w:rPr>
                <w:rFonts w:ascii="Times New Roman" w:hAnsi="Times New Roman" w:cs="Times New Roman" w:eastAsia="Times New Roman" w:hint="default"/>
                <w:sz w:val="18"/>
                <w:szCs w:val="18"/>
              </w:rPr>
              <w:t>“</w:t>
            </w:r>
            <w:r>
              <w:rPr>
                <w:rFonts w:ascii="宋体" w:hAnsi="宋体" w:cs="宋体" w:eastAsia="宋体" w:hint="default"/>
                <w:sz w:val="18"/>
                <w:szCs w:val="18"/>
              </w:rPr>
              <w:t>以摊余成本计</w:t>
            </w:r>
          </w:p>
        </w:tc>
        <w:tc>
          <w:tcPr>
            <w:tcW w:w="1544" w:type="dxa"/>
            <w:tcBorders>
              <w:top w:val="single" w:sz="2" w:space="0" w:color="000000"/>
              <w:left w:val="single" w:sz="2" w:space="0" w:color="000000"/>
              <w:bottom w:val="nil" w:sz="6" w:space="0" w:color="auto"/>
              <w:right w:val="single" w:sz="2" w:space="0" w:color="000000"/>
            </w:tcBorders>
          </w:tcPr>
          <w:p>
            <w:pPr/>
          </w:p>
        </w:tc>
        <w:tc>
          <w:tcPr>
            <w:tcW w:w="1874"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其他流动资产减少</w:t>
            </w:r>
          </w:p>
        </w:tc>
        <w:tc>
          <w:tcPr>
            <w:tcW w:w="3566" w:type="dxa"/>
            <w:tcBorders>
              <w:top w:val="single" w:sz="2" w:space="0" w:color="000000"/>
              <w:left w:val="single" w:sz="2" w:space="0" w:color="000000"/>
              <w:bottom w:val="nil" w:sz="6" w:space="0" w:color="auto"/>
              <w:right w:val="single" w:sz="2" w:space="0" w:color="000000"/>
            </w:tcBorders>
          </w:tcPr>
          <w:p>
            <w:pPr/>
          </w:p>
        </w:tc>
      </w:tr>
      <w:tr>
        <w:trPr>
          <w:trHeight w:val="897" w:hRule="exact"/>
        </w:trPr>
        <w:tc>
          <w:tcPr>
            <w:tcW w:w="2371" w:type="dxa"/>
            <w:tcBorders>
              <w:top w:val="nil" w:sz="6" w:space="0" w:color="auto"/>
              <w:left w:val="single" w:sz="2" w:space="0" w:color="000000"/>
              <w:bottom w:val="nil" w:sz="6" w:space="0" w:color="auto"/>
              <w:right w:val="single" w:sz="2" w:space="0" w:color="000000"/>
            </w:tcBorders>
          </w:tcPr>
          <w:p>
            <w:pPr>
              <w:pStyle w:val="TableParagraph"/>
              <w:spacing w:line="193" w:lineRule="exact"/>
              <w:ind w:left="8" w:right="0"/>
              <w:jc w:val="left"/>
              <w:rPr>
                <w:rFonts w:ascii="宋体" w:hAnsi="宋体" w:cs="宋体" w:eastAsia="宋体" w:hint="default"/>
                <w:sz w:val="18"/>
                <w:szCs w:val="18"/>
              </w:rPr>
            </w:pPr>
            <w:r>
              <w:rPr>
                <w:rFonts w:ascii="宋体" w:hAnsi="宋体" w:cs="宋体" w:eastAsia="宋体" w:hint="default"/>
                <w:sz w:val="18"/>
                <w:szCs w:val="18"/>
              </w:rPr>
              <w:t>量的金融资产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的部分其他流</w:t>
            </w:r>
          </w:p>
          <w:p>
            <w:pPr>
              <w:pStyle w:val="TableParagraph"/>
              <w:spacing w:line="340" w:lineRule="atLeast" w:before="18"/>
              <w:ind w:left="8" w:right="5"/>
              <w:jc w:val="left"/>
              <w:rPr>
                <w:rFonts w:ascii="宋体" w:hAnsi="宋体" w:cs="宋体" w:eastAsia="宋体" w:hint="default"/>
                <w:sz w:val="18"/>
                <w:szCs w:val="18"/>
              </w:rPr>
            </w:pPr>
            <w:r>
              <w:rPr>
                <w:rFonts w:ascii="宋体" w:hAnsi="宋体" w:cs="宋体" w:eastAsia="宋体" w:hint="default"/>
                <w:spacing w:val="-5"/>
                <w:sz w:val="18"/>
                <w:szCs w:val="18"/>
              </w:rPr>
              <w:t>动资产，调整为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以公允价值计</w:t>
            </w:r>
            <w:r>
              <w:rPr>
                <w:rFonts w:ascii="宋体" w:hAnsi="宋体" w:cs="宋体" w:eastAsia="宋体" w:hint="default"/>
                <w:sz w:val="18"/>
                <w:szCs w:val="18"/>
              </w:rPr>
              <w:t> 量且其变动计入当期损益的金</w:t>
            </w:r>
          </w:p>
        </w:tc>
        <w:tc>
          <w:tcPr>
            <w:tcW w:w="1544" w:type="dxa"/>
            <w:tcBorders>
              <w:top w:val="nil" w:sz="6" w:space="0" w:color="auto"/>
              <w:left w:val="single" w:sz="2" w:space="0" w:color="000000"/>
              <w:bottom w:val="nil" w:sz="6" w:space="0" w:color="auto"/>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1874" w:type="dxa"/>
            <w:tcBorders>
              <w:top w:val="nil" w:sz="6" w:space="0" w:color="auto"/>
              <w:left w:val="single" w:sz="2" w:space="0" w:color="000000"/>
              <w:bottom w:val="nil" w:sz="6" w:space="0" w:color="auto"/>
              <w:right w:val="single" w:sz="2" w:space="0" w:color="000000"/>
            </w:tcBorders>
          </w:tcPr>
          <w:p>
            <w:pPr>
              <w:pStyle w:val="TableParagraph"/>
              <w:spacing w:line="240" w:lineRule="auto" w:before="12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166,000,000.00</w:t>
            </w:r>
            <w:r>
              <w:rPr>
                <w:rFonts w:ascii="宋体" w:hAnsi="宋体" w:cs="宋体" w:eastAsia="宋体" w:hint="default"/>
                <w:sz w:val="18"/>
                <w:szCs w:val="18"/>
              </w:rPr>
              <w:t>元</w:t>
            </w:r>
          </w:p>
          <w:p>
            <w:pPr>
              <w:pStyle w:val="TableParagraph"/>
              <w:spacing w:line="240" w:lineRule="auto" w:before="109"/>
              <w:ind w:left="7" w:right="0"/>
              <w:jc w:val="left"/>
              <w:rPr>
                <w:rFonts w:ascii="宋体" w:hAnsi="宋体" w:cs="宋体" w:eastAsia="宋体" w:hint="default"/>
                <w:sz w:val="18"/>
                <w:szCs w:val="18"/>
              </w:rPr>
            </w:pPr>
            <w:r>
              <w:rPr>
                <w:rFonts w:ascii="宋体" w:hAnsi="宋体" w:cs="宋体" w:eastAsia="宋体" w:hint="default"/>
                <w:sz w:val="18"/>
                <w:szCs w:val="18"/>
              </w:rPr>
              <w:t>交易性金融资产增加</w:t>
            </w:r>
          </w:p>
        </w:tc>
        <w:tc>
          <w:tcPr>
            <w:tcW w:w="3566" w:type="dxa"/>
            <w:tcBorders>
              <w:top w:val="nil" w:sz="6" w:space="0" w:color="auto"/>
              <w:left w:val="single" w:sz="2" w:space="0" w:color="000000"/>
              <w:bottom w:val="nil" w:sz="6" w:space="0" w:color="auto"/>
              <w:right w:val="single" w:sz="2" w:space="0" w:color="000000"/>
            </w:tcBorders>
          </w:tcPr>
          <w:p>
            <w:pPr>
              <w:pStyle w:val="TableParagraph"/>
              <w:spacing w:line="345" w:lineRule="auto" w:before="124"/>
              <w:ind w:left="7" w:right="806"/>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其他流动资产减少</w:t>
            </w:r>
            <w:r>
              <w:rPr>
                <w:rFonts w:ascii="Times New Roman" w:hAnsi="Times New Roman" w:cs="Times New Roman" w:eastAsia="Times New Roman" w:hint="default"/>
                <w:sz w:val="18"/>
                <w:szCs w:val="18"/>
              </w:rPr>
              <w:t>146,000,000.00 </w:t>
            </w:r>
            <w:r>
              <w:rPr>
                <w:rFonts w:ascii="宋体" w:hAnsi="宋体" w:cs="宋体" w:eastAsia="宋体" w:hint="default"/>
                <w:sz w:val="18"/>
                <w:szCs w:val="18"/>
              </w:rPr>
              <w:t>交易性金融资产增加</w:t>
            </w:r>
            <w:r>
              <w:rPr>
                <w:rFonts w:ascii="Times New Roman" w:hAnsi="Times New Roman" w:cs="Times New Roman" w:eastAsia="Times New Roman" w:hint="default"/>
                <w:sz w:val="18"/>
                <w:szCs w:val="18"/>
              </w:rPr>
              <w:t>146,000,000.00</w:t>
            </w:r>
          </w:p>
        </w:tc>
      </w:tr>
      <w:tr>
        <w:trPr>
          <w:trHeight w:val="462" w:hRule="exact"/>
        </w:trPr>
        <w:tc>
          <w:tcPr>
            <w:tcW w:w="2371"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23"/>
              <w:ind w:left="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融资产</w:t>
            </w:r>
            <w:r>
              <w:rPr>
                <w:rFonts w:ascii="Times New Roman" w:hAnsi="Times New Roman" w:cs="Times New Roman" w:eastAsia="Times New Roman" w:hint="default"/>
                <w:sz w:val="18"/>
                <w:szCs w:val="18"/>
              </w:rPr>
              <w:t>”</w:t>
            </w:r>
          </w:p>
        </w:tc>
        <w:tc>
          <w:tcPr>
            <w:tcW w:w="1544" w:type="dxa"/>
            <w:tcBorders>
              <w:top w:val="nil" w:sz="6" w:space="0" w:color="auto"/>
              <w:left w:val="single" w:sz="2" w:space="0" w:color="000000"/>
              <w:bottom w:val="single" w:sz="2" w:space="0" w:color="000000"/>
              <w:right w:val="single" w:sz="2" w:space="0" w:color="000000"/>
            </w:tcBorders>
          </w:tcPr>
          <w:p>
            <w:pPr/>
          </w:p>
        </w:tc>
        <w:tc>
          <w:tcPr>
            <w:tcW w:w="1874" w:type="dxa"/>
            <w:tcBorders>
              <w:top w:val="nil" w:sz="6" w:space="0" w:color="auto"/>
              <w:left w:val="single" w:sz="2" w:space="0" w:color="000000"/>
              <w:bottom w:val="single" w:sz="2" w:space="0" w:color="000000"/>
              <w:right w:val="single" w:sz="2" w:space="0" w:color="000000"/>
            </w:tcBorders>
          </w:tcPr>
          <w:p>
            <w:pPr>
              <w:pStyle w:val="TableParagraph"/>
              <w:spacing w:line="194" w:lineRule="exact"/>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166,000,000.00</w:t>
            </w:r>
            <w:r>
              <w:rPr>
                <w:rFonts w:ascii="宋体" w:hAnsi="宋体" w:cs="宋体" w:eastAsia="宋体" w:hint="default"/>
                <w:sz w:val="18"/>
                <w:szCs w:val="18"/>
              </w:rPr>
              <w:t>元</w:t>
            </w:r>
          </w:p>
        </w:tc>
        <w:tc>
          <w:tcPr>
            <w:tcW w:w="3566" w:type="dxa"/>
            <w:tcBorders>
              <w:top w:val="nil" w:sz="6" w:space="0" w:color="auto"/>
              <w:left w:val="single" w:sz="2" w:space="0" w:color="000000"/>
              <w:bottom w:val="single" w:sz="2" w:space="0" w:color="000000"/>
              <w:right w:val="single" w:sz="2" w:space="0" w:color="000000"/>
            </w:tcBorders>
          </w:tcPr>
          <w:p>
            <w:pPr/>
          </w:p>
        </w:tc>
      </w:tr>
    </w:tbl>
    <w:p>
      <w:pPr>
        <w:spacing w:after="0"/>
        <w:sectPr>
          <w:pgSz w:w="11910" w:h="16840"/>
          <w:pgMar w:header="877" w:footer="982" w:top="1100" w:bottom="1180" w:left="980" w:right="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spacing w:line="386" w:lineRule="auto" w:before="72"/>
        <w:ind w:left="139" w:right="0" w:firstLine="419"/>
        <w:jc w:val="left"/>
      </w:pPr>
      <w:r>
        <w:rPr>
          <w:spacing w:val="-1"/>
        </w:rPr>
        <w:t>以按照财会〔</w:t>
      </w:r>
      <w:r>
        <w:rPr>
          <w:rFonts w:ascii="Times New Roman" w:hAnsi="Times New Roman" w:cs="Times New Roman" w:eastAsia="Times New Roman" w:hint="default"/>
          <w:spacing w:val="-1"/>
        </w:rPr>
        <w:t>2019</w:t>
      </w:r>
      <w:r>
        <w:rPr>
          <w:spacing w:val="-1"/>
        </w:rPr>
        <w:t>〕</w:t>
      </w:r>
      <w:r>
        <w:rPr>
          <w:rFonts w:ascii="Times New Roman" w:hAnsi="Times New Roman" w:cs="Times New Roman" w:eastAsia="Times New Roman" w:hint="default"/>
          <w:spacing w:val="-1"/>
        </w:rPr>
        <w:t>6</w:t>
      </w:r>
      <w:r>
        <w:rPr>
          <w:spacing w:val="-1"/>
        </w:rPr>
        <w:t>号和财会〔</w:t>
      </w:r>
      <w:r>
        <w:rPr>
          <w:rFonts w:ascii="Times New Roman" w:hAnsi="Times New Roman" w:cs="Times New Roman" w:eastAsia="Times New Roman" w:hint="default"/>
          <w:spacing w:val="-1"/>
        </w:rPr>
        <w:t>2019</w:t>
      </w:r>
      <w:r>
        <w:rPr>
          <w:spacing w:val="-1"/>
        </w:rPr>
        <w:t>〕</w:t>
      </w:r>
      <w:r>
        <w:rPr>
          <w:rFonts w:ascii="Times New Roman" w:hAnsi="Times New Roman" w:cs="Times New Roman" w:eastAsia="Times New Roman" w:hint="default"/>
          <w:spacing w:val="-1"/>
        </w:rPr>
        <w:t>16</w:t>
      </w:r>
      <w:r>
        <w:rPr>
          <w:spacing w:val="-1"/>
        </w:rPr>
        <w:t>号的规定调整后的上年年末余额为基础，各项金融资产和金融负债按照修订前后金融工具确认计量准则的</w:t>
      </w:r>
      <w:r>
        <w:rPr/>
        <w:t> 规定进行分类和计量结果对比如下：</w:t>
      </w:r>
    </w:p>
    <w:p>
      <w:pPr>
        <w:pStyle w:val="Heading3"/>
        <w:spacing w:line="262" w:lineRule="exact"/>
        <w:ind w:left="1399" w:right="0"/>
        <w:jc w:val="left"/>
        <w:rPr>
          <w:b w:val="0"/>
          <w:bCs w:val="0"/>
        </w:rPr>
      </w:pPr>
      <w:r>
        <w:rPr/>
        <w:t>合并</w:t>
      </w:r>
      <w:r>
        <w:rPr>
          <w:b w:val="0"/>
          <w:bCs w:val="0"/>
        </w:rPr>
      </w:r>
    </w:p>
    <w:p>
      <w:pPr>
        <w:spacing w:line="240" w:lineRule="auto" w:before="13"/>
        <w:rPr>
          <w:rFonts w:ascii="宋体" w:hAnsi="宋体" w:cs="宋体" w:eastAsia="宋体" w:hint="default"/>
          <w:b/>
          <w:bCs/>
          <w:sz w:val="3"/>
          <w:szCs w:val="3"/>
        </w:rPr>
      </w:pPr>
    </w:p>
    <w:tbl>
      <w:tblPr>
        <w:tblW w:w="0" w:type="auto"/>
        <w:jc w:val="left"/>
        <w:tblInd w:w="137" w:type="dxa"/>
        <w:tblLayout w:type="fixed"/>
        <w:tblCellMar>
          <w:top w:w="0" w:type="dxa"/>
          <w:left w:w="0" w:type="dxa"/>
          <w:bottom w:w="0" w:type="dxa"/>
          <w:right w:w="0" w:type="dxa"/>
        </w:tblCellMar>
        <w:tblLook w:val="01E0"/>
      </w:tblPr>
      <w:tblGrid>
        <w:gridCol w:w="2694"/>
        <w:gridCol w:w="2550"/>
        <w:gridCol w:w="1843"/>
        <w:gridCol w:w="1986"/>
        <w:gridCol w:w="3258"/>
        <w:gridCol w:w="1844"/>
      </w:tblGrid>
      <w:tr>
        <w:trPr>
          <w:trHeight w:val="337" w:hRule="exact"/>
        </w:trPr>
        <w:tc>
          <w:tcPr>
            <w:tcW w:w="7087" w:type="dxa"/>
            <w:gridSpan w:val="3"/>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7088" w:type="dxa"/>
            <w:gridSpan w:val="3"/>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337" w:hRule="exact"/>
        </w:trPr>
        <w:tc>
          <w:tcPr>
            <w:tcW w:w="2694"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550"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843"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986"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3258"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844"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337" w:hRule="exact"/>
        </w:trPr>
        <w:tc>
          <w:tcPr>
            <w:tcW w:w="2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2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391,588,341.93</w:t>
            </w: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3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391,588,341.93</w:t>
            </w:r>
          </w:p>
        </w:tc>
      </w:tr>
      <w:tr>
        <w:trPr>
          <w:trHeight w:val="649" w:hRule="exact"/>
        </w:trPr>
        <w:tc>
          <w:tcPr>
            <w:tcW w:w="2694"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21"/>
              <w:ind w:left="623" w:right="83" w:hanging="54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2550"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21"/>
              <w:ind w:left="1001" w:right="11" w:hanging="99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w:t>
            </w:r>
          </w:p>
        </w:tc>
        <w:tc>
          <w:tcPr>
            <w:tcW w:w="1843" w:type="dxa"/>
            <w:tcBorders>
              <w:top w:val="single" w:sz="2" w:space="0" w:color="000000"/>
              <w:left w:val="single" w:sz="2" w:space="0" w:color="000000"/>
              <w:bottom w:val="single" w:sz="2" w:space="0" w:color="000000"/>
              <w:right w:val="single" w:sz="2" w:space="0" w:color="000000"/>
            </w:tcBorders>
          </w:tcPr>
          <w:p>
            <w:pP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交易性金融资产</w:t>
            </w:r>
          </w:p>
        </w:tc>
        <w:tc>
          <w:tcPr>
            <w:tcW w:w="3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以公允价值计量且其变动计入当期损益</w:t>
            </w:r>
          </w:p>
        </w:tc>
        <w:tc>
          <w:tcPr>
            <w:tcW w:w="1844" w:type="dxa"/>
            <w:tcBorders>
              <w:top w:val="single" w:sz="2" w:space="0" w:color="000000"/>
              <w:left w:val="single" w:sz="2" w:space="0" w:color="000000"/>
              <w:bottom w:val="single" w:sz="2" w:space="0" w:color="000000"/>
              <w:right w:val="single" w:sz="2" w:space="0" w:color="000000"/>
            </w:tcBorders>
          </w:tcPr>
          <w:p>
            <w:pPr/>
          </w:p>
        </w:tc>
      </w:tr>
      <w:tr>
        <w:trPr>
          <w:trHeight w:val="649" w:hRule="exact"/>
        </w:trPr>
        <w:tc>
          <w:tcPr>
            <w:tcW w:w="2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衍生金融资产</w:t>
            </w:r>
          </w:p>
        </w:tc>
        <w:tc>
          <w:tcPr>
            <w:tcW w:w="2550"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21"/>
              <w:ind w:left="1001" w:right="11" w:hanging="99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3,402,000.00</w:t>
            </w: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衍生金融资产</w:t>
            </w:r>
          </w:p>
        </w:tc>
        <w:tc>
          <w:tcPr>
            <w:tcW w:w="3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以公允价值计量且其变动计入当期损益</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3,402,000.00</w:t>
            </w:r>
          </w:p>
        </w:tc>
      </w:tr>
      <w:tr>
        <w:trPr>
          <w:trHeight w:val="337" w:hRule="exact"/>
        </w:trPr>
        <w:tc>
          <w:tcPr>
            <w:tcW w:w="2694" w:type="dxa"/>
            <w:vMerge w:val="restart"/>
            <w:tcBorders>
              <w:top w:val="single" w:sz="2" w:space="0" w:color="000000"/>
              <w:left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2550" w:type="dxa"/>
            <w:vMerge w:val="restart"/>
            <w:tcBorders>
              <w:top w:val="single" w:sz="2" w:space="0" w:color="000000"/>
              <w:left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843"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9"/>
              <w:ind w:left="446" w:right="0"/>
              <w:jc w:val="left"/>
              <w:rPr>
                <w:rFonts w:ascii="Times New Roman" w:hAnsi="Times New Roman" w:cs="Times New Roman" w:eastAsia="Times New Roman" w:hint="default"/>
                <w:sz w:val="18"/>
                <w:szCs w:val="18"/>
              </w:rPr>
            </w:pPr>
            <w:r>
              <w:rPr>
                <w:rFonts w:ascii="Times New Roman"/>
                <w:sz w:val="18"/>
              </w:rPr>
              <w:t>1,102,000.00</w:t>
            </w: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3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202,000.00</w:t>
            </w:r>
          </w:p>
        </w:tc>
      </w:tr>
      <w:tr>
        <w:trPr>
          <w:trHeight w:val="649" w:hRule="exact"/>
        </w:trPr>
        <w:tc>
          <w:tcPr>
            <w:tcW w:w="2694" w:type="dxa"/>
            <w:vMerge/>
            <w:tcBorders>
              <w:left w:val="single" w:sz="2" w:space="0" w:color="000000"/>
              <w:bottom w:val="single" w:sz="2" w:space="0" w:color="000000"/>
              <w:right w:val="single" w:sz="2" w:space="0" w:color="000000"/>
            </w:tcBorders>
          </w:tcPr>
          <w:p>
            <w:pPr/>
          </w:p>
        </w:tc>
        <w:tc>
          <w:tcPr>
            <w:tcW w:w="2550" w:type="dxa"/>
            <w:vMerge/>
            <w:tcBorders>
              <w:left w:val="single" w:sz="2" w:space="0" w:color="000000"/>
              <w:bottom w:val="single" w:sz="2" w:space="0" w:color="000000"/>
              <w:right w:val="single" w:sz="2" w:space="0" w:color="000000"/>
            </w:tcBorders>
          </w:tcPr>
          <w:p>
            <w:pPr/>
          </w:p>
        </w:tc>
        <w:tc>
          <w:tcPr>
            <w:tcW w:w="1843" w:type="dxa"/>
            <w:vMerge/>
            <w:tcBorders>
              <w:left w:val="single" w:sz="2" w:space="0" w:color="000000"/>
              <w:bottom w:val="single" w:sz="2" w:space="0" w:color="000000"/>
              <w:right w:val="single" w:sz="2" w:space="0" w:color="000000"/>
            </w:tcBorders>
          </w:tcPr>
          <w:p>
            <w:pP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应收款项融资</w:t>
            </w:r>
          </w:p>
        </w:tc>
        <w:tc>
          <w:tcPr>
            <w:tcW w:w="3258"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20"/>
              <w:ind w:left="1445" w:right="95" w:hanging="1350"/>
              <w:jc w:val="left"/>
              <w:rPr>
                <w:rFonts w:ascii="宋体" w:hAnsi="宋体" w:cs="宋体" w:eastAsia="宋体" w:hint="default"/>
                <w:sz w:val="18"/>
                <w:szCs w:val="18"/>
              </w:rPr>
            </w:pPr>
            <w:r>
              <w:rPr>
                <w:rFonts w:ascii="宋体" w:hAnsi="宋体" w:cs="宋体" w:eastAsia="宋体" w:hint="default"/>
                <w:sz w:val="18"/>
                <w:szCs w:val="18"/>
              </w:rPr>
              <w:t>以公允价值计量且其变动计入其他综合 收益</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900,000.00</w:t>
            </w:r>
          </w:p>
        </w:tc>
      </w:tr>
      <w:tr>
        <w:trPr>
          <w:trHeight w:val="337" w:hRule="exact"/>
        </w:trPr>
        <w:tc>
          <w:tcPr>
            <w:tcW w:w="2694" w:type="dxa"/>
            <w:vMerge w:val="restart"/>
            <w:tcBorders>
              <w:top w:val="single" w:sz="2" w:space="0" w:color="000000"/>
              <w:left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550" w:type="dxa"/>
            <w:vMerge w:val="restart"/>
            <w:tcBorders>
              <w:top w:val="single" w:sz="2" w:space="0" w:color="000000"/>
              <w:left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843"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9"/>
              <w:ind w:left="356" w:right="0"/>
              <w:jc w:val="left"/>
              <w:rPr>
                <w:rFonts w:ascii="Times New Roman" w:hAnsi="Times New Roman" w:cs="Times New Roman" w:eastAsia="Times New Roman" w:hint="default"/>
                <w:sz w:val="18"/>
                <w:szCs w:val="18"/>
              </w:rPr>
            </w:pPr>
            <w:r>
              <w:rPr>
                <w:rFonts w:ascii="Times New Roman"/>
                <w:sz w:val="18"/>
              </w:rPr>
              <w:t>417,074,051.07</w:t>
            </w: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417,074,051.07</w:t>
            </w:r>
          </w:p>
        </w:tc>
      </w:tr>
      <w:tr>
        <w:trPr>
          <w:trHeight w:val="648" w:hRule="exact"/>
        </w:trPr>
        <w:tc>
          <w:tcPr>
            <w:tcW w:w="2694" w:type="dxa"/>
            <w:vMerge/>
            <w:tcBorders>
              <w:left w:val="single" w:sz="2" w:space="0" w:color="000000"/>
              <w:bottom w:val="single" w:sz="2" w:space="0" w:color="000000"/>
              <w:right w:val="single" w:sz="2" w:space="0" w:color="000000"/>
            </w:tcBorders>
          </w:tcPr>
          <w:p>
            <w:pPr/>
          </w:p>
        </w:tc>
        <w:tc>
          <w:tcPr>
            <w:tcW w:w="2550" w:type="dxa"/>
            <w:vMerge/>
            <w:tcBorders>
              <w:left w:val="single" w:sz="2" w:space="0" w:color="000000"/>
              <w:bottom w:val="single" w:sz="2" w:space="0" w:color="000000"/>
              <w:right w:val="single" w:sz="2" w:space="0" w:color="000000"/>
            </w:tcBorders>
          </w:tcPr>
          <w:p>
            <w:pPr/>
          </w:p>
        </w:tc>
        <w:tc>
          <w:tcPr>
            <w:tcW w:w="1843" w:type="dxa"/>
            <w:vMerge/>
            <w:tcBorders>
              <w:left w:val="single" w:sz="2" w:space="0" w:color="000000"/>
              <w:bottom w:val="single" w:sz="2" w:space="0" w:color="000000"/>
              <w:right w:val="single" w:sz="2" w:space="0" w:color="000000"/>
            </w:tcBorders>
          </w:tcPr>
          <w:p>
            <w:pP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应收款项融资</w:t>
            </w:r>
          </w:p>
        </w:tc>
        <w:tc>
          <w:tcPr>
            <w:tcW w:w="3258"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20"/>
              <w:ind w:left="1445" w:right="95" w:hanging="1350"/>
              <w:jc w:val="left"/>
              <w:rPr>
                <w:rFonts w:ascii="宋体" w:hAnsi="宋体" w:cs="宋体" w:eastAsia="宋体" w:hint="default"/>
                <w:sz w:val="18"/>
                <w:szCs w:val="18"/>
              </w:rPr>
            </w:pPr>
            <w:r>
              <w:rPr>
                <w:rFonts w:ascii="宋体" w:hAnsi="宋体" w:cs="宋体" w:eastAsia="宋体" w:hint="default"/>
                <w:sz w:val="18"/>
                <w:szCs w:val="18"/>
              </w:rPr>
              <w:t>以公允价值计量且其变动计入其他综合 收益</w:t>
            </w:r>
          </w:p>
        </w:tc>
        <w:tc>
          <w:tcPr>
            <w:tcW w:w="1844" w:type="dxa"/>
            <w:tcBorders>
              <w:top w:val="single" w:sz="2" w:space="0" w:color="000000"/>
              <w:left w:val="single" w:sz="2" w:space="0" w:color="000000"/>
              <w:bottom w:val="single" w:sz="2" w:space="0" w:color="000000"/>
              <w:right w:val="single" w:sz="2" w:space="0" w:color="000000"/>
            </w:tcBorders>
          </w:tcPr>
          <w:p>
            <w:pPr/>
          </w:p>
        </w:tc>
      </w:tr>
      <w:tr>
        <w:trPr>
          <w:trHeight w:val="337" w:hRule="exact"/>
        </w:trPr>
        <w:tc>
          <w:tcPr>
            <w:tcW w:w="2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62,538,708.35</w:t>
            </w: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3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62,538,708.35</w:t>
            </w:r>
          </w:p>
        </w:tc>
      </w:tr>
      <w:tr>
        <w:trPr>
          <w:trHeight w:val="649" w:hRule="exact"/>
        </w:trPr>
        <w:tc>
          <w:tcPr>
            <w:tcW w:w="2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持有至到期投资</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（含其他流动资产）</w:t>
            </w:r>
          </w:p>
        </w:tc>
        <w:tc>
          <w:tcPr>
            <w:tcW w:w="2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843" w:type="dxa"/>
            <w:tcBorders>
              <w:top w:val="single" w:sz="2" w:space="0" w:color="000000"/>
              <w:left w:val="single" w:sz="2" w:space="0" w:color="000000"/>
              <w:bottom w:val="single" w:sz="2" w:space="0" w:color="000000"/>
              <w:right w:val="single" w:sz="2" w:space="0" w:color="000000"/>
            </w:tcBorders>
          </w:tcPr>
          <w:p>
            <w:pP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债权投资</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（含其他流动资产）</w:t>
            </w:r>
          </w:p>
        </w:tc>
        <w:tc>
          <w:tcPr>
            <w:tcW w:w="3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844" w:type="dxa"/>
            <w:tcBorders>
              <w:top w:val="single" w:sz="2" w:space="0" w:color="000000"/>
              <w:left w:val="single" w:sz="2" w:space="0" w:color="000000"/>
              <w:bottom w:val="single" w:sz="2" w:space="0" w:color="000000"/>
              <w:right w:val="single" w:sz="2" w:space="0" w:color="000000"/>
            </w:tcBorders>
          </w:tcPr>
          <w:p>
            <w:pPr/>
          </w:p>
        </w:tc>
      </w:tr>
      <w:tr>
        <w:trPr>
          <w:trHeight w:val="649" w:hRule="exact"/>
        </w:trPr>
        <w:tc>
          <w:tcPr>
            <w:tcW w:w="2694"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62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p>
            <w:pPr>
              <w:pStyle w:val="TableParagraph"/>
              <w:spacing w:line="240" w:lineRule="auto" w:before="76"/>
              <w:ind w:left="533" w:right="0"/>
              <w:jc w:val="left"/>
              <w:rPr>
                <w:rFonts w:ascii="宋体" w:hAnsi="宋体" w:cs="宋体" w:eastAsia="宋体" w:hint="default"/>
                <w:sz w:val="18"/>
                <w:szCs w:val="18"/>
              </w:rPr>
            </w:pPr>
            <w:r>
              <w:rPr>
                <w:rFonts w:ascii="宋体" w:hAnsi="宋体" w:cs="宋体" w:eastAsia="宋体" w:hint="default"/>
                <w:sz w:val="18"/>
                <w:szCs w:val="18"/>
              </w:rPr>
              <w:t>（含其他流动资产）</w:t>
            </w:r>
          </w:p>
        </w:tc>
        <w:tc>
          <w:tcPr>
            <w:tcW w:w="2550" w:type="dxa"/>
            <w:vMerge w:val="restart"/>
            <w:tcBorders>
              <w:top w:val="single" w:sz="2" w:space="0" w:color="000000"/>
              <w:left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316" w:lineRule="auto"/>
              <w:ind w:left="281" w:right="11" w:hanging="270"/>
              <w:jc w:val="left"/>
              <w:rPr>
                <w:rFonts w:ascii="宋体" w:hAnsi="宋体" w:cs="宋体" w:eastAsia="宋体" w:hint="default"/>
                <w:sz w:val="18"/>
                <w:szCs w:val="18"/>
              </w:rPr>
            </w:pPr>
            <w:r>
              <w:rPr>
                <w:rFonts w:ascii="宋体" w:hAnsi="宋体" w:cs="宋体" w:eastAsia="宋体" w:hint="default"/>
                <w:sz w:val="18"/>
                <w:szCs w:val="18"/>
              </w:rPr>
              <w:t>以公允价值计量且其变动计入其 他综合收益（债务工具）</w:t>
            </w:r>
          </w:p>
        </w:tc>
        <w:tc>
          <w:tcPr>
            <w:tcW w:w="1843" w:type="dxa"/>
            <w:vMerge w:val="restart"/>
            <w:tcBorders>
              <w:top w:val="single" w:sz="2" w:space="0" w:color="000000"/>
              <w:left w:val="single" w:sz="2" w:space="0" w:color="000000"/>
              <w:right w:val="single" w:sz="2" w:space="0" w:color="000000"/>
            </w:tcBorders>
          </w:tcPr>
          <w:p>
            <w:pP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债权投资</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（含其他流动资产）</w:t>
            </w:r>
          </w:p>
        </w:tc>
        <w:tc>
          <w:tcPr>
            <w:tcW w:w="3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844" w:type="dxa"/>
            <w:tcBorders>
              <w:top w:val="single" w:sz="2" w:space="0" w:color="000000"/>
              <w:left w:val="single" w:sz="2" w:space="0" w:color="000000"/>
              <w:bottom w:val="single" w:sz="2" w:space="0" w:color="000000"/>
              <w:right w:val="single" w:sz="2" w:space="0" w:color="000000"/>
            </w:tcBorders>
          </w:tcPr>
          <w:p>
            <w:pPr/>
          </w:p>
        </w:tc>
      </w:tr>
      <w:tr>
        <w:trPr>
          <w:trHeight w:val="649" w:hRule="exact"/>
        </w:trPr>
        <w:tc>
          <w:tcPr>
            <w:tcW w:w="2694" w:type="dxa"/>
            <w:vMerge/>
            <w:tcBorders>
              <w:left w:val="single" w:sz="2" w:space="0" w:color="000000"/>
              <w:right w:val="single" w:sz="2" w:space="0" w:color="000000"/>
            </w:tcBorders>
          </w:tcPr>
          <w:p>
            <w:pPr/>
          </w:p>
        </w:tc>
        <w:tc>
          <w:tcPr>
            <w:tcW w:w="2550" w:type="dxa"/>
            <w:vMerge/>
            <w:tcBorders>
              <w:left w:val="single" w:sz="2" w:space="0" w:color="000000"/>
              <w:bottom w:val="single" w:sz="2" w:space="0" w:color="000000"/>
              <w:right w:val="single" w:sz="2" w:space="0" w:color="000000"/>
            </w:tcBorders>
          </w:tcPr>
          <w:p>
            <w:pPr/>
          </w:p>
        </w:tc>
        <w:tc>
          <w:tcPr>
            <w:tcW w:w="1843" w:type="dxa"/>
            <w:vMerge/>
            <w:tcBorders>
              <w:left w:val="single" w:sz="2" w:space="0" w:color="000000"/>
              <w:bottom w:val="single" w:sz="2" w:space="0" w:color="000000"/>
              <w:right w:val="single" w:sz="2" w:space="0" w:color="000000"/>
            </w:tcBorders>
          </w:tcPr>
          <w:p>
            <w:pP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其他债权投资</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（含其他流动资产）</w:t>
            </w:r>
          </w:p>
        </w:tc>
        <w:tc>
          <w:tcPr>
            <w:tcW w:w="3258"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20"/>
              <w:ind w:left="1445" w:right="95" w:hanging="1350"/>
              <w:jc w:val="left"/>
              <w:rPr>
                <w:rFonts w:ascii="宋体" w:hAnsi="宋体" w:cs="宋体" w:eastAsia="宋体" w:hint="default"/>
                <w:sz w:val="18"/>
                <w:szCs w:val="18"/>
              </w:rPr>
            </w:pPr>
            <w:r>
              <w:rPr>
                <w:rFonts w:ascii="宋体" w:hAnsi="宋体" w:cs="宋体" w:eastAsia="宋体" w:hint="default"/>
                <w:sz w:val="18"/>
                <w:szCs w:val="18"/>
              </w:rPr>
              <w:t>以公允价值计量且其变动计入其他综合 收益</w:t>
            </w:r>
          </w:p>
        </w:tc>
        <w:tc>
          <w:tcPr>
            <w:tcW w:w="1844" w:type="dxa"/>
            <w:tcBorders>
              <w:top w:val="single" w:sz="2" w:space="0" w:color="000000"/>
              <w:left w:val="single" w:sz="2" w:space="0" w:color="000000"/>
              <w:bottom w:val="single" w:sz="2" w:space="0" w:color="000000"/>
              <w:right w:val="single" w:sz="2" w:space="0" w:color="000000"/>
            </w:tcBorders>
          </w:tcPr>
          <w:p>
            <w:pPr/>
          </w:p>
        </w:tc>
      </w:tr>
      <w:tr>
        <w:trPr>
          <w:trHeight w:val="337" w:hRule="exact"/>
        </w:trPr>
        <w:tc>
          <w:tcPr>
            <w:tcW w:w="2694" w:type="dxa"/>
            <w:vMerge/>
            <w:tcBorders>
              <w:left w:val="single" w:sz="2" w:space="0" w:color="000000"/>
              <w:right w:val="single" w:sz="2" w:space="0" w:color="000000"/>
            </w:tcBorders>
          </w:tcPr>
          <w:p>
            <w:pPr/>
          </w:p>
        </w:tc>
        <w:tc>
          <w:tcPr>
            <w:tcW w:w="2550"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245" w:right="11" w:hanging="234"/>
              <w:jc w:val="left"/>
              <w:rPr>
                <w:rFonts w:ascii="宋体" w:hAnsi="宋体" w:cs="宋体" w:eastAsia="宋体" w:hint="default"/>
                <w:sz w:val="18"/>
                <w:szCs w:val="18"/>
              </w:rPr>
            </w:pPr>
            <w:r>
              <w:rPr>
                <w:rFonts w:ascii="宋体" w:hAnsi="宋体" w:cs="宋体" w:eastAsia="宋体" w:hint="default"/>
                <w:sz w:val="18"/>
                <w:szCs w:val="18"/>
              </w:rPr>
              <w:t>以公允价值计量且其变动计入其 他综合收益</w:t>
            </w:r>
            <w:r>
              <w:rPr>
                <w:rFonts w:ascii="宋体" w:hAnsi="宋体" w:cs="宋体" w:eastAsia="宋体" w:hint="default"/>
                <w:spacing w:val="-19"/>
                <w:sz w:val="18"/>
                <w:szCs w:val="18"/>
              </w:rPr>
              <w:t> </w:t>
            </w:r>
            <w:r>
              <w:rPr>
                <w:rFonts w:ascii="宋体" w:hAnsi="宋体" w:cs="宋体" w:eastAsia="宋体" w:hint="default"/>
                <w:sz w:val="18"/>
                <w:szCs w:val="18"/>
              </w:rPr>
              <w:t>（权益工具）</w:t>
            </w:r>
          </w:p>
        </w:tc>
        <w:tc>
          <w:tcPr>
            <w:tcW w:w="1843" w:type="dxa"/>
            <w:vMerge w:val="restart"/>
            <w:tcBorders>
              <w:top w:val="single" w:sz="2" w:space="0" w:color="000000"/>
              <w:left w:val="single" w:sz="2" w:space="0" w:color="000000"/>
              <w:right w:val="single" w:sz="2" w:space="0" w:color="000000"/>
            </w:tcBorders>
          </w:tcPr>
          <w:p>
            <w:pP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交易性金融资产</w:t>
            </w:r>
          </w:p>
        </w:tc>
        <w:tc>
          <w:tcPr>
            <w:tcW w:w="3258" w:type="dxa"/>
            <w:vMerge w:val="restart"/>
            <w:tcBorders>
              <w:top w:val="single" w:sz="2" w:space="0" w:color="000000"/>
              <w:left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w:t>
            </w:r>
          </w:p>
        </w:tc>
        <w:tc>
          <w:tcPr>
            <w:tcW w:w="1844" w:type="dxa"/>
            <w:tcBorders>
              <w:top w:val="single" w:sz="2" w:space="0" w:color="000000"/>
              <w:left w:val="single" w:sz="2" w:space="0" w:color="000000"/>
              <w:bottom w:val="single" w:sz="2" w:space="0" w:color="000000"/>
              <w:right w:val="single" w:sz="2" w:space="0" w:color="000000"/>
            </w:tcBorders>
          </w:tcPr>
          <w:p>
            <w:pPr/>
          </w:p>
        </w:tc>
      </w:tr>
      <w:tr>
        <w:trPr>
          <w:trHeight w:val="336" w:hRule="exact"/>
        </w:trPr>
        <w:tc>
          <w:tcPr>
            <w:tcW w:w="2694" w:type="dxa"/>
            <w:vMerge/>
            <w:tcBorders>
              <w:left w:val="single" w:sz="2" w:space="0" w:color="000000"/>
              <w:right w:val="single" w:sz="2" w:space="0" w:color="000000"/>
            </w:tcBorders>
          </w:tcPr>
          <w:p>
            <w:pPr/>
          </w:p>
        </w:tc>
        <w:tc>
          <w:tcPr>
            <w:tcW w:w="2550" w:type="dxa"/>
            <w:vMerge/>
            <w:tcBorders>
              <w:left w:val="single" w:sz="2" w:space="0" w:color="000000"/>
              <w:right w:val="single" w:sz="2" w:space="0" w:color="000000"/>
            </w:tcBorders>
          </w:tcPr>
          <w:p>
            <w:pPr/>
          </w:p>
        </w:tc>
        <w:tc>
          <w:tcPr>
            <w:tcW w:w="1843" w:type="dxa"/>
            <w:vMerge/>
            <w:tcBorders>
              <w:left w:val="single" w:sz="2" w:space="0" w:color="000000"/>
              <w:right w:val="single" w:sz="2" w:space="0" w:color="000000"/>
            </w:tcBorders>
          </w:tcPr>
          <w:p>
            <w:pP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258" w:type="dxa"/>
            <w:vMerge/>
            <w:tcBorders>
              <w:left w:val="single" w:sz="2" w:space="0" w:color="000000"/>
              <w:bottom w:val="single" w:sz="2" w:space="0" w:color="000000"/>
              <w:right w:val="single" w:sz="2" w:space="0" w:color="000000"/>
            </w:tcBorders>
          </w:tcPr>
          <w:p>
            <w:pPr/>
          </w:p>
        </w:tc>
        <w:tc>
          <w:tcPr>
            <w:tcW w:w="1844" w:type="dxa"/>
            <w:tcBorders>
              <w:top w:val="single" w:sz="2" w:space="0" w:color="000000"/>
              <w:left w:val="single" w:sz="2" w:space="0" w:color="000000"/>
              <w:bottom w:val="single" w:sz="2" w:space="0" w:color="000000"/>
              <w:right w:val="single" w:sz="2" w:space="0" w:color="000000"/>
            </w:tcBorders>
          </w:tcPr>
          <w:p>
            <w:pPr/>
          </w:p>
        </w:tc>
      </w:tr>
      <w:tr>
        <w:trPr>
          <w:trHeight w:val="649" w:hRule="exact"/>
        </w:trPr>
        <w:tc>
          <w:tcPr>
            <w:tcW w:w="2694" w:type="dxa"/>
            <w:vMerge/>
            <w:tcBorders>
              <w:left w:val="single" w:sz="2" w:space="0" w:color="000000"/>
              <w:right w:val="single" w:sz="2" w:space="0" w:color="000000"/>
            </w:tcBorders>
          </w:tcPr>
          <w:p>
            <w:pPr/>
          </w:p>
        </w:tc>
        <w:tc>
          <w:tcPr>
            <w:tcW w:w="2550" w:type="dxa"/>
            <w:vMerge/>
            <w:tcBorders>
              <w:left w:val="single" w:sz="2" w:space="0" w:color="000000"/>
              <w:bottom w:val="single" w:sz="2" w:space="0" w:color="000000"/>
              <w:right w:val="single" w:sz="2" w:space="0" w:color="000000"/>
            </w:tcBorders>
          </w:tcPr>
          <w:p>
            <w:pPr/>
          </w:p>
        </w:tc>
        <w:tc>
          <w:tcPr>
            <w:tcW w:w="1843" w:type="dxa"/>
            <w:vMerge/>
            <w:tcBorders>
              <w:left w:val="single" w:sz="2" w:space="0" w:color="000000"/>
              <w:bottom w:val="single" w:sz="2" w:space="0" w:color="000000"/>
              <w:right w:val="single" w:sz="2" w:space="0" w:color="000000"/>
            </w:tcBorders>
          </w:tcPr>
          <w:p>
            <w:pP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258"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21"/>
              <w:ind w:left="1445" w:right="95" w:hanging="1350"/>
              <w:jc w:val="left"/>
              <w:rPr>
                <w:rFonts w:ascii="宋体" w:hAnsi="宋体" w:cs="宋体" w:eastAsia="宋体" w:hint="default"/>
                <w:sz w:val="18"/>
                <w:szCs w:val="18"/>
              </w:rPr>
            </w:pPr>
            <w:r>
              <w:rPr>
                <w:rFonts w:ascii="宋体" w:hAnsi="宋体" w:cs="宋体" w:eastAsia="宋体" w:hint="default"/>
                <w:sz w:val="18"/>
                <w:szCs w:val="18"/>
              </w:rPr>
              <w:t>以公允价值计量且其变动计入其他综合 收益</w:t>
            </w:r>
          </w:p>
        </w:tc>
        <w:tc>
          <w:tcPr>
            <w:tcW w:w="1844" w:type="dxa"/>
            <w:tcBorders>
              <w:top w:val="single" w:sz="2" w:space="0" w:color="000000"/>
              <w:left w:val="single" w:sz="2" w:space="0" w:color="000000"/>
              <w:bottom w:val="single" w:sz="2" w:space="0" w:color="000000"/>
              <w:right w:val="single" w:sz="2" w:space="0" w:color="000000"/>
            </w:tcBorders>
          </w:tcPr>
          <w:p>
            <w:pPr/>
          </w:p>
        </w:tc>
      </w:tr>
      <w:tr>
        <w:trPr>
          <w:trHeight w:val="337" w:hRule="exact"/>
        </w:trPr>
        <w:tc>
          <w:tcPr>
            <w:tcW w:w="2694" w:type="dxa"/>
            <w:vMerge/>
            <w:tcBorders>
              <w:left w:val="single" w:sz="2" w:space="0" w:color="000000"/>
              <w:bottom w:val="single" w:sz="2" w:space="0" w:color="000000"/>
              <w:right w:val="single" w:sz="2" w:space="0" w:color="000000"/>
            </w:tcBorders>
          </w:tcPr>
          <w:p>
            <w:pPr/>
          </w:p>
        </w:tc>
        <w:tc>
          <w:tcPr>
            <w:tcW w:w="2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以成本计量（权益工具）</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184,060,000.00</w:t>
            </w: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交易性金融资产</w:t>
            </w:r>
          </w:p>
        </w:tc>
        <w:tc>
          <w:tcPr>
            <w:tcW w:w="3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以公允价值计量且其变动计入当期损益</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166,000,000.00</w:t>
            </w:r>
          </w:p>
        </w:tc>
      </w:tr>
    </w:tbl>
    <w:p>
      <w:pPr>
        <w:spacing w:after="0" w:line="240" w:lineRule="auto"/>
        <w:jc w:val="center"/>
        <w:rPr>
          <w:rFonts w:ascii="Times New Roman" w:hAnsi="Times New Roman" w:cs="Times New Roman" w:eastAsia="Times New Roman" w:hint="default"/>
          <w:sz w:val="18"/>
          <w:szCs w:val="18"/>
        </w:rPr>
        <w:sectPr>
          <w:headerReference w:type="default" r:id="rId33"/>
          <w:footerReference w:type="default" r:id="rId34"/>
          <w:pgSz w:w="16840" w:h="11910" w:orient="landscape"/>
          <w:pgMar w:header="867" w:footer="978" w:top="1060" w:bottom="1160" w:left="1300" w:right="1100"/>
          <w:pgNumType w:start="207"/>
        </w:sectPr>
      </w:pPr>
    </w:p>
    <w:p>
      <w:pPr>
        <w:spacing w:line="240" w:lineRule="auto" w:before="4"/>
        <w:rPr>
          <w:rFonts w:ascii="Times New Roman" w:hAnsi="Times New Roman" w:cs="Times New Roman" w:eastAsia="Times New Roman"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694"/>
        <w:gridCol w:w="2550"/>
        <w:gridCol w:w="1843"/>
        <w:gridCol w:w="1986"/>
        <w:gridCol w:w="3258"/>
        <w:gridCol w:w="1844"/>
      </w:tblGrid>
      <w:tr>
        <w:trPr>
          <w:trHeight w:val="352" w:hRule="exact"/>
        </w:trPr>
        <w:tc>
          <w:tcPr>
            <w:tcW w:w="2694" w:type="dxa"/>
            <w:vMerge w:val="restart"/>
            <w:tcBorders>
              <w:top w:val="single" w:sz="13" w:space="0" w:color="000000"/>
              <w:left w:val="single" w:sz="2" w:space="0" w:color="000000"/>
              <w:right w:val="single" w:sz="2" w:space="0" w:color="000000"/>
            </w:tcBorders>
          </w:tcPr>
          <w:p>
            <w:pPr/>
          </w:p>
        </w:tc>
        <w:tc>
          <w:tcPr>
            <w:tcW w:w="2550" w:type="dxa"/>
            <w:vMerge w:val="restart"/>
            <w:tcBorders>
              <w:top w:val="single" w:sz="13" w:space="0" w:color="000000"/>
              <w:left w:val="single" w:sz="2" w:space="0" w:color="000000"/>
              <w:right w:val="single" w:sz="2" w:space="0" w:color="000000"/>
            </w:tcBorders>
          </w:tcPr>
          <w:p>
            <w:pPr/>
          </w:p>
        </w:tc>
        <w:tc>
          <w:tcPr>
            <w:tcW w:w="1843" w:type="dxa"/>
            <w:vMerge w:val="restart"/>
            <w:tcBorders>
              <w:top w:val="single" w:sz="13" w:space="0" w:color="000000"/>
              <w:left w:val="single" w:sz="2" w:space="0" w:color="000000"/>
              <w:right w:val="single" w:sz="2" w:space="0" w:color="000000"/>
            </w:tcBorders>
          </w:tcPr>
          <w:p>
            <w:pPr/>
          </w:p>
        </w:tc>
        <w:tc>
          <w:tcPr>
            <w:tcW w:w="1986" w:type="dxa"/>
            <w:tcBorders>
              <w:top w:val="single" w:sz="13"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258" w:type="dxa"/>
            <w:tcBorders>
              <w:top w:val="single" w:sz="13" w:space="0" w:color="000000"/>
              <w:left w:val="single" w:sz="2" w:space="0" w:color="000000"/>
              <w:bottom w:val="single" w:sz="2" w:space="0" w:color="000000"/>
              <w:right w:val="single" w:sz="2" w:space="0" w:color="000000"/>
            </w:tcBorders>
          </w:tcPr>
          <w:p>
            <w:pPr/>
          </w:p>
        </w:tc>
        <w:tc>
          <w:tcPr>
            <w:tcW w:w="1844" w:type="dxa"/>
            <w:tcBorders>
              <w:top w:val="single" w:sz="13" w:space="0" w:color="000000"/>
              <w:left w:val="single" w:sz="2" w:space="0" w:color="000000"/>
              <w:bottom w:val="single" w:sz="2" w:space="0" w:color="000000"/>
              <w:right w:val="single" w:sz="2" w:space="0" w:color="000000"/>
            </w:tcBorders>
          </w:tcPr>
          <w:p>
            <w:pPr/>
          </w:p>
        </w:tc>
      </w:tr>
      <w:tr>
        <w:trPr>
          <w:trHeight w:val="649" w:hRule="exact"/>
        </w:trPr>
        <w:tc>
          <w:tcPr>
            <w:tcW w:w="2694" w:type="dxa"/>
            <w:vMerge/>
            <w:tcBorders>
              <w:left w:val="single" w:sz="2" w:space="0" w:color="000000"/>
              <w:bottom w:val="single" w:sz="2" w:space="0" w:color="000000"/>
              <w:right w:val="single" w:sz="2" w:space="0" w:color="000000"/>
            </w:tcBorders>
          </w:tcPr>
          <w:p>
            <w:pPr/>
          </w:p>
        </w:tc>
        <w:tc>
          <w:tcPr>
            <w:tcW w:w="2550" w:type="dxa"/>
            <w:vMerge/>
            <w:tcBorders>
              <w:left w:val="single" w:sz="2" w:space="0" w:color="000000"/>
              <w:bottom w:val="single" w:sz="2" w:space="0" w:color="000000"/>
              <w:right w:val="single" w:sz="2" w:space="0" w:color="000000"/>
            </w:tcBorders>
          </w:tcPr>
          <w:p>
            <w:pPr/>
          </w:p>
        </w:tc>
        <w:tc>
          <w:tcPr>
            <w:tcW w:w="1843" w:type="dxa"/>
            <w:vMerge/>
            <w:tcBorders>
              <w:left w:val="single" w:sz="2" w:space="0" w:color="000000"/>
              <w:bottom w:val="single" w:sz="2" w:space="0" w:color="000000"/>
              <w:right w:val="single" w:sz="2" w:space="0" w:color="000000"/>
            </w:tcBorders>
          </w:tcPr>
          <w:p>
            <w:pP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258"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20"/>
              <w:ind w:left="1445" w:right="95" w:hanging="1350"/>
              <w:jc w:val="left"/>
              <w:rPr>
                <w:rFonts w:ascii="宋体" w:hAnsi="宋体" w:cs="宋体" w:eastAsia="宋体" w:hint="default"/>
                <w:sz w:val="18"/>
                <w:szCs w:val="18"/>
              </w:rPr>
            </w:pPr>
            <w:r>
              <w:rPr>
                <w:rFonts w:ascii="宋体" w:hAnsi="宋体" w:cs="宋体" w:eastAsia="宋体" w:hint="default"/>
                <w:sz w:val="18"/>
                <w:szCs w:val="18"/>
              </w:rPr>
              <w:t>以公允价值计量且其变动计入其他综合 收益</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01" w:right="0"/>
              <w:jc w:val="left"/>
              <w:rPr>
                <w:rFonts w:ascii="Times New Roman" w:hAnsi="Times New Roman" w:cs="Times New Roman" w:eastAsia="Times New Roman" w:hint="default"/>
                <w:sz w:val="18"/>
                <w:szCs w:val="18"/>
              </w:rPr>
            </w:pPr>
            <w:r>
              <w:rPr>
                <w:rFonts w:ascii="Times New Roman"/>
                <w:sz w:val="18"/>
              </w:rPr>
              <w:t>18,060,000.00</w:t>
            </w:r>
          </w:p>
        </w:tc>
      </w:tr>
      <w:tr>
        <w:trPr>
          <w:trHeight w:val="336" w:hRule="exact"/>
        </w:trPr>
        <w:tc>
          <w:tcPr>
            <w:tcW w:w="2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长期应收款</w:t>
            </w:r>
          </w:p>
        </w:tc>
        <w:tc>
          <w:tcPr>
            <w:tcW w:w="2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843" w:type="dxa"/>
            <w:tcBorders>
              <w:top w:val="single" w:sz="2" w:space="0" w:color="000000"/>
              <w:left w:val="single" w:sz="2" w:space="0" w:color="000000"/>
              <w:bottom w:val="single" w:sz="2" w:space="0" w:color="000000"/>
              <w:right w:val="single" w:sz="2" w:space="0" w:color="000000"/>
            </w:tcBorders>
          </w:tcPr>
          <w:p>
            <w:pP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长期应收款</w:t>
            </w:r>
          </w:p>
        </w:tc>
        <w:tc>
          <w:tcPr>
            <w:tcW w:w="3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844" w:type="dxa"/>
            <w:tcBorders>
              <w:top w:val="single" w:sz="2" w:space="0" w:color="000000"/>
              <w:left w:val="single" w:sz="2" w:space="0" w:color="000000"/>
              <w:bottom w:val="single" w:sz="2" w:space="0" w:color="000000"/>
              <w:right w:val="single" w:sz="2" w:space="0" w:color="000000"/>
            </w:tcBorders>
          </w:tcPr>
          <w:p>
            <w:pPr/>
          </w:p>
        </w:tc>
      </w:tr>
      <w:tr>
        <w:trPr>
          <w:trHeight w:val="649" w:hRule="exact"/>
        </w:trPr>
        <w:tc>
          <w:tcPr>
            <w:tcW w:w="2694"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21"/>
              <w:ind w:left="623" w:right="83" w:hanging="54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2550"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21"/>
              <w:ind w:left="1001" w:right="11" w:hanging="99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w:t>
            </w:r>
          </w:p>
        </w:tc>
        <w:tc>
          <w:tcPr>
            <w:tcW w:w="1843" w:type="dxa"/>
            <w:tcBorders>
              <w:top w:val="single" w:sz="2" w:space="0" w:color="000000"/>
              <w:left w:val="single" w:sz="2" w:space="0" w:color="000000"/>
              <w:bottom w:val="single" w:sz="2" w:space="0" w:color="000000"/>
              <w:right w:val="single" w:sz="2" w:space="0" w:color="000000"/>
            </w:tcBorders>
          </w:tcPr>
          <w:p>
            <w:pP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交易性金融负债</w:t>
            </w:r>
          </w:p>
        </w:tc>
        <w:tc>
          <w:tcPr>
            <w:tcW w:w="3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以公允价值计量且其变动计入当期损益</w:t>
            </w:r>
          </w:p>
        </w:tc>
        <w:tc>
          <w:tcPr>
            <w:tcW w:w="1844" w:type="dxa"/>
            <w:tcBorders>
              <w:top w:val="single" w:sz="2" w:space="0" w:color="000000"/>
              <w:left w:val="single" w:sz="2" w:space="0" w:color="000000"/>
              <w:bottom w:val="single" w:sz="2" w:space="0" w:color="000000"/>
              <w:right w:val="single" w:sz="2" w:space="0" w:color="000000"/>
            </w:tcBorders>
          </w:tcPr>
          <w:p>
            <w:pPr/>
          </w:p>
        </w:tc>
      </w:tr>
      <w:tr>
        <w:trPr>
          <w:trHeight w:val="649" w:hRule="exact"/>
        </w:trPr>
        <w:tc>
          <w:tcPr>
            <w:tcW w:w="2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衍生金融负债</w:t>
            </w:r>
          </w:p>
        </w:tc>
        <w:tc>
          <w:tcPr>
            <w:tcW w:w="2550"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21"/>
              <w:ind w:left="1001" w:right="11" w:hanging="99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w:t>
            </w:r>
          </w:p>
        </w:tc>
        <w:tc>
          <w:tcPr>
            <w:tcW w:w="1843" w:type="dxa"/>
            <w:tcBorders>
              <w:top w:val="single" w:sz="2" w:space="0" w:color="000000"/>
              <w:left w:val="single" w:sz="2" w:space="0" w:color="000000"/>
              <w:bottom w:val="single" w:sz="2" w:space="0" w:color="000000"/>
              <w:right w:val="single" w:sz="2" w:space="0" w:color="000000"/>
            </w:tcBorders>
          </w:tcPr>
          <w:p>
            <w:pP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衍生金融负债</w:t>
            </w:r>
          </w:p>
        </w:tc>
        <w:tc>
          <w:tcPr>
            <w:tcW w:w="3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以公允价值计量且其变动计入当期损益</w:t>
            </w:r>
          </w:p>
        </w:tc>
        <w:tc>
          <w:tcPr>
            <w:tcW w:w="1844" w:type="dxa"/>
            <w:tcBorders>
              <w:top w:val="single" w:sz="2" w:space="0" w:color="000000"/>
              <w:left w:val="single" w:sz="2" w:space="0" w:color="000000"/>
              <w:bottom w:val="single" w:sz="2" w:space="0" w:color="000000"/>
              <w:right w:val="single" w:sz="2" w:space="0" w:color="000000"/>
            </w:tcBorders>
          </w:tcPr>
          <w:p>
            <w:pPr/>
          </w:p>
        </w:tc>
      </w:tr>
    </w:tbl>
    <w:p>
      <w:pPr>
        <w:spacing w:after="0"/>
        <w:sectPr>
          <w:pgSz w:w="16840" w:h="11910" w:orient="landscape"/>
          <w:pgMar w:header="867" w:footer="978" w:top="1060" w:bottom="1160" w:left="1320" w:right="1100"/>
        </w:sectPr>
      </w:pPr>
    </w:p>
    <w:p>
      <w:pPr>
        <w:spacing w:line="20" w:lineRule="exact"/>
        <w:ind w:left="22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7"/>
          <w:szCs w:val="27"/>
        </w:rPr>
      </w:pPr>
    </w:p>
    <w:tbl>
      <w:tblPr>
        <w:tblW w:w="0" w:type="auto"/>
        <w:jc w:val="left"/>
        <w:tblInd w:w="115" w:type="dxa"/>
        <w:tblLayout w:type="fixed"/>
        <w:tblCellMar>
          <w:top w:w="0" w:type="dxa"/>
          <w:left w:w="0" w:type="dxa"/>
          <w:bottom w:w="0" w:type="dxa"/>
          <w:right w:w="0" w:type="dxa"/>
        </w:tblCellMar>
        <w:tblLook w:val="01E0"/>
      </w:tblPr>
      <w:tblGrid>
        <w:gridCol w:w="2836"/>
        <w:gridCol w:w="2550"/>
        <w:gridCol w:w="1843"/>
        <w:gridCol w:w="1986"/>
        <w:gridCol w:w="3260"/>
        <w:gridCol w:w="1724"/>
      </w:tblGrid>
      <w:tr>
        <w:trPr>
          <w:trHeight w:val="337" w:hRule="exact"/>
        </w:trPr>
        <w:tc>
          <w:tcPr>
            <w:tcW w:w="7229" w:type="dxa"/>
            <w:gridSpan w:val="3"/>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6971" w:type="dxa"/>
            <w:gridSpan w:val="3"/>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right="11"/>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337" w:hRule="exact"/>
        </w:trPr>
        <w:tc>
          <w:tcPr>
            <w:tcW w:w="2836"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550"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left="911"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843"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left="55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986"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3260"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724"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left="5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37" w:hRule="exact"/>
        </w:trPr>
        <w:tc>
          <w:tcPr>
            <w:tcW w:w="2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2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11"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354"/>
              <w:jc w:val="right"/>
              <w:rPr>
                <w:rFonts w:ascii="Times New Roman" w:hAnsi="Times New Roman" w:cs="Times New Roman" w:eastAsia="Times New Roman" w:hint="default"/>
                <w:sz w:val="18"/>
                <w:szCs w:val="18"/>
              </w:rPr>
            </w:pPr>
            <w:r>
              <w:rPr>
                <w:rFonts w:ascii="Times New Roman"/>
                <w:spacing w:val="-1"/>
                <w:sz w:val="18"/>
              </w:rPr>
              <w:t>338,506,068.33</w:t>
            </w: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3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7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294"/>
              <w:jc w:val="right"/>
              <w:rPr>
                <w:rFonts w:ascii="Times New Roman" w:hAnsi="Times New Roman" w:cs="Times New Roman" w:eastAsia="Times New Roman" w:hint="default"/>
                <w:sz w:val="18"/>
                <w:szCs w:val="18"/>
              </w:rPr>
            </w:pPr>
            <w:r>
              <w:rPr>
                <w:rFonts w:ascii="Times New Roman"/>
                <w:spacing w:val="-1"/>
                <w:sz w:val="18"/>
              </w:rPr>
              <w:t>338,506,068.33</w:t>
            </w:r>
          </w:p>
        </w:tc>
      </w:tr>
      <w:tr>
        <w:trPr>
          <w:trHeight w:val="649" w:hRule="exact"/>
        </w:trPr>
        <w:tc>
          <w:tcPr>
            <w:tcW w:w="2836"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21"/>
              <w:ind w:left="784" w:right="64" w:hanging="72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2550"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21"/>
              <w:ind w:left="1001" w:right="11" w:hanging="99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w:t>
            </w:r>
          </w:p>
        </w:tc>
        <w:tc>
          <w:tcPr>
            <w:tcW w:w="1843" w:type="dxa"/>
            <w:tcBorders>
              <w:top w:val="single" w:sz="2" w:space="0" w:color="000000"/>
              <w:left w:val="single" w:sz="2" w:space="0" w:color="000000"/>
              <w:bottom w:val="single" w:sz="2" w:space="0" w:color="000000"/>
              <w:right w:val="single" w:sz="2" w:space="0" w:color="000000"/>
            </w:tcBorders>
          </w:tcPr>
          <w:p>
            <w:pP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交易性金融资产</w:t>
            </w:r>
          </w:p>
        </w:tc>
        <w:tc>
          <w:tcPr>
            <w:tcW w:w="3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以公允价值计量且其变动计入当期损益</w:t>
            </w:r>
          </w:p>
        </w:tc>
        <w:tc>
          <w:tcPr>
            <w:tcW w:w="1724" w:type="dxa"/>
            <w:tcBorders>
              <w:top w:val="single" w:sz="2" w:space="0" w:color="000000"/>
              <w:left w:val="single" w:sz="2" w:space="0" w:color="000000"/>
              <w:bottom w:val="single" w:sz="2" w:space="0" w:color="000000"/>
              <w:right w:val="single" w:sz="2" w:space="0" w:color="000000"/>
            </w:tcBorders>
          </w:tcPr>
          <w:p>
            <w:pPr/>
          </w:p>
        </w:tc>
      </w:tr>
      <w:tr>
        <w:trPr>
          <w:trHeight w:val="649" w:hRule="exact"/>
        </w:trPr>
        <w:tc>
          <w:tcPr>
            <w:tcW w:w="2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衍生金融资产</w:t>
            </w:r>
          </w:p>
        </w:tc>
        <w:tc>
          <w:tcPr>
            <w:tcW w:w="2550"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21"/>
              <w:ind w:left="1001" w:right="11" w:hanging="99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3,402,000.00</w:t>
            </w: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衍生金融资产</w:t>
            </w:r>
          </w:p>
        </w:tc>
        <w:tc>
          <w:tcPr>
            <w:tcW w:w="3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以公允价值计量且其变动计入当期损益</w:t>
            </w:r>
          </w:p>
        </w:tc>
        <w:tc>
          <w:tcPr>
            <w:tcW w:w="17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384"/>
              <w:jc w:val="right"/>
              <w:rPr>
                <w:rFonts w:ascii="Times New Roman" w:hAnsi="Times New Roman" w:cs="Times New Roman" w:eastAsia="Times New Roman" w:hint="default"/>
                <w:sz w:val="18"/>
                <w:szCs w:val="18"/>
              </w:rPr>
            </w:pPr>
            <w:r>
              <w:rPr>
                <w:rFonts w:ascii="Times New Roman"/>
                <w:spacing w:val="-1"/>
                <w:sz w:val="18"/>
              </w:rPr>
              <w:t>3,402,000.00</w:t>
            </w:r>
          </w:p>
        </w:tc>
      </w:tr>
      <w:tr>
        <w:trPr>
          <w:trHeight w:val="337" w:hRule="exact"/>
        </w:trPr>
        <w:tc>
          <w:tcPr>
            <w:tcW w:w="2836"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2550"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843"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202,000.00</w:t>
            </w: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3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7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left="454" w:right="0"/>
              <w:jc w:val="left"/>
              <w:rPr>
                <w:rFonts w:ascii="Times New Roman" w:hAnsi="Times New Roman" w:cs="Times New Roman" w:eastAsia="Times New Roman" w:hint="default"/>
                <w:sz w:val="18"/>
                <w:szCs w:val="18"/>
              </w:rPr>
            </w:pPr>
            <w:r>
              <w:rPr>
                <w:rFonts w:ascii="Times New Roman"/>
                <w:sz w:val="18"/>
              </w:rPr>
              <w:t>202,000.00</w:t>
            </w:r>
          </w:p>
        </w:tc>
      </w:tr>
      <w:tr>
        <w:trPr>
          <w:trHeight w:val="649" w:hRule="exact"/>
        </w:trPr>
        <w:tc>
          <w:tcPr>
            <w:tcW w:w="2836" w:type="dxa"/>
            <w:vMerge/>
            <w:tcBorders>
              <w:left w:val="single" w:sz="2" w:space="0" w:color="000000"/>
              <w:bottom w:val="single" w:sz="2" w:space="0" w:color="000000"/>
              <w:right w:val="single" w:sz="2" w:space="0" w:color="000000"/>
            </w:tcBorders>
          </w:tcPr>
          <w:p>
            <w:pPr/>
          </w:p>
        </w:tc>
        <w:tc>
          <w:tcPr>
            <w:tcW w:w="2550" w:type="dxa"/>
            <w:vMerge/>
            <w:tcBorders>
              <w:left w:val="single" w:sz="2" w:space="0" w:color="000000"/>
              <w:bottom w:val="single" w:sz="2" w:space="0" w:color="000000"/>
              <w:right w:val="single" w:sz="2" w:space="0" w:color="000000"/>
            </w:tcBorders>
          </w:tcPr>
          <w:p>
            <w:pPr/>
          </w:p>
        </w:tc>
        <w:tc>
          <w:tcPr>
            <w:tcW w:w="1843" w:type="dxa"/>
            <w:vMerge/>
            <w:tcBorders>
              <w:left w:val="single" w:sz="2" w:space="0" w:color="000000"/>
              <w:bottom w:val="single" w:sz="2" w:space="0" w:color="000000"/>
              <w:right w:val="single" w:sz="2" w:space="0" w:color="000000"/>
            </w:tcBorders>
          </w:tcPr>
          <w:p>
            <w:pP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应收款项融资</w:t>
            </w:r>
          </w:p>
        </w:tc>
        <w:tc>
          <w:tcPr>
            <w:tcW w:w="3260"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20"/>
              <w:ind w:left="1537" w:right="6" w:hanging="1530"/>
              <w:jc w:val="left"/>
              <w:rPr>
                <w:rFonts w:ascii="宋体" w:hAnsi="宋体" w:cs="宋体" w:eastAsia="宋体" w:hint="default"/>
                <w:sz w:val="18"/>
                <w:szCs w:val="18"/>
              </w:rPr>
            </w:pPr>
            <w:r>
              <w:rPr>
                <w:rFonts w:ascii="宋体" w:hAnsi="宋体" w:cs="宋体" w:eastAsia="宋体" w:hint="default"/>
                <w:sz w:val="18"/>
                <w:szCs w:val="18"/>
              </w:rPr>
              <w:t>以公允价值计量且其变动计入其他综合收 益</w:t>
            </w:r>
          </w:p>
        </w:tc>
        <w:tc>
          <w:tcPr>
            <w:tcW w:w="1724" w:type="dxa"/>
            <w:tcBorders>
              <w:top w:val="single" w:sz="2" w:space="0" w:color="000000"/>
              <w:left w:val="single" w:sz="2" w:space="0" w:color="000000"/>
              <w:bottom w:val="single" w:sz="2" w:space="0" w:color="000000"/>
              <w:right w:val="single" w:sz="2" w:space="0" w:color="000000"/>
            </w:tcBorders>
          </w:tcPr>
          <w:p>
            <w:pPr/>
          </w:p>
        </w:tc>
      </w:tr>
      <w:tr>
        <w:trPr>
          <w:trHeight w:val="337" w:hRule="exact"/>
        </w:trPr>
        <w:tc>
          <w:tcPr>
            <w:tcW w:w="2836"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550"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843"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356" w:right="0"/>
              <w:jc w:val="left"/>
              <w:rPr>
                <w:rFonts w:ascii="Times New Roman" w:hAnsi="Times New Roman" w:cs="Times New Roman" w:eastAsia="Times New Roman" w:hint="default"/>
                <w:sz w:val="18"/>
                <w:szCs w:val="18"/>
              </w:rPr>
            </w:pPr>
            <w:r>
              <w:rPr>
                <w:rFonts w:ascii="Times New Roman"/>
                <w:sz w:val="18"/>
              </w:rPr>
              <w:t>308,435,199.25</w:t>
            </w: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7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294"/>
              <w:jc w:val="right"/>
              <w:rPr>
                <w:rFonts w:ascii="Times New Roman" w:hAnsi="Times New Roman" w:cs="Times New Roman" w:eastAsia="Times New Roman" w:hint="default"/>
                <w:sz w:val="18"/>
                <w:szCs w:val="18"/>
              </w:rPr>
            </w:pPr>
            <w:r>
              <w:rPr>
                <w:rFonts w:ascii="Times New Roman"/>
                <w:spacing w:val="-1"/>
                <w:sz w:val="18"/>
              </w:rPr>
              <w:t>308,435,199.25</w:t>
            </w:r>
          </w:p>
        </w:tc>
      </w:tr>
      <w:tr>
        <w:trPr>
          <w:trHeight w:val="648" w:hRule="exact"/>
        </w:trPr>
        <w:tc>
          <w:tcPr>
            <w:tcW w:w="2836" w:type="dxa"/>
            <w:vMerge/>
            <w:tcBorders>
              <w:left w:val="single" w:sz="2" w:space="0" w:color="000000"/>
              <w:bottom w:val="single" w:sz="2" w:space="0" w:color="000000"/>
              <w:right w:val="single" w:sz="2" w:space="0" w:color="000000"/>
            </w:tcBorders>
          </w:tcPr>
          <w:p>
            <w:pPr/>
          </w:p>
        </w:tc>
        <w:tc>
          <w:tcPr>
            <w:tcW w:w="2550" w:type="dxa"/>
            <w:vMerge/>
            <w:tcBorders>
              <w:left w:val="single" w:sz="2" w:space="0" w:color="000000"/>
              <w:bottom w:val="single" w:sz="2" w:space="0" w:color="000000"/>
              <w:right w:val="single" w:sz="2" w:space="0" w:color="000000"/>
            </w:tcBorders>
          </w:tcPr>
          <w:p>
            <w:pPr/>
          </w:p>
        </w:tc>
        <w:tc>
          <w:tcPr>
            <w:tcW w:w="1843" w:type="dxa"/>
            <w:vMerge/>
            <w:tcBorders>
              <w:left w:val="single" w:sz="2" w:space="0" w:color="000000"/>
              <w:bottom w:val="single" w:sz="2" w:space="0" w:color="000000"/>
              <w:right w:val="single" w:sz="2" w:space="0" w:color="000000"/>
            </w:tcBorders>
          </w:tcPr>
          <w:p>
            <w:pP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应收款项融资</w:t>
            </w:r>
          </w:p>
        </w:tc>
        <w:tc>
          <w:tcPr>
            <w:tcW w:w="3260"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20"/>
              <w:ind w:left="1537" w:right="6" w:hanging="1530"/>
              <w:jc w:val="left"/>
              <w:rPr>
                <w:rFonts w:ascii="宋体" w:hAnsi="宋体" w:cs="宋体" w:eastAsia="宋体" w:hint="default"/>
                <w:sz w:val="18"/>
                <w:szCs w:val="18"/>
              </w:rPr>
            </w:pPr>
            <w:r>
              <w:rPr>
                <w:rFonts w:ascii="宋体" w:hAnsi="宋体" w:cs="宋体" w:eastAsia="宋体" w:hint="default"/>
                <w:sz w:val="18"/>
                <w:szCs w:val="18"/>
              </w:rPr>
              <w:t>以公允价值计量且其变动计入其他综合收 益</w:t>
            </w:r>
          </w:p>
        </w:tc>
        <w:tc>
          <w:tcPr>
            <w:tcW w:w="1724" w:type="dxa"/>
            <w:tcBorders>
              <w:top w:val="single" w:sz="2" w:space="0" w:color="000000"/>
              <w:left w:val="single" w:sz="2" w:space="0" w:color="000000"/>
              <w:bottom w:val="single" w:sz="2" w:space="0" w:color="000000"/>
              <w:right w:val="single" w:sz="2" w:space="0" w:color="000000"/>
            </w:tcBorders>
          </w:tcPr>
          <w:p>
            <w:pPr/>
          </w:p>
        </w:tc>
      </w:tr>
      <w:tr>
        <w:trPr>
          <w:trHeight w:val="337" w:hRule="exact"/>
        </w:trPr>
        <w:tc>
          <w:tcPr>
            <w:tcW w:w="2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911"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00"/>
              <w:jc w:val="right"/>
              <w:rPr>
                <w:rFonts w:ascii="Times New Roman" w:hAnsi="Times New Roman" w:cs="Times New Roman" w:eastAsia="Times New Roman" w:hint="default"/>
                <w:sz w:val="18"/>
                <w:szCs w:val="18"/>
              </w:rPr>
            </w:pPr>
            <w:r>
              <w:rPr>
                <w:rFonts w:ascii="Times New Roman"/>
                <w:spacing w:val="-1"/>
                <w:sz w:val="18"/>
              </w:rPr>
              <w:t>30,093,637.60</w:t>
            </w: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3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7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338"/>
              <w:jc w:val="right"/>
              <w:rPr>
                <w:rFonts w:ascii="Times New Roman" w:hAnsi="Times New Roman" w:cs="Times New Roman" w:eastAsia="Times New Roman" w:hint="default"/>
                <w:sz w:val="18"/>
                <w:szCs w:val="18"/>
              </w:rPr>
            </w:pPr>
            <w:r>
              <w:rPr>
                <w:rFonts w:ascii="Times New Roman"/>
                <w:spacing w:val="-1"/>
                <w:sz w:val="18"/>
              </w:rPr>
              <w:t>30,093,637.60</w:t>
            </w:r>
          </w:p>
        </w:tc>
      </w:tr>
      <w:tr>
        <w:trPr>
          <w:trHeight w:val="649" w:hRule="exact"/>
        </w:trPr>
        <w:tc>
          <w:tcPr>
            <w:tcW w:w="2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持有至到期投资</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（含其他流动资产）</w:t>
            </w:r>
          </w:p>
        </w:tc>
        <w:tc>
          <w:tcPr>
            <w:tcW w:w="2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911"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43" w:type="dxa"/>
            <w:tcBorders>
              <w:top w:val="single" w:sz="2" w:space="0" w:color="000000"/>
              <w:left w:val="single" w:sz="2" w:space="0" w:color="000000"/>
              <w:bottom w:val="single" w:sz="2" w:space="0" w:color="000000"/>
              <w:right w:val="single" w:sz="2" w:space="0" w:color="000000"/>
            </w:tcBorders>
          </w:tcPr>
          <w:p>
            <w:pP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债权投资</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（含其他流动资产）</w:t>
            </w:r>
          </w:p>
        </w:tc>
        <w:tc>
          <w:tcPr>
            <w:tcW w:w="3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724" w:type="dxa"/>
            <w:tcBorders>
              <w:top w:val="single" w:sz="2" w:space="0" w:color="000000"/>
              <w:left w:val="single" w:sz="2" w:space="0" w:color="000000"/>
              <w:bottom w:val="single" w:sz="2" w:space="0" w:color="000000"/>
              <w:right w:val="single" w:sz="2" w:space="0" w:color="000000"/>
            </w:tcBorders>
          </w:tcPr>
          <w:p>
            <w:pPr/>
          </w:p>
        </w:tc>
      </w:tr>
      <w:tr>
        <w:trPr>
          <w:trHeight w:val="649" w:hRule="exact"/>
        </w:trPr>
        <w:tc>
          <w:tcPr>
            <w:tcW w:w="2836"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69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p>
            <w:pPr>
              <w:pStyle w:val="TableParagraph"/>
              <w:spacing w:line="240" w:lineRule="auto" w:before="76"/>
              <w:ind w:left="604" w:right="0"/>
              <w:jc w:val="left"/>
              <w:rPr>
                <w:rFonts w:ascii="宋体" w:hAnsi="宋体" w:cs="宋体" w:eastAsia="宋体" w:hint="default"/>
                <w:sz w:val="18"/>
                <w:szCs w:val="18"/>
              </w:rPr>
            </w:pPr>
            <w:r>
              <w:rPr>
                <w:rFonts w:ascii="宋体" w:hAnsi="宋体" w:cs="宋体" w:eastAsia="宋体" w:hint="default"/>
                <w:sz w:val="18"/>
                <w:szCs w:val="18"/>
              </w:rPr>
              <w:t>（含其他流动资产）</w:t>
            </w:r>
          </w:p>
        </w:tc>
        <w:tc>
          <w:tcPr>
            <w:tcW w:w="2550"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281" w:right="11" w:hanging="270"/>
              <w:jc w:val="left"/>
              <w:rPr>
                <w:rFonts w:ascii="宋体" w:hAnsi="宋体" w:cs="宋体" w:eastAsia="宋体" w:hint="default"/>
                <w:sz w:val="18"/>
                <w:szCs w:val="18"/>
              </w:rPr>
            </w:pPr>
            <w:r>
              <w:rPr>
                <w:rFonts w:ascii="宋体" w:hAnsi="宋体" w:cs="宋体" w:eastAsia="宋体" w:hint="default"/>
                <w:sz w:val="18"/>
                <w:szCs w:val="18"/>
              </w:rPr>
              <w:t>以公允价值计量且其变动计入其 他综合收益（债务工具）</w:t>
            </w:r>
          </w:p>
        </w:tc>
        <w:tc>
          <w:tcPr>
            <w:tcW w:w="1843" w:type="dxa"/>
            <w:vMerge w:val="restart"/>
            <w:tcBorders>
              <w:top w:val="single" w:sz="2" w:space="0" w:color="000000"/>
              <w:left w:val="single" w:sz="2" w:space="0" w:color="000000"/>
              <w:right w:val="single" w:sz="2" w:space="0" w:color="000000"/>
            </w:tcBorders>
          </w:tcPr>
          <w:p>
            <w:pP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债权投资</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（含其他流动资产）</w:t>
            </w:r>
          </w:p>
        </w:tc>
        <w:tc>
          <w:tcPr>
            <w:tcW w:w="3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724" w:type="dxa"/>
            <w:tcBorders>
              <w:top w:val="single" w:sz="2" w:space="0" w:color="000000"/>
              <w:left w:val="single" w:sz="2" w:space="0" w:color="000000"/>
              <w:bottom w:val="single" w:sz="2" w:space="0" w:color="000000"/>
              <w:right w:val="single" w:sz="2" w:space="0" w:color="000000"/>
            </w:tcBorders>
          </w:tcPr>
          <w:p>
            <w:pPr/>
          </w:p>
        </w:tc>
      </w:tr>
      <w:tr>
        <w:trPr>
          <w:trHeight w:val="649" w:hRule="exact"/>
        </w:trPr>
        <w:tc>
          <w:tcPr>
            <w:tcW w:w="2836" w:type="dxa"/>
            <w:vMerge/>
            <w:tcBorders>
              <w:left w:val="single" w:sz="2" w:space="0" w:color="000000"/>
              <w:right w:val="single" w:sz="2" w:space="0" w:color="000000"/>
            </w:tcBorders>
          </w:tcPr>
          <w:p>
            <w:pPr/>
          </w:p>
        </w:tc>
        <w:tc>
          <w:tcPr>
            <w:tcW w:w="2550" w:type="dxa"/>
            <w:vMerge/>
            <w:tcBorders>
              <w:left w:val="single" w:sz="2" w:space="0" w:color="000000"/>
              <w:bottom w:val="single" w:sz="2" w:space="0" w:color="000000"/>
              <w:right w:val="single" w:sz="2" w:space="0" w:color="000000"/>
            </w:tcBorders>
          </w:tcPr>
          <w:p>
            <w:pPr/>
          </w:p>
        </w:tc>
        <w:tc>
          <w:tcPr>
            <w:tcW w:w="1843" w:type="dxa"/>
            <w:vMerge/>
            <w:tcBorders>
              <w:left w:val="single" w:sz="2" w:space="0" w:color="000000"/>
              <w:bottom w:val="single" w:sz="2" w:space="0" w:color="000000"/>
              <w:right w:val="single" w:sz="2" w:space="0" w:color="000000"/>
            </w:tcBorders>
          </w:tcPr>
          <w:p>
            <w:pP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其他债权投资</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（含其他流动资产）</w:t>
            </w:r>
          </w:p>
        </w:tc>
        <w:tc>
          <w:tcPr>
            <w:tcW w:w="3260"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20"/>
              <w:ind w:left="1537" w:right="6" w:hanging="1530"/>
              <w:jc w:val="left"/>
              <w:rPr>
                <w:rFonts w:ascii="宋体" w:hAnsi="宋体" w:cs="宋体" w:eastAsia="宋体" w:hint="default"/>
                <w:sz w:val="18"/>
                <w:szCs w:val="18"/>
              </w:rPr>
            </w:pPr>
            <w:r>
              <w:rPr>
                <w:rFonts w:ascii="宋体" w:hAnsi="宋体" w:cs="宋体" w:eastAsia="宋体" w:hint="default"/>
                <w:sz w:val="18"/>
                <w:szCs w:val="18"/>
              </w:rPr>
              <w:t>以公允价值计量且其变动计入其他综合收 益</w:t>
            </w:r>
          </w:p>
        </w:tc>
        <w:tc>
          <w:tcPr>
            <w:tcW w:w="1724" w:type="dxa"/>
            <w:tcBorders>
              <w:top w:val="single" w:sz="2" w:space="0" w:color="000000"/>
              <w:left w:val="single" w:sz="2" w:space="0" w:color="000000"/>
              <w:bottom w:val="single" w:sz="2" w:space="0" w:color="000000"/>
              <w:right w:val="single" w:sz="2" w:space="0" w:color="000000"/>
            </w:tcBorders>
          </w:tcPr>
          <w:p>
            <w:pPr/>
          </w:p>
        </w:tc>
      </w:tr>
      <w:tr>
        <w:trPr>
          <w:trHeight w:val="337" w:hRule="exact"/>
        </w:trPr>
        <w:tc>
          <w:tcPr>
            <w:tcW w:w="2836" w:type="dxa"/>
            <w:vMerge/>
            <w:tcBorders>
              <w:left w:val="single" w:sz="2" w:space="0" w:color="000000"/>
              <w:right w:val="single" w:sz="2" w:space="0" w:color="000000"/>
            </w:tcBorders>
          </w:tcPr>
          <w:p>
            <w:pPr/>
          </w:p>
        </w:tc>
        <w:tc>
          <w:tcPr>
            <w:tcW w:w="2550"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0"/>
              <w:ind w:left="245" w:right="11" w:hanging="234"/>
              <w:jc w:val="left"/>
              <w:rPr>
                <w:rFonts w:ascii="宋体" w:hAnsi="宋体" w:cs="宋体" w:eastAsia="宋体" w:hint="default"/>
                <w:sz w:val="18"/>
                <w:szCs w:val="18"/>
              </w:rPr>
            </w:pPr>
            <w:r>
              <w:rPr>
                <w:rFonts w:ascii="宋体" w:hAnsi="宋体" w:cs="宋体" w:eastAsia="宋体" w:hint="default"/>
                <w:sz w:val="18"/>
                <w:szCs w:val="18"/>
              </w:rPr>
              <w:t>以公允价值计量且其变动计入其 他综合收益</w:t>
            </w:r>
            <w:r>
              <w:rPr>
                <w:rFonts w:ascii="宋体" w:hAnsi="宋体" w:cs="宋体" w:eastAsia="宋体" w:hint="default"/>
                <w:spacing w:val="-19"/>
                <w:sz w:val="18"/>
                <w:szCs w:val="18"/>
              </w:rPr>
              <w:t> </w:t>
            </w:r>
            <w:r>
              <w:rPr>
                <w:rFonts w:ascii="宋体" w:hAnsi="宋体" w:cs="宋体" w:eastAsia="宋体" w:hint="default"/>
                <w:sz w:val="18"/>
                <w:szCs w:val="18"/>
              </w:rPr>
              <w:t>（权益工具）</w:t>
            </w:r>
          </w:p>
        </w:tc>
        <w:tc>
          <w:tcPr>
            <w:tcW w:w="1843" w:type="dxa"/>
            <w:vMerge w:val="restart"/>
            <w:tcBorders>
              <w:top w:val="single" w:sz="2" w:space="0" w:color="000000"/>
              <w:left w:val="single" w:sz="2" w:space="0" w:color="000000"/>
              <w:right w:val="single" w:sz="2" w:space="0" w:color="000000"/>
            </w:tcBorders>
          </w:tcPr>
          <w:p>
            <w:pP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交易性金融资产</w:t>
            </w:r>
          </w:p>
        </w:tc>
        <w:tc>
          <w:tcPr>
            <w:tcW w:w="3260" w:type="dxa"/>
            <w:vMerge w:val="restart"/>
            <w:tcBorders>
              <w:top w:val="single" w:sz="2" w:space="0" w:color="000000"/>
              <w:left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w:t>
            </w:r>
          </w:p>
        </w:tc>
        <w:tc>
          <w:tcPr>
            <w:tcW w:w="1724" w:type="dxa"/>
            <w:tcBorders>
              <w:top w:val="single" w:sz="2" w:space="0" w:color="000000"/>
              <w:left w:val="single" w:sz="2" w:space="0" w:color="000000"/>
              <w:bottom w:val="single" w:sz="2" w:space="0" w:color="000000"/>
              <w:right w:val="single" w:sz="2" w:space="0" w:color="000000"/>
            </w:tcBorders>
          </w:tcPr>
          <w:p>
            <w:pPr/>
          </w:p>
        </w:tc>
      </w:tr>
      <w:tr>
        <w:trPr>
          <w:trHeight w:val="336" w:hRule="exact"/>
        </w:trPr>
        <w:tc>
          <w:tcPr>
            <w:tcW w:w="2836" w:type="dxa"/>
            <w:vMerge/>
            <w:tcBorders>
              <w:left w:val="single" w:sz="2" w:space="0" w:color="000000"/>
              <w:right w:val="single" w:sz="2" w:space="0" w:color="000000"/>
            </w:tcBorders>
          </w:tcPr>
          <w:p>
            <w:pPr/>
          </w:p>
        </w:tc>
        <w:tc>
          <w:tcPr>
            <w:tcW w:w="2550" w:type="dxa"/>
            <w:vMerge/>
            <w:tcBorders>
              <w:left w:val="single" w:sz="2" w:space="0" w:color="000000"/>
              <w:right w:val="single" w:sz="2" w:space="0" w:color="000000"/>
            </w:tcBorders>
          </w:tcPr>
          <w:p>
            <w:pPr/>
          </w:p>
        </w:tc>
        <w:tc>
          <w:tcPr>
            <w:tcW w:w="1843" w:type="dxa"/>
            <w:vMerge/>
            <w:tcBorders>
              <w:left w:val="single" w:sz="2" w:space="0" w:color="000000"/>
              <w:right w:val="single" w:sz="2" w:space="0" w:color="000000"/>
            </w:tcBorders>
          </w:tcPr>
          <w:p>
            <w:pP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260" w:type="dxa"/>
            <w:vMerge/>
            <w:tcBorders>
              <w:left w:val="single" w:sz="2" w:space="0" w:color="000000"/>
              <w:bottom w:val="single" w:sz="2" w:space="0" w:color="000000"/>
              <w:right w:val="single" w:sz="2" w:space="0" w:color="000000"/>
            </w:tcBorders>
          </w:tcPr>
          <w:p>
            <w:pPr/>
          </w:p>
        </w:tc>
        <w:tc>
          <w:tcPr>
            <w:tcW w:w="1724" w:type="dxa"/>
            <w:tcBorders>
              <w:top w:val="single" w:sz="2" w:space="0" w:color="000000"/>
              <w:left w:val="single" w:sz="2" w:space="0" w:color="000000"/>
              <w:bottom w:val="single" w:sz="2" w:space="0" w:color="000000"/>
              <w:right w:val="single" w:sz="2" w:space="0" w:color="000000"/>
            </w:tcBorders>
          </w:tcPr>
          <w:p>
            <w:pPr/>
          </w:p>
        </w:tc>
      </w:tr>
      <w:tr>
        <w:trPr>
          <w:trHeight w:val="649" w:hRule="exact"/>
        </w:trPr>
        <w:tc>
          <w:tcPr>
            <w:tcW w:w="2836" w:type="dxa"/>
            <w:vMerge/>
            <w:tcBorders>
              <w:left w:val="single" w:sz="2" w:space="0" w:color="000000"/>
              <w:right w:val="single" w:sz="2" w:space="0" w:color="000000"/>
            </w:tcBorders>
          </w:tcPr>
          <w:p>
            <w:pPr/>
          </w:p>
        </w:tc>
        <w:tc>
          <w:tcPr>
            <w:tcW w:w="2550" w:type="dxa"/>
            <w:vMerge/>
            <w:tcBorders>
              <w:left w:val="single" w:sz="2" w:space="0" w:color="000000"/>
              <w:bottom w:val="single" w:sz="2" w:space="0" w:color="000000"/>
              <w:right w:val="single" w:sz="2" w:space="0" w:color="000000"/>
            </w:tcBorders>
          </w:tcPr>
          <w:p>
            <w:pPr/>
          </w:p>
        </w:tc>
        <w:tc>
          <w:tcPr>
            <w:tcW w:w="1843" w:type="dxa"/>
            <w:vMerge/>
            <w:tcBorders>
              <w:left w:val="single" w:sz="2" w:space="0" w:color="000000"/>
              <w:bottom w:val="single" w:sz="2" w:space="0" w:color="000000"/>
              <w:right w:val="single" w:sz="2" w:space="0" w:color="000000"/>
            </w:tcBorders>
          </w:tcPr>
          <w:p>
            <w:pP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260"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21"/>
              <w:ind w:left="1537" w:right="6" w:hanging="1530"/>
              <w:jc w:val="left"/>
              <w:rPr>
                <w:rFonts w:ascii="宋体" w:hAnsi="宋体" w:cs="宋体" w:eastAsia="宋体" w:hint="default"/>
                <w:sz w:val="18"/>
                <w:szCs w:val="18"/>
              </w:rPr>
            </w:pPr>
            <w:r>
              <w:rPr>
                <w:rFonts w:ascii="宋体" w:hAnsi="宋体" w:cs="宋体" w:eastAsia="宋体" w:hint="default"/>
                <w:sz w:val="18"/>
                <w:szCs w:val="18"/>
              </w:rPr>
              <w:t>以公允价值计量且其变动计入其他综合收 益</w:t>
            </w:r>
          </w:p>
        </w:tc>
        <w:tc>
          <w:tcPr>
            <w:tcW w:w="1724" w:type="dxa"/>
            <w:tcBorders>
              <w:top w:val="single" w:sz="2" w:space="0" w:color="000000"/>
              <w:left w:val="single" w:sz="2" w:space="0" w:color="000000"/>
              <w:bottom w:val="single" w:sz="2" w:space="0" w:color="000000"/>
              <w:right w:val="single" w:sz="2" w:space="0" w:color="000000"/>
            </w:tcBorders>
          </w:tcPr>
          <w:p>
            <w:pPr/>
          </w:p>
        </w:tc>
      </w:tr>
      <w:tr>
        <w:trPr>
          <w:trHeight w:val="337" w:hRule="exact"/>
        </w:trPr>
        <w:tc>
          <w:tcPr>
            <w:tcW w:w="2836" w:type="dxa"/>
            <w:vMerge/>
            <w:tcBorders>
              <w:left w:val="single" w:sz="2" w:space="0" w:color="000000"/>
              <w:right w:val="single" w:sz="2" w:space="0" w:color="000000"/>
            </w:tcBorders>
          </w:tcPr>
          <w:p>
            <w:pPr/>
          </w:p>
        </w:tc>
        <w:tc>
          <w:tcPr>
            <w:tcW w:w="2550"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以成本计量（权益工具）</w:t>
            </w:r>
          </w:p>
        </w:tc>
        <w:tc>
          <w:tcPr>
            <w:tcW w:w="1843"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356" w:right="0"/>
              <w:jc w:val="left"/>
              <w:rPr>
                <w:rFonts w:ascii="Times New Roman" w:hAnsi="Times New Roman" w:cs="Times New Roman" w:eastAsia="Times New Roman" w:hint="default"/>
                <w:sz w:val="18"/>
                <w:szCs w:val="18"/>
              </w:rPr>
            </w:pPr>
            <w:r>
              <w:rPr>
                <w:rFonts w:ascii="Times New Roman"/>
                <w:sz w:val="18"/>
              </w:rPr>
              <w:t>164,060,000.00</w:t>
            </w: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交易性金融资产</w:t>
            </w:r>
          </w:p>
        </w:tc>
        <w:tc>
          <w:tcPr>
            <w:tcW w:w="3260" w:type="dxa"/>
            <w:vMerge w:val="restart"/>
            <w:tcBorders>
              <w:top w:val="single" w:sz="2" w:space="0" w:color="000000"/>
              <w:left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w:t>
            </w:r>
          </w:p>
        </w:tc>
        <w:tc>
          <w:tcPr>
            <w:tcW w:w="17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294"/>
              <w:jc w:val="right"/>
              <w:rPr>
                <w:rFonts w:ascii="Times New Roman" w:hAnsi="Times New Roman" w:cs="Times New Roman" w:eastAsia="Times New Roman" w:hint="default"/>
                <w:sz w:val="18"/>
                <w:szCs w:val="18"/>
              </w:rPr>
            </w:pPr>
            <w:r>
              <w:rPr>
                <w:rFonts w:ascii="Times New Roman"/>
                <w:spacing w:val="-1"/>
                <w:sz w:val="18"/>
              </w:rPr>
              <w:t>146,000,000.00</w:t>
            </w:r>
          </w:p>
        </w:tc>
      </w:tr>
      <w:tr>
        <w:trPr>
          <w:trHeight w:val="337" w:hRule="exact"/>
        </w:trPr>
        <w:tc>
          <w:tcPr>
            <w:tcW w:w="2836" w:type="dxa"/>
            <w:vMerge/>
            <w:tcBorders>
              <w:left w:val="single" w:sz="2" w:space="0" w:color="000000"/>
              <w:right w:val="single" w:sz="2" w:space="0" w:color="000000"/>
            </w:tcBorders>
          </w:tcPr>
          <w:p>
            <w:pPr/>
          </w:p>
        </w:tc>
        <w:tc>
          <w:tcPr>
            <w:tcW w:w="2550" w:type="dxa"/>
            <w:vMerge/>
            <w:tcBorders>
              <w:left w:val="single" w:sz="2" w:space="0" w:color="000000"/>
              <w:right w:val="single" w:sz="2" w:space="0" w:color="000000"/>
            </w:tcBorders>
          </w:tcPr>
          <w:p>
            <w:pPr/>
          </w:p>
        </w:tc>
        <w:tc>
          <w:tcPr>
            <w:tcW w:w="1843" w:type="dxa"/>
            <w:vMerge/>
            <w:tcBorders>
              <w:left w:val="single" w:sz="2" w:space="0" w:color="000000"/>
              <w:right w:val="single" w:sz="2" w:space="0" w:color="000000"/>
            </w:tcBorders>
          </w:tcPr>
          <w:p>
            <w:pP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260" w:type="dxa"/>
            <w:vMerge/>
            <w:tcBorders>
              <w:left w:val="single" w:sz="2" w:space="0" w:color="000000"/>
              <w:bottom w:val="single" w:sz="2" w:space="0" w:color="000000"/>
              <w:right w:val="single" w:sz="2" w:space="0" w:color="000000"/>
            </w:tcBorders>
          </w:tcPr>
          <w:p>
            <w:pPr/>
          </w:p>
        </w:tc>
        <w:tc>
          <w:tcPr>
            <w:tcW w:w="1724" w:type="dxa"/>
            <w:tcBorders>
              <w:top w:val="single" w:sz="2" w:space="0" w:color="000000"/>
              <w:left w:val="single" w:sz="2" w:space="0" w:color="000000"/>
              <w:bottom w:val="single" w:sz="2" w:space="0" w:color="000000"/>
              <w:right w:val="single" w:sz="2" w:space="0" w:color="000000"/>
            </w:tcBorders>
          </w:tcPr>
          <w:p>
            <w:pPr/>
          </w:p>
        </w:tc>
      </w:tr>
      <w:tr>
        <w:trPr>
          <w:trHeight w:val="649" w:hRule="exact"/>
        </w:trPr>
        <w:tc>
          <w:tcPr>
            <w:tcW w:w="2836" w:type="dxa"/>
            <w:vMerge/>
            <w:tcBorders>
              <w:left w:val="single" w:sz="2" w:space="0" w:color="000000"/>
              <w:bottom w:val="single" w:sz="2" w:space="0" w:color="000000"/>
              <w:right w:val="single" w:sz="2" w:space="0" w:color="000000"/>
            </w:tcBorders>
          </w:tcPr>
          <w:p>
            <w:pPr/>
          </w:p>
        </w:tc>
        <w:tc>
          <w:tcPr>
            <w:tcW w:w="2550" w:type="dxa"/>
            <w:vMerge/>
            <w:tcBorders>
              <w:left w:val="single" w:sz="2" w:space="0" w:color="000000"/>
              <w:bottom w:val="single" w:sz="2" w:space="0" w:color="000000"/>
              <w:right w:val="single" w:sz="2" w:space="0" w:color="000000"/>
            </w:tcBorders>
          </w:tcPr>
          <w:p>
            <w:pPr/>
          </w:p>
        </w:tc>
        <w:tc>
          <w:tcPr>
            <w:tcW w:w="1843" w:type="dxa"/>
            <w:vMerge/>
            <w:tcBorders>
              <w:left w:val="single" w:sz="2" w:space="0" w:color="000000"/>
              <w:bottom w:val="single" w:sz="2" w:space="0" w:color="000000"/>
              <w:right w:val="single" w:sz="2" w:space="0" w:color="000000"/>
            </w:tcBorders>
          </w:tcPr>
          <w:p>
            <w:pP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260"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20"/>
              <w:ind w:left="1537" w:right="6" w:hanging="1530"/>
              <w:jc w:val="left"/>
              <w:rPr>
                <w:rFonts w:ascii="宋体" w:hAnsi="宋体" w:cs="宋体" w:eastAsia="宋体" w:hint="default"/>
                <w:sz w:val="18"/>
                <w:szCs w:val="18"/>
              </w:rPr>
            </w:pPr>
            <w:r>
              <w:rPr>
                <w:rFonts w:ascii="宋体" w:hAnsi="宋体" w:cs="宋体" w:eastAsia="宋体" w:hint="default"/>
                <w:sz w:val="18"/>
                <w:szCs w:val="18"/>
              </w:rPr>
              <w:t>以公允价值计量且其变动计入其他综合收 益</w:t>
            </w:r>
          </w:p>
        </w:tc>
        <w:tc>
          <w:tcPr>
            <w:tcW w:w="17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338"/>
              <w:jc w:val="right"/>
              <w:rPr>
                <w:rFonts w:ascii="Times New Roman" w:hAnsi="Times New Roman" w:cs="Times New Roman" w:eastAsia="Times New Roman" w:hint="default"/>
                <w:sz w:val="18"/>
                <w:szCs w:val="18"/>
              </w:rPr>
            </w:pPr>
            <w:r>
              <w:rPr>
                <w:rFonts w:ascii="Times New Roman"/>
                <w:spacing w:val="-1"/>
                <w:sz w:val="18"/>
              </w:rPr>
              <w:t>18,060,000.00</w:t>
            </w:r>
          </w:p>
        </w:tc>
      </w:tr>
    </w:tbl>
    <w:p>
      <w:pPr>
        <w:spacing w:after="0" w:line="240" w:lineRule="auto"/>
        <w:jc w:val="right"/>
        <w:rPr>
          <w:rFonts w:ascii="Times New Roman" w:hAnsi="Times New Roman" w:cs="Times New Roman" w:eastAsia="Times New Roman" w:hint="default"/>
          <w:sz w:val="18"/>
          <w:szCs w:val="18"/>
        </w:rPr>
        <w:sectPr>
          <w:headerReference w:type="default" r:id="rId35"/>
          <w:pgSz w:w="16840" w:h="11910" w:orient="landscape"/>
          <w:pgMar w:header="877" w:footer="978" w:top="1120" w:bottom="1240" w:left="1180" w:right="1220"/>
        </w:sectPr>
      </w:pPr>
    </w:p>
    <w:tbl>
      <w:tblPr>
        <w:tblW w:w="0" w:type="auto"/>
        <w:jc w:val="left"/>
        <w:tblInd w:w="115" w:type="dxa"/>
        <w:tblLayout w:type="fixed"/>
        <w:tblCellMar>
          <w:top w:w="0" w:type="dxa"/>
          <w:left w:w="0" w:type="dxa"/>
          <w:bottom w:w="0" w:type="dxa"/>
          <w:right w:w="0" w:type="dxa"/>
        </w:tblCellMar>
        <w:tblLook w:val="01E0"/>
      </w:tblPr>
      <w:tblGrid>
        <w:gridCol w:w="2836"/>
        <w:gridCol w:w="2550"/>
        <w:gridCol w:w="1843"/>
        <w:gridCol w:w="1986"/>
        <w:gridCol w:w="3260"/>
        <w:gridCol w:w="1724"/>
      </w:tblGrid>
      <w:tr>
        <w:trPr>
          <w:trHeight w:val="352" w:hRule="exact"/>
        </w:trPr>
        <w:tc>
          <w:tcPr>
            <w:tcW w:w="2836" w:type="dxa"/>
            <w:tcBorders>
              <w:top w:val="single" w:sz="13" w:space="0" w:color="000000"/>
              <w:left w:val="single" w:sz="2" w:space="0" w:color="000000"/>
              <w:bottom w:val="single" w:sz="2" w:space="0" w:color="000000"/>
              <w:right w:val="single" w:sz="2"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长期应收款</w:t>
            </w:r>
          </w:p>
        </w:tc>
        <w:tc>
          <w:tcPr>
            <w:tcW w:w="2550" w:type="dxa"/>
            <w:tcBorders>
              <w:top w:val="single" w:sz="13" w:space="0" w:color="000000"/>
              <w:left w:val="single" w:sz="2" w:space="0" w:color="000000"/>
              <w:bottom w:val="single" w:sz="2" w:space="0" w:color="000000"/>
              <w:right w:val="single" w:sz="2"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843" w:type="dxa"/>
            <w:tcBorders>
              <w:top w:val="single" w:sz="13" w:space="0" w:color="000000"/>
              <w:left w:val="single" w:sz="2" w:space="0" w:color="000000"/>
              <w:bottom w:val="single" w:sz="2" w:space="0" w:color="000000"/>
              <w:right w:val="single" w:sz="2" w:space="0" w:color="000000"/>
            </w:tcBorders>
          </w:tcPr>
          <w:p>
            <w:pPr/>
          </w:p>
        </w:tc>
        <w:tc>
          <w:tcPr>
            <w:tcW w:w="1986" w:type="dxa"/>
            <w:tcBorders>
              <w:top w:val="single" w:sz="13" w:space="0" w:color="000000"/>
              <w:left w:val="single" w:sz="2" w:space="0" w:color="000000"/>
              <w:bottom w:val="single" w:sz="2" w:space="0" w:color="000000"/>
              <w:right w:val="single" w:sz="2"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长期应收款</w:t>
            </w:r>
          </w:p>
        </w:tc>
        <w:tc>
          <w:tcPr>
            <w:tcW w:w="3260" w:type="dxa"/>
            <w:tcBorders>
              <w:top w:val="single" w:sz="13" w:space="0" w:color="000000"/>
              <w:left w:val="single" w:sz="2" w:space="0" w:color="000000"/>
              <w:bottom w:val="single" w:sz="2" w:space="0" w:color="000000"/>
              <w:right w:val="single" w:sz="2"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724" w:type="dxa"/>
            <w:tcBorders>
              <w:top w:val="single" w:sz="13" w:space="0" w:color="000000"/>
              <w:left w:val="single" w:sz="2" w:space="0" w:color="000000"/>
              <w:bottom w:val="single" w:sz="2" w:space="0" w:color="000000"/>
              <w:right w:val="single" w:sz="2" w:space="0" w:color="000000"/>
            </w:tcBorders>
          </w:tcPr>
          <w:p>
            <w:pPr/>
          </w:p>
        </w:tc>
      </w:tr>
      <w:tr>
        <w:trPr>
          <w:trHeight w:val="649" w:hRule="exact"/>
        </w:trPr>
        <w:tc>
          <w:tcPr>
            <w:tcW w:w="2836"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3"/>
              <w:ind w:left="784" w:right="64" w:hanging="72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2550"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3"/>
              <w:ind w:left="1001" w:right="11" w:hanging="99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w:t>
            </w:r>
          </w:p>
        </w:tc>
        <w:tc>
          <w:tcPr>
            <w:tcW w:w="1843" w:type="dxa"/>
            <w:tcBorders>
              <w:top w:val="single" w:sz="2" w:space="0" w:color="000000"/>
              <w:left w:val="single" w:sz="2" w:space="0" w:color="000000"/>
              <w:bottom w:val="single" w:sz="2" w:space="0" w:color="000000"/>
              <w:right w:val="single" w:sz="2" w:space="0" w:color="000000"/>
            </w:tcBorders>
          </w:tcPr>
          <w:p>
            <w:pP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1"/>
              <w:jc w:val="center"/>
              <w:rPr>
                <w:rFonts w:ascii="宋体" w:hAnsi="宋体" w:cs="宋体" w:eastAsia="宋体" w:hint="default"/>
                <w:sz w:val="18"/>
                <w:szCs w:val="18"/>
              </w:rPr>
            </w:pPr>
            <w:r>
              <w:rPr>
                <w:rFonts w:ascii="宋体" w:hAnsi="宋体" w:cs="宋体" w:eastAsia="宋体" w:hint="default"/>
                <w:sz w:val="18"/>
                <w:szCs w:val="18"/>
              </w:rPr>
              <w:t>交易性金融负债</w:t>
            </w:r>
          </w:p>
        </w:tc>
        <w:tc>
          <w:tcPr>
            <w:tcW w:w="3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1"/>
              <w:jc w:val="center"/>
              <w:rPr>
                <w:rFonts w:ascii="宋体" w:hAnsi="宋体" w:cs="宋体" w:eastAsia="宋体" w:hint="default"/>
                <w:sz w:val="18"/>
                <w:szCs w:val="18"/>
              </w:rPr>
            </w:pPr>
            <w:r>
              <w:rPr>
                <w:rFonts w:ascii="宋体" w:hAnsi="宋体" w:cs="宋体" w:eastAsia="宋体" w:hint="default"/>
                <w:sz w:val="18"/>
                <w:szCs w:val="18"/>
              </w:rPr>
              <w:t>以公允价值计量且其变动计入当期损益</w:t>
            </w:r>
          </w:p>
        </w:tc>
        <w:tc>
          <w:tcPr>
            <w:tcW w:w="1724" w:type="dxa"/>
            <w:tcBorders>
              <w:top w:val="single" w:sz="2" w:space="0" w:color="000000"/>
              <w:left w:val="single" w:sz="2" w:space="0" w:color="000000"/>
              <w:bottom w:val="single" w:sz="2" w:space="0" w:color="000000"/>
              <w:right w:val="single" w:sz="2" w:space="0" w:color="000000"/>
            </w:tcBorders>
          </w:tcPr>
          <w:p>
            <w:pPr/>
          </w:p>
        </w:tc>
      </w:tr>
      <w:tr>
        <w:trPr>
          <w:trHeight w:val="649" w:hRule="exact"/>
        </w:trPr>
        <w:tc>
          <w:tcPr>
            <w:tcW w:w="2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1"/>
              <w:jc w:val="center"/>
              <w:rPr>
                <w:rFonts w:ascii="宋体" w:hAnsi="宋体" w:cs="宋体" w:eastAsia="宋体" w:hint="default"/>
                <w:sz w:val="18"/>
                <w:szCs w:val="18"/>
              </w:rPr>
            </w:pPr>
            <w:r>
              <w:rPr>
                <w:rFonts w:ascii="宋体" w:hAnsi="宋体" w:cs="宋体" w:eastAsia="宋体" w:hint="default"/>
                <w:sz w:val="18"/>
                <w:szCs w:val="18"/>
              </w:rPr>
              <w:t>衍生金融负债</w:t>
            </w:r>
          </w:p>
        </w:tc>
        <w:tc>
          <w:tcPr>
            <w:tcW w:w="2550"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3"/>
              <w:ind w:left="1001" w:right="11" w:hanging="99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w:t>
            </w:r>
          </w:p>
        </w:tc>
        <w:tc>
          <w:tcPr>
            <w:tcW w:w="1843" w:type="dxa"/>
            <w:tcBorders>
              <w:top w:val="single" w:sz="2" w:space="0" w:color="000000"/>
              <w:left w:val="single" w:sz="2" w:space="0" w:color="000000"/>
              <w:bottom w:val="single" w:sz="2" w:space="0" w:color="000000"/>
              <w:right w:val="single" w:sz="2" w:space="0" w:color="000000"/>
            </w:tcBorders>
          </w:tcPr>
          <w:p>
            <w:pP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1"/>
              <w:jc w:val="center"/>
              <w:rPr>
                <w:rFonts w:ascii="宋体" w:hAnsi="宋体" w:cs="宋体" w:eastAsia="宋体" w:hint="default"/>
                <w:sz w:val="18"/>
                <w:szCs w:val="18"/>
              </w:rPr>
            </w:pPr>
            <w:r>
              <w:rPr>
                <w:rFonts w:ascii="宋体" w:hAnsi="宋体" w:cs="宋体" w:eastAsia="宋体" w:hint="default"/>
                <w:sz w:val="18"/>
                <w:szCs w:val="18"/>
              </w:rPr>
              <w:t>衍生金融负债</w:t>
            </w:r>
          </w:p>
        </w:tc>
        <w:tc>
          <w:tcPr>
            <w:tcW w:w="3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1"/>
              <w:jc w:val="center"/>
              <w:rPr>
                <w:rFonts w:ascii="宋体" w:hAnsi="宋体" w:cs="宋体" w:eastAsia="宋体" w:hint="default"/>
                <w:sz w:val="18"/>
                <w:szCs w:val="18"/>
              </w:rPr>
            </w:pPr>
            <w:r>
              <w:rPr>
                <w:rFonts w:ascii="宋体" w:hAnsi="宋体" w:cs="宋体" w:eastAsia="宋体" w:hint="default"/>
                <w:sz w:val="18"/>
                <w:szCs w:val="18"/>
              </w:rPr>
              <w:t>以公允价值计量且其变动计入当期损益</w:t>
            </w:r>
          </w:p>
        </w:tc>
        <w:tc>
          <w:tcPr>
            <w:tcW w:w="1724" w:type="dxa"/>
            <w:tcBorders>
              <w:top w:val="single" w:sz="2" w:space="0" w:color="000000"/>
              <w:left w:val="single" w:sz="2" w:space="0" w:color="000000"/>
              <w:bottom w:val="single" w:sz="2" w:space="0" w:color="000000"/>
              <w:right w:val="single" w:sz="2" w:space="0" w:color="000000"/>
            </w:tcBorders>
          </w:tcPr>
          <w:p>
            <w:pPr/>
          </w:p>
        </w:tc>
      </w:tr>
    </w:tbl>
    <w:p>
      <w:pPr>
        <w:spacing w:after="0"/>
        <w:sectPr>
          <w:headerReference w:type="default" r:id="rId36"/>
          <w:pgSz w:w="16840" w:h="11910" w:orient="landscape"/>
          <w:pgMar w:header="877" w:footer="978" w:top="1120" w:bottom="1160" w:left="1180" w:right="1220"/>
        </w:sectPr>
      </w:pPr>
    </w:p>
    <w:p>
      <w:pPr>
        <w:spacing w:line="240" w:lineRule="auto" w:before="0"/>
        <w:rPr>
          <w:rFonts w:ascii="Times New Roman" w:hAnsi="Times New Roman" w:cs="Times New Roman" w:eastAsia="Times New Roman" w:hint="default"/>
          <w:sz w:val="20"/>
          <w:szCs w:val="20"/>
        </w:rPr>
      </w:pPr>
    </w:p>
    <w:p>
      <w:pPr>
        <w:pStyle w:val="BodyText"/>
        <w:spacing w:line="386" w:lineRule="auto" w:before="153"/>
        <w:ind w:left="574" w:right="993" w:hanging="1"/>
        <w:jc w:val="left"/>
      </w:pPr>
      <w:r>
        <w:rPr/>
        <w:t>③执行《企业会计准则第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w:t>
      </w:r>
      <w:r>
        <w:rPr>
          <w:rFonts w:ascii="Times New Roman" w:hAnsi="Times New Roman" w:cs="Times New Roman" w:eastAsia="Times New Roman" w:hint="default"/>
        </w:rPr>
        <w:t>2019</w:t>
      </w:r>
      <w:r>
        <w:rPr/>
        <w:t>修订） </w:t>
      </w:r>
      <w:r>
        <w:rPr>
          <w:spacing w:val="-9"/>
        </w:rPr>
        <w:t>财政部于</w:t>
      </w:r>
      <w:r>
        <w:rPr>
          <w:rFonts w:ascii="Times New Roman" w:hAnsi="Times New Roman" w:cs="Times New Roman" w:eastAsia="Times New Roman" w:hint="default"/>
          <w:spacing w:val="-9"/>
        </w:rPr>
        <w:t>2019</w:t>
      </w:r>
      <w:r>
        <w:rPr>
          <w:spacing w:val="-9"/>
        </w:rPr>
        <w:t>年</w:t>
      </w:r>
      <w:r>
        <w:rPr>
          <w:rFonts w:ascii="Times New Roman" w:hAnsi="Times New Roman" w:cs="Times New Roman" w:eastAsia="Times New Roman" w:hint="default"/>
          <w:spacing w:val="-9"/>
        </w:rPr>
        <w:t>5</w:t>
      </w:r>
      <w:r>
        <w:rPr>
          <w:spacing w:val="-9"/>
        </w:rPr>
        <w:t>月</w:t>
      </w:r>
      <w:r>
        <w:rPr>
          <w:rFonts w:ascii="Times New Roman" w:hAnsi="Times New Roman" w:cs="Times New Roman" w:eastAsia="Times New Roman" w:hint="default"/>
          <w:spacing w:val="-9"/>
        </w:rPr>
        <w:t>9</w:t>
      </w:r>
      <w:r>
        <w:rPr>
          <w:spacing w:val="-9"/>
        </w:rPr>
        <w:t>日发布了《企业会计准则第</w:t>
      </w:r>
      <w:r>
        <w:rPr>
          <w:rFonts w:ascii="Times New Roman" w:hAnsi="Times New Roman" w:cs="Times New Roman" w:eastAsia="Times New Roman" w:hint="default"/>
          <w:spacing w:val="-9"/>
        </w:rPr>
        <w:t>7</w:t>
      </w:r>
      <w:r>
        <w:rPr>
          <w:spacing w:val="-9"/>
        </w:rPr>
        <w:t>号</w:t>
      </w:r>
      <w:r>
        <w:rPr>
          <w:rFonts w:ascii="Times New Roman" w:hAnsi="Times New Roman" w:cs="Times New Roman" w:eastAsia="Times New Roman" w:hint="default"/>
          <w:spacing w:val="-9"/>
        </w:rPr>
        <w:t>——</w:t>
      </w:r>
      <w:r>
        <w:rPr>
          <w:spacing w:val="-9"/>
        </w:rPr>
        <w:t>非货币性资产交换》（</w:t>
      </w:r>
      <w:r>
        <w:rPr>
          <w:rFonts w:ascii="Times New Roman" w:hAnsi="Times New Roman" w:cs="Times New Roman" w:eastAsia="Times New Roman" w:hint="default"/>
          <w:spacing w:val="-9"/>
        </w:rPr>
        <w:t>2019</w:t>
      </w:r>
      <w:r>
        <w:rPr>
          <w:spacing w:val="-9"/>
        </w:rPr>
        <w:t>修订）（财会〔</w:t>
      </w:r>
      <w:r>
        <w:rPr>
          <w:rFonts w:ascii="Times New Roman" w:hAnsi="Times New Roman" w:cs="Times New Roman" w:eastAsia="Times New Roman" w:hint="default"/>
          <w:spacing w:val="-9"/>
        </w:rPr>
        <w:t>2019</w:t>
      </w:r>
      <w:r>
        <w:rPr>
          <w:spacing w:val="-9"/>
        </w:rPr>
        <w:t>〕</w:t>
      </w:r>
    </w:p>
    <w:p>
      <w:pPr>
        <w:pStyle w:val="BodyText"/>
        <w:spacing w:line="386" w:lineRule="auto" w:before="35"/>
        <w:ind w:right="1131" w:hanging="1"/>
        <w:jc w:val="both"/>
      </w:pPr>
      <w:r>
        <w:rPr>
          <w:rFonts w:ascii="Times New Roman" w:hAnsi="Times New Roman" w:cs="Times New Roman" w:eastAsia="Times New Roman" w:hint="default"/>
          <w:spacing w:val="-1"/>
        </w:rPr>
        <w:t>8</w:t>
      </w:r>
      <w:r>
        <w:rPr>
          <w:spacing w:val="-1"/>
        </w:rPr>
        <w:t>号），修订后的准则自</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10</w:t>
      </w:r>
      <w:r>
        <w:rPr>
          <w:spacing w:val="-1"/>
        </w:rPr>
        <w:t>日起施行，对</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日至本准则施行日之间发生的非货币性资产</w:t>
      </w:r>
      <w:r>
        <w:rPr>
          <w:spacing w:val="-89"/>
        </w:rPr>
        <w:t> </w:t>
      </w:r>
      <w:r>
        <w:rPr>
          <w:spacing w:val="-89"/>
        </w:rPr>
      </w:r>
      <w:r>
        <w:rPr>
          <w:spacing w:val="-1"/>
        </w:rPr>
        <w:t>交换，应根据本准则进行调整。对</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日之前发生的非货币性资产交换，不需要按照本准则的规定</w:t>
      </w:r>
      <w:r>
        <w:rPr>
          <w:spacing w:val="-87"/>
        </w:rPr>
        <w:t> </w:t>
      </w:r>
      <w:r>
        <w:rPr>
          <w:spacing w:val="-87"/>
        </w:rPr>
      </w:r>
      <w:r>
        <w:rPr/>
        <w:t>进行追溯调整。本公司执行上述准则在本报告期内无重大影响。</w:t>
      </w:r>
    </w:p>
    <w:p>
      <w:pPr>
        <w:pStyle w:val="BodyText"/>
        <w:spacing w:line="386" w:lineRule="auto" w:before="65"/>
        <w:ind w:left="574" w:right="1113"/>
        <w:jc w:val="left"/>
        <w:rPr>
          <w:rFonts w:ascii="Times New Roman" w:hAnsi="Times New Roman" w:cs="Times New Roman" w:eastAsia="Times New Roman" w:hint="default"/>
        </w:rPr>
      </w:pPr>
      <w:r>
        <w:rPr/>
        <w:t>④执行《企业会计准则第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w:t>
      </w:r>
      <w:r>
        <w:rPr>
          <w:rFonts w:ascii="Times New Roman" w:hAnsi="Times New Roman" w:cs="Times New Roman" w:eastAsia="Times New Roman" w:hint="default"/>
        </w:rPr>
        <w:t>2019</w:t>
      </w:r>
      <w:r>
        <w:rPr/>
        <w:t>修订） </w:t>
      </w:r>
      <w:r>
        <w:rPr>
          <w:spacing w:val="-1"/>
        </w:rPr>
        <w:t>财政部于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16</w:t>
      </w:r>
      <w:r>
        <w:rPr>
          <w:spacing w:val="-1"/>
        </w:rPr>
        <w:t>日发布了《企业会计准则第</w:t>
      </w:r>
      <w:r>
        <w:rPr>
          <w:rFonts w:ascii="Times New Roman" w:hAnsi="Times New Roman" w:cs="Times New Roman" w:eastAsia="Times New Roman" w:hint="default"/>
          <w:spacing w:val="-1"/>
        </w:rPr>
        <w:t>12</w:t>
      </w:r>
      <w:r>
        <w:rPr>
          <w:spacing w:val="-1"/>
        </w:rPr>
        <w:t>号</w:t>
      </w:r>
      <w:r>
        <w:rPr>
          <w:rFonts w:ascii="Times New Roman" w:hAnsi="Times New Roman" w:cs="Times New Roman" w:eastAsia="Times New Roman" w:hint="default"/>
          <w:spacing w:val="-1"/>
        </w:rPr>
        <w:t>——</w:t>
      </w:r>
      <w:r>
        <w:rPr>
          <w:spacing w:val="-1"/>
        </w:rPr>
        <w:t>债务重组》（</w:t>
      </w:r>
      <w:r>
        <w:rPr>
          <w:rFonts w:ascii="Times New Roman" w:hAnsi="Times New Roman" w:cs="Times New Roman" w:eastAsia="Times New Roman" w:hint="default"/>
          <w:spacing w:val="-1"/>
        </w:rPr>
        <w:t>2019</w:t>
      </w:r>
      <w:r>
        <w:rPr>
          <w:spacing w:val="-1"/>
        </w:rPr>
        <w:t>修订）（财会〔</w:t>
      </w:r>
      <w:r>
        <w:rPr>
          <w:rFonts w:ascii="Times New Roman" w:hAnsi="Times New Roman" w:cs="Times New Roman" w:eastAsia="Times New Roman" w:hint="default"/>
          <w:spacing w:val="-1"/>
        </w:rPr>
        <w:t>2019</w:t>
      </w:r>
      <w:r>
        <w:rPr>
          <w:spacing w:val="-1"/>
        </w:rPr>
        <w:t>〕</w:t>
      </w:r>
      <w:r>
        <w:rPr>
          <w:rFonts w:ascii="Times New Roman" w:hAnsi="Times New Roman" w:cs="Times New Roman" w:eastAsia="Times New Roman" w:hint="default"/>
          <w:spacing w:val="-1"/>
        </w:rPr>
        <w:t>9</w:t>
      </w:r>
    </w:p>
    <w:p>
      <w:pPr>
        <w:pStyle w:val="BodyText"/>
        <w:spacing w:line="386" w:lineRule="auto" w:before="35"/>
        <w:ind w:right="1126"/>
        <w:jc w:val="both"/>
      </w:pPr>
      <w:r>
        <w:rPr/>
        <w:t>号），修订后的准则自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日起施行，对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日至本准则施行日之间发生的债务重组，应</w:t>
      </w:r>
      <w:r>
        <w:rPr>
          <w:spacing w:val="-37"/>
        </w:rPr>
        <w:t> </w:t>
      </w:r>
      <w:r>
        <w:rPr>
          <w:spacing w:val="-37"/>
        </w:rPr>
      </w:r>
      <w:r>
        <w:rPr>
          <w:spacing w:val="-1"/>
        </w:rPr>
        <w:t>根据本准则进行调整。对</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日之前发生的债务重组，不需要按照本准则的规定进行追溯调整。本</w:t>
      </w:r>
      <w:r>
        <w:rPr>
          <w:spacing w:val="-87"/>
        </w:rPr>
        <w:t> </w:t>
      </w:r>
      <w:r>
        <w:rPr>
          <w:spacing w:val="-87"/>
        </w:rPr>
      </w:r>
      <w:r>
        <w:rPr/>
        <w:t>公司执行上述准则在本报告期内无重大影响。</w:t>
      </w:r>
    </w:p>
    <w:p>
      <w:pPr>
        <w:spacing w:line="240" w:lineRule="auto" w:before="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7"/>
        <w:rPr>
          <w:rFonts w:ascii="宋体" w:hAnsi="宋体" w:cs="宋体" w:eastAsia="宋体" w:hint="default"/>
          <w:b/>
          <w:bCs/>
          <w:sz w:val="32"/>
          <w:szCs w:val="32"/>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t>年起执行新金融工具准则、新收入准则或新租赁准则调整执行当年年初财务报表相关项目情况</w:t>
      </w:r>
      <w:r>
        <w:rPr>
          <w:b w:val="0"/>
          <w:bCs w:val="0"/>
        </w:rPr>
      </w:r>
    </w:p>
    <w:p>
      <w:pPr>
        <w:spacing w:line="240" w:lineRule="auto" w:before="8"/>
        <w:rPr>
          <w:rFonts w:ascii="宋体" w:hAnsi="宋体" w:cs="宋体" w:eastAsia="宋体" w:hint="default"/>
          <w:b/>
          <w:bCs/>
          <w:sz w:val="32"/>
          <w:szCs w:val="32"/>
        </w:rPr>
      </w:pPr>
    </w:p>
    <w:p>
      <w:pPr>
        <w:spacing w:line="489" w:lineRule="auto" w:before="0"/>
        <w:ind w:left="154" w:right="91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合并资产负债表</w:t>
      </w:r>
    </w:p>
    <w:p>
      <w:pPr>
        <w:spacing w:before="8"/>
        <w:ind w:left="0" w:right="112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391,588,341.93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391,588,341.93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166,000,000.00</w:t>
            </w:r>
          </w:p>
        </w:tc>
      </w:tr>
      <w:tr>
        <w:trPr>
          <w:trHeight w:val="1026"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1"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3,402,000.00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3,402,000.00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417,074,051.07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417,074,051.07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24,666,239.60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24,666,239.60</w:t>
            </w: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7"/>
          <w:footerReference w:type="default" r:id="rId38"/>
          <w:pgSz w:w="11910" w:h="16840"/>
          <w:pgMar w:header="877" w:footer="982" w:top="1100" w:bottom="1180" w:left="980" w:right="0"/>
          <w:pgNumType w:start="211"/>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91"/>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62,538,708.35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62,538,708.35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234,624,298.05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234,624,298.05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1"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166,070,266.19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70,266.19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-166,000,000.00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1,301,065,905.19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1,301,065,905.19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18,060,000.00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87,973,749.69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87,973,749.69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91"/>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15,759,078.06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15,759,078.06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139,766,959.56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139,766,959.56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2,236,716.70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2,236,716.70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47,188,086.58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47,188,086.58</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7,416,010.95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7,416,010.95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469,584,839.57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469,584,839.57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1,865,329.43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1,865,329.43</w:t>
            </w: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18,319,672.16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18,102,924.65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-216,747.51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808,170,442.70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807,953,695.19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-216,747.51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2,109,236,347.89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2,109,019,600.38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-216,747.51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178,000,000.00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1"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46,928,368.15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46,928,368.15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168,650,977.27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168,650,977.27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95,169,282.10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95,169,282.10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9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9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14,890,284.36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14,890,284.36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47,764,363.47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47,764,363.47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8,165,131.37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8,165,131.37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1"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25,278,400.00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25,278,400.00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584,846,806.72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584,846,806.72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43,871,500.00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43,871,500.00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17,452,833.33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17,452,833.33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61,324,333.33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61,324,333.33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646,171,140.05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646,171,140.05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481,092,495.00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481,092,495.00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479,950,978.98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479,950,978.98</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-2,353,610.11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-2,353,610.11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45,103,948.56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45,103,948.56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436,431,760.94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438,568,623.54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2,136,862.60</w:t>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1,442,579,183.48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1,442,362,435.97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-216,747.51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20,486,024.36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20,486,024.36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1,463,065,207.84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1,462,848,460.33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-216,747.51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2,109,236,347.89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2,109,019,600.38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-216,747.51</w:t>
            </w:r>
          </w:p>
        </w:tc>
      </w:tr>
    </w:tbl>
    <w:p>
      <w:pPr>
        <w:spacing w:line="240" w:lineRule="auto" w:before="4"/>
        <w:rPr>
          <w:rFonts w:ascii="Times New Roman" w:hAnsi="Times New Roman" w:cs="Times New Roman" w:eastAsia="Times New Roman" w:hint="default"/>
          <w:sz w:val="7"/>
          <w:szCs w:val="7"/>
        </w:rPr>
      </w:pPr>
    </w:p>
    <w:p>
      <w:pPr>
        <w:spacing w:line="518" w:lineRule="auto" w:before="44"/>
        <w:ind w:left="154" w:right="9310" w:firstLine="0"/>
        <w:jc w:val="left"/>
        <w:rPr>
          <w:rFonts w:ascii="宋体" w:hAnsi="宋体" w:cs="宋体" w:eastAsia="宋体" w:hint="default"/>
          <w:sz w:val="18"/>
          <w:szCs w:val="18"/>
        </w:rPr>
      </w:pPr>
      <w:r>
        <w:rPr>
          <w:rFonts w:ascii="宋体" w:hAnsi="宋体" w:cs="宋体" w:eastAsia="宋体" w:hint="default"/>
          <w:sz w:val="18"/>
          <w:szCs w:val="18"/>
        </w:rPr>
        <w:t>调整情况说明 母公司资产负债表</w:t>
      </w:r>
    </w:p>
    <w:p>
      <w:pPr>
        <w:spacing w:line="221" w:lineRule="exact"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3"/>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调整数</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338,506,068.33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338,506,068.33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146,000,000.00</w:t>
            </w:r>
          </w:p>
        </w:tc>
      </w:tr>
      <w:tr>
        <w:trPr>
          <w:trHeight w:val="1026"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1"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3,402,000.00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3,402,000.00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308,435,199.25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308,435,199.25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15,328,657.92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15,328,657.92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30,093,637.60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30,093,637.60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224,188,444.91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224,188,444.91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1"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146,070,266.19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70,266.19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-146,000,000.00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1,066,226,274.20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1,066,226,274.20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18,060,000.00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644,825,749.69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644,825,749.69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15,759,078.06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15,759,078.06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113,862,863.74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113,862,863.74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2,236,716.70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2,236,716.70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24,529,767.62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24,529,767.62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4,373,754.04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4,373,754.04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1,865,329.43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1,865,329.43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12,503,236.74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12,286,489.23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-216,747.51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838,016,496.02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837,799,748.51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-216,747.51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1,904,242,770.22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1,904,026,022.71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-216,747.51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1"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46,928,368.15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46,928,368.15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171,119,375.99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171,119,375.99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83,765,253.14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83,765,253.14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102,142.20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102,142.20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24,507,191.68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24,507,191.68</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3,596,868.04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3,596,868.04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71"/>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71"/>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1"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25,278,400.00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25,278,400.00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525,297,599.20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525,297,599.20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43,871,500.00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43,871,500.00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16,132,833.33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16,132,833.33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60,004,333.33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60,004,333.33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585,301,932.53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585,301,932.53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481,092,495.00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481,092,495.00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479,950,978.98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479,950,978.98</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-2,353,610.11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-2,353,610.11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45,103,948.56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45,103,948.56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312,793,415.15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314,930,277.75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2,136,862.60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1,318,940,837.69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1,318,724,090.18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-216,747.51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1,904,242,770.22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1,904,026,022.71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-216,747.51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年起执行新金融工具准则或新租赁准则追溯调整前期比较数据说明</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spacing w:line="487" w:lineRule="auto" w:before="0"/>
        <w:ind w:left="154" w:right="896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9"/>
          <w:szCs w:val="29"/>
        </w:rPr>
      </w:pPr>
    </w:p>
    <w:p>
      <w:pPr>
        <w:spacing w:before="44"/>
        <w:ind w:left="0" w:right="1151" w:firstLine="0"/>
        <w:jc w:val="right"/>
        <w:rPr>
          <w:rFonts w:ascii="宋体" w:hAnsi="宋体" w:cs="宋体" w:eastAsia="宋体" w:hint="default"/>
          <w:sz w:val="18"/>
          <w:szCs w:val="18"/>
        </w:rPr>
      </w:pPr>
      <w:r>
        <w:rPr/>
        <w:pict>
          <v:shape style="position:absolute;margin-left:56.459999pt;margin-top:-16.448050pt;width:479.2pt;height:147.8pt;mso-position-horizontal-relative:page;mso-position-vertical-relative:paragraph;z-index:35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190"/>
                    <w:gridCol w:w="3190"/>
                  </w:tblGrid>
                  <w:tr>
                    <w:trPr>
                      <w:trHeight w:val="358" w:hRule="exact"/>
                    </w:trPr>
                    <w:tc>
                      <w:tcPr>
                        <w:tcW w:w="3189"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按税法规定计算的销售货物和应税劳务</w:t>
                        </w:r>
                      </w:p>
                    </w:tc>
                    <w:tc>
                      <w:tcPr>
                        <w:tcW w:w="3190"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31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95"/>
                          <w:jc w:val="left"/>
                          <w:rPr>
                            <w:rFonts w:ascii="宋体" w:hAnsi="宋体" w:cs="宋体" w:eastAsia="宋体" w:hint="default"/>
                            <w:sz w:val="18"/>
                            <w:szCs w:val="18"/>
                          </w:rPr>
                        </w:pPr>
                        <w:r>
                          <w:rPr>
                            <w:rFonts w:ascii="宋体" w:hAnsi="宋体" w:cs="宋体" w:eastAsia="宋体" w:hint="default"/>
                            <w:sz w:val="18"/>
                            <w:szCs w:val="18"/>
                          </w:rPr>
                          <w:t>收入为基础计算销项税额，在扣除当期 允许抵扣的进项税额后，差额部分为应</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3189"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交增值税</w:t>
                        </w:r>
                      </w:p>
                    </w:tc>
                    <w:tc>
                      <w:tcPr>
                        <w:tcW w:w="3190"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379"/>
        <w:gridCol w:w="3188"/>
      </w:tblGrid>
      <w:tr>
        <w:trPr>
          <w:trHeight w:val="402" w:hRule="exact"/>
        </w:trPr>
        <w:tc>
          <w:tcPr>
            <w:tcW w:w="6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新开普电子股份有限公司</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北京迪科远望科技有限公司</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上海树维信息科技有限公司</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福建新开普信息科技有限公司</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郑州新开普科技有限公司</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完美数联（杭州）科技有限公司</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北京华驰联创科技有限公司</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上海新开普志成信息科技有限公司</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北京希嘉创智教育科技有限公司</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30"/>
          <w:szCs w:val="30"/>
        </w:rPr>
      </w:pPr>
    </w:p>
    <w:p>
      <w:pPr>
        <w:pStyle w:val="BodyText"/>
        <w:spacing w:line="386" w:lineRule="auto" w:before="0"/>
        <w:ind w:left="574" w:right="1113" w:hanging="1"/>
        <w:jc w:val="left"/>
      </w:pPr>
      <w:r>
        <w:rPr/>
        <w:t>（</w:t>
      </w:r>
      <w:r>
        <w:rPr>
          <w:rFonts w:ascii="Times New Roman" w:hAnsi="Times New Roman" w:cs="Times New Roman" w:eastAsia="Times New Roman" w:hint="default"/>
        </w:rPr>
        <w:t>1</w:t>
      </w:r>
      <w:r>
        <w:rPr/>
        <w:t>）新开普及子公司享受的增值税优惠政策 </w:t>
      </w:r>
      <w:r>
        <w:rPr>
          <w:spacing w:val="-2"/>
        </w:rPr>
        <w:t>根据《关于软件产品增值税政策的通知》（财税</w:t>
      </w:r>
      <w:r>
        <w:rPr>
          <w:rFonts w:ascii="Times New Roman" w:hAnsi="Times New Roman" w:cs="Times New Roman" w:eastAsia="Times New Roman" w:hint="default"/>
          <w:spacing w:val="-2"/>
        </w:rPr>
        <w:t>[2011]100</w:t>
      </w:r>
      <w:r>
        <w:rPr>
          <w:spacing w:val="-2"/>
        </w:rPr>
        <w:t>号）规定：增值税一般纳税人销售自行开发</w:t>
      </w:r>
    </w:p>
    <w:p>
      <w:pPr>
        <w:pStyle w:val="BodyText"/>
        <w:spacing w:line="240" w:lineRule="auto" w:before="35"/>
        <w:ind w:right="1113"/>
        <w:jc w:val="left"/>
      </w:pPr>
      <w:r>
        <w:rPr/>
        <w:t>生产的软件产品，对其增值税实际税负超过</w:t>
      </w:r>
      <w:r>
        <w:rPr>
          <w:rFonts w:ascii="Times New Roman" w:hAnsi="Times New Roman" w:cs="Times New Roman" w:eastAsia="Times New Roman" w:hint="default"/>
        </w:rPr>
        <w:t>3%</w:t>
      </w:r>
      <w:r>
        <w:rPr/>
        <w:t>的部分实行即征即退政策。</w:t>
      </w:r>
    </w:p>
    <w:p>
      <w:pPr>
        <w:pStyle w:val="BodyText"/>
        <w:spacing w:line="240" w:lineRule="auto" w:before="177"/>
        <w:ind w:left="574" w:right="1113"/>
        <w:jc w:val="left"/>
      </w:pPr>
      <w:r>
        <w:rPr/>
        <w:t>（</w:t>
      </w:r>
      <w:r>
        <w:rPr>
          <w:rFonts w:ascii="Times New Roman" w:hAnsi="Times New Roman" w:cs="Times New Roman" w:eastAsia="Times New Roman" w:hint="default"/>
        </w:rPr>
        <w:t>2</w:t>
      </w:r>
      <w:r>
        <w:rPr/>
        <w:t>）新开普及子公司享受的企业所得税优惠政策</w:t>
      </w:r>
    </w:p>
    <w:p>
      <w:pPr>
        <w:pStyle w:val="BodyText"/>
        <w:spacing w:line="240" w:lineRule="auto" w:before="177"/>
        <w:ind w:left="574" w:right="993"/>
        <w:jc w:val="left"/>
      </w:pPr>
      <w:r>
        <w:rPr>
          <w:spacing w:val="14"/>
        </w:rPr>
        <w:t>①公司于</w:t>
      </w:r>
      <w:r>
        <w:rPr>
          <w:rFonts w:ascii="Times New Roman" w:hAnsi="Times New Roman" w:cs="Times New Roman" w:eastAsia="Times New Roman" w:hint="default"/>
          <w:spacing w:val="14"/>
        </w:rPr>
        <w:t>2017</w:t>
      </w:r>
      <w:r>
        <w:rPr>
          <w:spacing w:val="14"/>
        </w:rPr>
        <w:t>年</w:t>
      </w:r>
      <w:r>
        <w:rPr>
          <w:rFonts w:ascii="Times New Roman" w:hAnsi="Times New Roman" w:cs="Times New Roman" w:eastAsia="Times New Roman" w:hint="default"/>
          <w:spacing w:val="14"/>
        </w:rPr>
        <w:t>8</w:t>
      </w:r>
      <w:r>
        <w:rPr>
          <w:spacing w:val="14"/>
        </w:rPr>
        <w:t>月</w:t>
      </w:r>
      <w:r>
        <w:rPr>
          <w:rFonts w:ascii="Times New Roman" w:hAnsi="Times New Roman" w:cs="Times New Roman" w:eastAsia="Times New Roman" w:hint="default"/>
          <w:spacing w:val="14"/>
        </w:rPr>
        <w:t>29</w:t>
      </w:r>
      <w:r>
        <w:rPr>
          <w:spacing w:val="14"/>
        </w:rPr>
        <w:t>日被评为高新技术企业，</w:t>
      </w:r>
      <w:r>
        <w:rPr>
          <w:spacing w:val="-76"/>
        </w:rPr>
        <w:t> </w:t>
      </w:r>
      <w:r>
        <w:rPr>
          <w:spacing w:val="16"/>
        </w:rPr>
        <w:t>已办理《高新技术企业批准证书》</w:t>
      </w:r>
      <w:r>
        <w:rPr>
          <w:spacing w:val="-76"/>
        </w:rPr>
        <w:t> </w:t>
      </w:r>
      <w:r>
        <w:rPr>
          <w:spacing w:val="14"/>
        </w:rPr>
        <w:t>证书编号为</w:t>
      </w:r>
    </w:p>
    <w:p>
      <w:pPr>
        <w:pStyle w:val="BodyText"/>
        <w:spacing w:line="240" w:lineRule="auto" w:before="177"/>
        <w:ind w:right="1113"/>
        <w:jc w:val="left"/>
      </w:pPr>
      <w:r>
        <w:rPr>
          <w:rFonts w:ascii="Times New Roman" w:hAnsi="Times New Roman" w:cs="Times New Roman" w:eastAsia="Times New Roman" w:hint="default"/>
        </w:rPr>
        <w:t>GR201741000424</w:t>
      </w:r>
      <w:r>
        <w:rPr/>
        <w:t>，有效期三年，本年度按</w:t>
      </w:r>
      <w:r>
        <w:rPr>
          <w:rFonts w:ascii="Times New Roman" w:hAnsi="Times New Roman" w:cs="Times New Roman" w:eastAsia="Times New Roman" w:hint="default"/>
        </w:rPr>
        <w:t>15%</w:t>
      </w:r>
      <w:r>
        <w:rPr/>
        <w:t>税率征收企业所得税。</w:t>
      </w:r>
    </w:p>
    <w:p>
      <w:pPr>
        <w:pStyle w:val="BodyText"/>
        <w:spacing w:line="386" w:lineRule="auto" w:before="177"/>
        <w:ind w:right="1129" w:firstLine="420"/>
        <w:jc w:val="both"/>
      </w:pPr>
      <w:r>
        <w:rPr>
          <w:spacing w:val="-1"/>
        </w:rPr>
        <w:t>②公司全资子公司北京迪科远望科技有限公司于</w:t>
      </w:r>
      <w:r>
        <w:rPr>
          <w:rFonts w:ascii="Times New Roman" w:hAnsi="Times New Roman" w:cs="Times New Roman" w:eastAsia="Times New Roman" w:hint="default"/>
          <w:spacing w:val="-1"/>
        </w:rPr>
        <w:t>2017</w:t>
      </w:r>
      <w:r>
        <w:rPr>
          <w:spacing w:val="-1"/>
        </w:rPr>
        <w:t>年被北京市科学技术委员会、北京市财政局、北</w:t>
      </w:r>
      <w:r>
        <w:rPr/>
        <w:t> </w:t>
      </w:r>
      <w:r>
        <w:rPr>
          <w:spacing w:val="-3"/>
        </w:rPr>
        <w:t>京市国家税务局、北京市地方税务局认定为高新技术企业，证书编号</w:t>
      </w:r>
      <w:r>
        <w:rPr>
          <w:rFonts w:ascii="Times New Roman" w:hAnsi="Times New Roman" w:cs="Times New Roman" w:eastAsia="Times New Roman" w:hint="default"/>
          <w:spacing w:val="-3"/>
        </w:rPr>
        <w:t>GR201711001503</w:t>
      </w:r>
      <w:r>
        <w:rPr>
          <w:spacing w:val="-3"/>
        </w:rPr>
        <w:t>，有效期为三年，本</w:t>
      </w:r>
      <w:r>
        <w:rPr>
          <w:spacing w:val="-61"/>
        </w:rPr>
        <w:t> </w:t>
      </w:r>
      <w:r>
        <w:rPr>
          <w:spacing w:val="-61"/>
        </w:rPr>
      </w:r>
      <w:r>
        <w:rPr/>
        <w:t>年度按</w:t>
      </w:r>
      <w:r>
        <w:rPr>
          <w:rFonts w:ascii="Times New Roman" w:hAnsi="Times New Roman" w:cs="Times New Roman" w:eastAsia="Times New Roman" w:hint="default"/>
        </w:rPr>
        <w:t>15%</w:t>
      </w:r>
      <w:r>
        <w:rPr/>
        <w:t>税率征收企业所得税。</w:t>
      </w:r>
    </w:p>
    <w:p>
      <w:pPr>
        <w:pStyle w:val="BodyText"/>
        <w:spacing w:line="386" w:lineRule="auto" w:before="35"/>
        <w:ind w:right="993" w:firstLine="420"/>
        <w:jc w:val="left"/>
      </w:pPr>
      <w:r>
        <w:rPr/>
        <w:t>③公司全资子公司上海树维信息科技有限公司于</w:t>
      </w:r>
      <w:r>
        <w:rPr>
          <w:rFonts w:ascii="Times New Roman" w:hAnsi="Times New Roman" w:cs="Times New Roman" w:eastAsia="Times New Roman" w:hint="default"/>
        </w:rPr>
        <w:t>2017</w:t>
      </w:r>
      <w:r>
        <w:rPr/>
        <w:t>年被上海市科学技术委员会、上海市财政局、上 </w:t>
      </w:r>
      <w:r>
        <w:rPr>
          <w:spacing w:val="-5"/>
        </w:rPr>
        <w:t>海市国家税务局、上海市地方税务局认定为高新技术企业，高新技术企业批准证书编号为</w:t>
      </w:r>
      <w:r>
        <w:rPr>
          <w:rFonts w:ascii="Times New Roman" w:hAnsi="Times New Roman" w:cs="Times New Roman" w:eastAsia="Times New Roman" w:hint="default"/>
          <w:spacing w:val="-5"/>
        </w:rPr>
        <w:t>GR201731002658</w:t>
      </w:r>
      <w:r>
        <w:rPr>
          <w:spacing w:val="-5"/>
        </w:rPr>
        <w:t>，</w:t>
      </w:r>
      <w:r>
        <w:rPr>
          <w:spacing w:val="-53"/>
        </w:rPr>
        <w:t> </w:t>
      </w:r>
      <w:r>
        <w:rPr/>
        <w:t>有限期为三年，本年度按</w:t>
      </w:r>
      <w:r>
        <w:rPr>
          <w:rFonts w:ascii="Times New Roman" w:hAnsi="Times New Roman" w:cs="Times New Roman" w:eastAsia="Times New Roman" w:hint="default"/>
        </w:rPr>
        <w:t>15%</w:t>
      </w:r>
      <w:r>
        <w:rPr/>
        <w:t>税率征收企业所得税。</w:t>
      </w:r>
    </w:p>
    <w:p>
      <w:pPr>
        <w:spacing w:after="0" w:line="386"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386" w:lineRule="auto" w:before="35"/>
        <w:ind w:left="153" w:right="1131" w:firstLine="420"/>
        <w:jc w:val="both"/>
      </w:pPr>
      <w:r>
        <w:rPr>
          <w:spacing w:val="-1"/>
        </w:rPr>
        <w:t>④公司控股子公司福建新开普信息科技有限公司</w:t>
      </w:r>
      <w:r>
        <w:rPr>
          <w:rFonts w:ascii="Times New Roman" w:hAnsi="Times New Roman" w:cs="Times New Roman" w:eastAsia="Times New Roman" w:hint="default"/>
          <w:spacing w:val="-1"/>
        </w:rPr>
        <w:t>2019</w:t>
      </w:r>
      <w:r>
        <w:rPr>
          <w:spacing w:val="-1"/>
        </w:rPr>
        <w:t>年被福建省科学技术厅、福建省财政厅、国家税</w:t>
      </w:r>
      <w:r>
        <w:rPr/>
        <w:t> 务总局福建省税务局批准认定为高新技术企业，高新技术企业批准证书编号为</w:t>
      </w:r>
      <w:r>
        <w:rPr>
          <w:rFonts w:ascii="Times New Roman" w:hAnsi="Times New Roman" w:cs="Times New Roman" w:eastAsia="Times New Roman" w:hint="default"/>
        </w:rPr>
        <w:t>GR20935000155</w:t>
      </w:r>
      <w:r>
        <w:rPr/>
        <w:t>，有效期三 年，本年度按</w:t>
      </w:r>
      <w:r>
        <w:rPr>
          <w:rFonts w:ascii="Times New Roman" w:hAnsi="Times New Roman" w:cs="Times New Roman" w:eastAsia="Times New Roman" w:hint="default"/>
        </w:rPr>
        <w:t>15%</w:t>
      </w:r>
      <w:r>
        <w:rPr/>
        <w:t>税率征收企业所得税。</w:t>
      </w:r>
    </w:p>
    <w:p>
      <w:pPr>
        <w:pStyle w:val="BodyText"/>
        <w:spacing w:line="386" w:lineRule="auto" w:before="35"/>
        <w:ind w:left="153" w:right="1125" w:firstLine="420"/>
        <w:jc w:val="both"/>
      </w:pPr>
      <w:r>
        <w:rPr>
          <w:spacing w:val="3"/>
        </w:rPr>
        <w:t>⑤公司控股子公司北京华驰联创科技有限公司</w:t>
      </w:r>
      <w:r>
        <w:rPr>
          <w:rFonts w:ascii="Times New Roman" w:hAnsi="Times New Roman" w:cs="Times New Roman" w:eastAsia="Times New Roman" w:hint="default"/>
          <w:spacing w:val="3"/>
        </w:rPr>
        <w:t>2018</w:t>
      </w:r>
      <w:r>
        <w:rPr>
          <w:spacing w:val="3"/>
        </w:rPr>
        <w:t>年被中关村科技园区管理委员会认定为中关村高</w:t>
      </w:r>
      <w:r>
        <w:rPr>
          <w:spacing w:val="4"/>
        </w:rPr>
        <w:t> </w:t>
      </w:r>
      <w:r>
        <w:rPr/>
        <w:t>新技术企业，证书编号为</w:t>
      </w:r>
      <w:r>
        <w:rPr>
          <w:rFonts w:ascii="Times New Roman" w:hAnsi="Times New Roman" w:cs="Times New Roman" w:eastAsia="Times New Roman" w:hint="default"/>
        </w:rPr>
        <w:t>20182010374301</w:t>
      </w:r>
      <w:r>
        <w:rPr/>
        <w:t>，有效期三年，本年度按</w:t>
      </w:r>
      <w:r>
        <w:rPr>
          <w:rFonts w:ascii="Times New Roman" w:hAnsi="Times New Roman" w:cs="Times New Roman" w:eastAsia="Times New Roman" w:hint="default"/>
        </w:rPr>
        <w:t>15%</w:t>
      </w:r>
      <w:r>
        <w:rPr/>
        <w:t>税率征收企业所得税。</w:t>
      </w:r>
    </w:p>
    <w:p>
      <w:pPr>
        <w:pStyle w:val="BodyText"/>
        <w:spacing w:line="393" w:lineRule="auto" w:before="35"/>
        <w:ind w:left="153" w:right="1128" w:firstLine="420"/>
        <w:jc w:val="both"/>
      </w:pPr>
      <w:r>
        <w:rPr>
          <w:spacing w:val="-3"/>
        </w:rPr>
        <w:t>⑥公司控股子公司北京希嘉创智教育科技有限公司，依据《财政部 </w:t>
      </w:r>
      <w:r>
        <w:rPr/>
        <w:t>国家税务总局 发展改革委</w:t>
      </w:r>
      <w:r>
        <w:rPr>
          <w:spacing w:val="-40"/>
        </w:rPr>
        <w:t> </w:t>
      </w:r>
      <w:r>
        <w:rPr/>
        <w:t>工业和</w:t>
      </w:r>
      <w:r>
        <w:rPr/>
        <w:t> </w:t>
      </w:r>
      <w:r>
        <w:rPr>
          <w:spacing w:val="-1"/>
        </w:rPr>
        <w:t>信息化部关于软件和集成电路产业企业所得税优惠政策有关问题的通知》（财税〔</w:t>
      </w:r>
      <w:r>
        <w:rPr>
          <w:rFonts w:ascii="Times New Roman" w:hAnsi="Times New Roman" w:cs="Times New Roman" w:eastAsia="Times New Roman" w:hint="default"/>
          <w:spacing w:val="-1"/>
        </w:rPr>
        <w:t>2016</w:t>
      </w:r>
      <w:r>
        <w:rPr>
          <w:spacing w:val="-1"/>
        </w:rPr>
        <w:t>〕</w:t>
      </w:r>
      <w:r>
        <w:rPr>
          <w:rFonts w:ascii="Times New Roman" w:hAnsi="Times New Roman" w:cs="Times New Roman" w:eastAsia="Times New Roman" w:hint="default"/>
          <w:spacing w:val="-1"/>
        </w:rPr>
        <w:t>49</w:t>
      </w:r>
      <w:r>
        <w:rPr>
          <w:spacing w:val="-1"/>
        </w:rPr>
        <w:t>号），企业享</w:t>
      </w:r>
      <w:r>
        <w:rPr>
          <w:spacing w:val="-83"/>
        </w:rPr>
        <w:t> </w:t>
      </w:r>
      <w:r>
        <w:rPr>
          <w:spacing w:val="-83"/>
        </w:rPr>
      </w:r>
      <w:r>
        <w:rPr/>
        <w:t>受所得税税收优惠政策，实行</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，即</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2018</w:t>
      </w:r>
      <w:r>
        <w:rPr/>
        <w:t>年免征企业所得税，</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2020</w:t>
      </w:r>
      <w:r>
        <w:rPr/>
        <w:t>、</w:t>
      </w:r>
      <w:r>
        <w:rPr>
          <w:rFonts w:ascii="Times New Roman" w:hAnsi="Times New Roman" w:cs="Times New Roman" w:eastAsia="Times New Roman" w:hint="default"/>
        </w:rPr>
        <w:t>2021</w:t>
      </w:r>
      <w:r>
        <w:rPr/>
        <w:t>减半征 收企业所得税，本年度按</w:t>
      </w:r>
      <w:r>
        <w:rPr>
          <w:rFonts w:ascii="Times New Roman" w:hAnsi="Times New Roman" w:cs="Times New Roman" w:eastAsia="Times New Roman" w:hint="default"/>
        </w:rPr>
        <w:t>12.5%</w:t>
      </w:r>
      <w:r>
        <w:rPr/>
        <w:t>税率征收企业所得税。</w:t>
      </w:r>
    </w:p>
    <w:p>
      <w:pPr>
        <w:pStyle w:val="BodyText"/>
        <w:spacing w:line="386" w:lineRule="auto" w:before="28"/>
        <w:ind w:left="153" w:right="1129" w:firstLine="420"/>
        <w:jc w:val="both"/>
      </w:pPr>
      <w:r>
        <w:rPr/>
        <w:t>⑦公司控股子公司郑州新开普科技有限公司、上海新开普志成信息科技有限公司，依据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 </w:t>
      </w:r>
      <w:r>
        <w:rPr>
          <w:spacing w:val="-1"/>
        </w:rPr>
        <w:t>日财政部、税务总局公布的财税〔</w:t>
      </w:r>
      <w:r>
        <w:rPr>
          <w:rFonts w:ascii="Times New Roman" w:hAnsi="Times New Roman" w:cs="Times New Roman" w:eastAsia="Times New Roman" w:hint="default"/>
          <w:spacing w:val="-1"/>
        </w:rPr>
        <w:t>2019</w:t>
      </w:r>
      <w:r>
        <w:rPr>
          <w:spacing w:val="-1"/>
        </w:rPr>
        <w:t>〕</w:t>
      </w:r>
      <w:r>
        <w:rPr>
          <w:rFonts w:ascii="Times New Roman" w:hAnsi="Times New Roman" w:cs="Times New Roman" w:eastAsia="Times New Roman" w:hint="default"/>
          <w:spacing w:val="-1"/>
        </w:rPr>
        <w:t>13</w:t>
      </w:r>
      <w:r>
        <w:rPr>
          <w:spacing w:val="-1"/>
        </w:rPr>
        <w:t>号《关于实施小微企业普惠性税收减免政策的通知》，自</w:t>
      </w:r>
      <w:r>
        <w:rPr>
          <w:rFonts w:ascii="Times New Roman" w:hAnsi="Times New Roman" w:cs="Times New Roman" w:eastAsia="Times New Roman" w:hint="default"/>
          <w:spacing w:val="-1"/>
        </w:rPr>
        <w:t>2019</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日，对小型微利企业年应纳税所得额不超过</w:t>
      </w:r>
      <w:r>
        <w:rPr>
          <w:rFonts w:ascii="Times New Roman" w:hAnsi="Times New Roman" w:cs="Times New Roman" w:eastAsia="Times New Roman" w:hint="default"/>
          <w:spacing w:val="-2"/>
        </w:rPr>
        <w:t>100</w:t>
      </w:r>
      <w:r>
        <w:rPr>
          <w:spacing w:val="-2"/>
        </w:rPr>
        <w:t>万元的部分，减按</w:t>
      </w:r>
      <w:r>
        <w:rPr>
          <w:rFonts w:ascii="Times New Roman" w:hAnsi="Times New Roman" w:cs="Times New Roman" w:eastAsia="Times New Roman" w:hint="default"/>
          <w:spacing w:val="-2"/>
        </w:rPr>
        <w:t>25%</w:t>
      </w:r>
      <w:r>
        <w:rPr>
          <w:spacing w:val="-2"/>
        </w:rPr>
        <w:t>计入应纳税</w:t>
      </w:r>
      <w:r>
        <w:rPr>
          <w:spacing w:val="-102"/>
        </w:rPr>
        <w:t> </w:t>
      </w:r>
      <w:r>
        <w:rPr>
          <w:spacing w:val="-102"/>
        </w:rPr>
      </w:r>
      <w:r>
        <w:rPr>
          <w:spacing w:val="-4"/>
        </w:rPr>
        <w:t>所得额，按</w:t>
      </w:r>
      <w:r>
        <w:rPr>
          <w:rFonts w:ascii="Times New Roman" w:hAnsi="Times New Roman" w:cs="Times New Roman" w:eastAsia="Times New Roman" w:hint="default"/>
          <w:spacing w:val="-4"/>
        </w:rPr>
        <w:t>20%</w:t>
      </w:r>
      <w:r>
        <w:rPr>
          <w:spacing w:val="-4"/>
        </w:rPr>
        <w:t>的税率缴纳企业所得税；对年应纳税所得额超过</w:t>
      </w:r>
      <w:r>
        <w:rPr>
          <w:rFonts w:ascii="Times New Roman" w:hAnsi="Times New Roman" w:cs="Times New Roman" w:eastAsia="Times New Roman" w:hint="default"/>
          <w:spacing w:val="-4"/>
        </w:rPr>
        <w:t>100</w:t>
      </w:r>
      <w:r>
        <w:rPr>
          <w:spacing w:val="-4"/>
        </w:rPr>
        <w:t>万元但不超过</w:t>
      </w:r>
      <w:r>
        <w:rPr>
          <w:rFonts w:ascii="Times New Roman" w:hAnsi="Times New Roman" w:cs="Times New Roman" w:eastAsia="Times New Roman" w:hint="default"/>
          <w:spacing w:val="-4"/>
        </w:rPr>
        <w:t>300</w:t>
      </w:r>
      <w:r>
        <w:rPr>
          <w:spacing w:val="-4"/>
        </w:rPr>
        <w:t>万元的部分，减按</w:t>
      </w:r>
      <w:r>
        <w:rPr>
          <w:rFonts w:ascii="Times New Roman" w:hAnsi="Times New Roman" w:cs="Times New Roman" w:eastAsia="Times New Roman" w:hint="default"/>
          <w:spacing w:val="-4"/>
        </w:rPr>
        <w:t>50%</w:t>
      </w:r>
      <w:r>
        <w:rPr>
          <w:rFonts w:ascii="Times New Roman" w:hAnsi="Times New Roman" w:cs="Times New Roman" w:eastAsia="Times New Roman" w:hint="default"/>
          <w:spacing w:val="-14"/>
        </w:rPr>
        <w:t> </w:t>
      </w:r>
      <w:r>
        <w:rPr/>
        <w:t>计入应纳税所得额，按</w:t>
      </w:r>
      <w:r>
        <w:rPr>
          <w:rFonts w:ascii="Times New Roman" w:hAnsi="Times New Roman" w:cs="Times New Roman" w:eastAsia="Times New Roman" w:hint="default"/>
        </w:rPr>
        <w:t>20%</w:t>
      </w:r>
      <w:r>
        <w:rPr/>
        <w:t>的税率缴纳企业所得税，本年度该两家子公司按照</w:t>
      </w:r>
      <w:r>
        <w:rPr>
          <w:rFonts w:ascii="Times New Roman" w:hAnsi="Times New Roman" w:cs="Times New Roman" w:eastAsia="Times New Roman" w:hint="default"/>
        </w:rPr>
        <w:t>20%</w:t>
      </w:r>
      <w:r>
        <w:rPr/>
        <w:t>税率征收企业所得税。</w:t>
      </w:r>
    </w:p>
    <w:p>
      <w:pPr>
        <w:spacing w:line="240" w:lineRule="auto" w:before="13"/>
        <w:rPr>
          <w:rFonts w:ascii="宋体" w:hAnsi="宋体" w:cs="宋体" w:eastAsia="宋体" w:hint="default"/>
          <w:sz w:val="17"/>
          <w:szCs w:val="17"/>
        </w:rPr>
      </w:pPr>
    </w:p>
    <w:p>
      <w:pPr>
        <w:pStyle w:val="Heading2"/>
        <w:spacing w:line="240" w:lineRule="auto"/>
        <w:ind w:right="1113"/>
        <w:jc w:val="left"/>
        <w:rPr>
          <w:b w:val="0"/>
          <w:bCs w:val="0"/>
        </w:rPr>
      </w:pP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599,047.61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58,945.73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553,339,866.19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357,070,360.68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32,344,123.16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34,459,035.52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586,283,036.96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391,588,341.93</w:t>
            </w: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8"/>
          <w:szCs w:val="18"/>
        </w:rPr>
      </w:pPr>
    </w:p>
    <w:p>
      <w:pPr>
        <w:pStyle w:val="BodyText"/>
        <w:spacing w:line="240" w:lineRule="auto" w:before="0"/>
        <w:ind w:left="574" w:right="1113"/>
        <w:jc w:val="left"/>
      </w:pPr>
      <w:r>
        <w:rPr/>
        <w:t>其中因抵押、质押或冻结等对使用有限制的货币资金明细如下：</w:t>
      </w:r>
    </w:p>
    <w:p>
      <w:pPr>
        <w:spacing w:line="240" w:lineRule="auto" w:before="7"/>
        <w:rPr>
          <w:rFonts w:ascii="宋体" w:hAnsi="宋体" w:cs="宋体" w:eastAsia="宋体" w:hint="default"/>
          <w:sz w:val="10"/>
          <w:szCs w:val="10"/>
        </w:rPr>
      </w:pPr>
    </w:p>
    <w:tbl>
      <w:tblPr>
        <w:tblW w:w="0" w:type="auto"/>
        <w:jc w:val="left"/>
        <w:tblInd w:w="151" w:type="dxa"/>
        <w:tblLayout w:type="fixed"/>
        <w:tblCellMar>
          <w:top w:w="0" w:type="dxa"/>
          <w:left w:w="0" w:type="dxa"/>
          <w:bottom w:w="0" w:type="dxa"/>
          <w:right w:w="0" w:type="dxa"/>
        </w:tblCellMar>
        <w:tblLook w:val="01E0"/>
      </w:tblPr>
      <w:tblGrid>
        <w:gridCol w:w="3262"/>
        <w:gridCol w:w="3118"/>
        <w:gridCol w:w="3119"/>
      </w:tblGrid>
      <w:tr>
        <w:trPr>
          <w:trHeight w:val="329" w:hRule="exact"/>
        </w:trPr>
        <w:tc>
          <w:tcPr>
            <w:tcW w:w="3262"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13"/>
              <w:ind w:right="1447"/>
              <w:jc w:val="right"/>
              <w:rPr>
                <w:rFonts w:ascii="宋体" w:hAnsi="宋体" w:cs="宋体" w:eastAsia="宋体" w:hint="default"/>
                <w:sz w:val="18"/>
                <w:szCs w:val="18"/>
              </w:rPr>
            </w:pPr>
            <w:r>
              <w:rPr>
                <w:rFonts w:ascii="宋体" w:hAnsi="宋体" w:cs="宋体" w:eastAsia="宋体" w:hint="default"/>
                <w:sz w:val="18"/>
                <w:szCs w:val="18"/>
              </w:rPr>
              <w:t>项目</w:t>
            </w:r>
          </w:p>
        </w:tc>
        <w:tc>
          <w:tcPr>
            <w:tcW w:w="3118"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13"/>
              <w:ind w:left="656" w:right="0"/>
              <w:jc w:val="left"/>
              <w:rPr>
                <w:rFonts w:ascii="宋体" w:hAnsi="宋体" w:cs="宋体" w:eastAsia="宋体" w:hint="default"/>
                <w:sz w:val="18"/>
                <w:szCs w:val="18"/>
              </w:rPr>
            </w:pPr>
            <w:r>
              <w:rPr>
                <w:rFonts w:ascii="宋体" w:hAnsi="宋体" w:cs="宋体" w:eastAsia="宋体" w:hint="default"/>
                <w:sz w:val="18"/>
                <w:szCs w:val="18"/>
              </w:rPr>
              <w:t>期末余额（单位：元）</w:t>
            </w:r>
          </w:p>
        </w:tc>
        <w:tc>
          <w:tcPr>
            <w:tcW w:w="3119"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13"/>
              <w:ind w:left="476" w:right="0"/>
              <w:jc w:val="left"/>
              <w:rPr>
                <w:rFonts w:ascii="宋体" w:hAnsi="宋体" w:cs="宋体" w:eastAsia="宋体" w:hint="default"/>
                <w:sz w:val="18"/>
                <w:szCs w:val="18"/>
              </w:rPr>
            </w:pPr>
            <w:r>
              <w:rPr>
                <w:rFonts w:ascii="宋体" w:hAnsi="宋体" w:cs="宋体" w:eastAsia="宋体" w:hint="default"/>
                <w:sz w:val="18"/>
                <w:szCs w:val="18"/>
              </w:rPr>
              <w:t>上年年末余额（单位：元）</w:t>
            </w:r>
          </w:p>
        </w:tc>
      </w:tr>
      <w:tr>
        <w:trPr>
          <w:trHeight w:val="337" w:hRule="exact"/>
        </w:trPr>
        <w:tc>
          <w:tcPr>
            <w:tcW w:w="3262"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1"/>
              <w:ind w:left="7"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18" w:type="dxa"/>
            <w:tcBorders>
              <w:top w:val="single" w:sz="6" w:space="0" w:color="BFBFBF"/>
              <w:left w:val="single" w:sz="2" w:space="0" w:color="000000"/>
              <w:bottom w:val="single" w:sz="2" w:space="0" w:color="000000"/>
              <w:right w:val="single" w:sz="2" w:space="0" w:color="000000"/>
            </w:tcBorders>
          </w:tcPr>
          <w:p>
            <w:pPr>
              <w:pStyle w:val="TableParagraph"/>
              <w:spacing w:line="240" w:lineRule="auto" w:before="55"/>
              <w:ind w:right="4"/>
              <w:jc w:val="right"/>
              <w:rPr>
                <w:rFonts w:ascii="Times New Roman" w:hAnsi="Times New Roman" w:cs="Times New Roman" w:eastAsia="Times New Roman" w:hint="default"/>
                <w:sz w:val="18"/>
                <w:szCs w:val="18"/>
              </w:rPr>
            </w:pPr>
            <w:r>
              <w:rPr>
                <w:rFonts w:ascii="Times New Roman"/>
                <w:spacing w:val="-1"/>
                <w:sz w:val="18"/>
              </w:rPr>
              <w:t>20,452,521.84</w:t>
            </w:r>
          </w:p>
        </w:tc>
        <w:tc>
          <w:tcPr>
            <w:tcW w:w="3119" w:type="dxa"/>
            <w:tcBorders>
              <w:top w:val="single" w:sz="6" w:space="0" w:color="BFBFBF"/>
              <w:left w:val="single" w:sz="2" w:space="0" w:color="000000"/>
              <w:bottom w:val="single" w:sz="2" w:space="0" w:color="000000"/>
              <w:right w:val="single" w:sz="2" w:space="0" w:color="000000"/>
            </w:tcBorders>
          </w:tcPr>
          <w:p>
            <w:pPr>
              <w:pStyle w:val="TableParagraph"/>
              <w:spacing w:line="240" w:lineRule="auto" w:before="55"/>
              <w:ind w:right="5"/>
              <w:jc w:val="right"/>
              <w:rPr>
                <w:rFonts w:ascii="Times New Roman" w:hAnsi="Times New Roman" w:cs="Times New Roman" w:eastAsia="Times New Roman" w:hint="default"/>
                <w:sz w:val="18"/>
                <w:szCs w:val="18"/>
              </w:rPr>
            </w:pPr>
            <w:r>
              <w:rPr>
                <w:rFonts w:ascii="Times New Roman"/>
                <w:spacing w:val="-1"/>
                <w:sz w:val="18"/>
              </w:rPr>
              <w:t>24,342,886.07</w:t>
            </w:r>
          </w:p>
        </w:tc>
      </w:tr>
      <w:tr>
        <w:trPr>
          <w:trHeight w:val="337" w:hRule="exact"/>
        </w:trPr>
        <w:tc>
          <w:tcPr>
            <w:tcW w:w="3262"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1"/>
              <w:ind w:left="7"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4,925,610.48</w:t>
            </w:r>
          </w:p>
        </w:tc>
        <w:tc>
          <w:tcPr>
            <w:tcW w:w="31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9,425,608.99</w:t>
            </w:r>
          </w:p>
        </w:tc>
      </w:tr>
      <w:tr>
        <w:trPr>
          <w:trHeight w:val="337" w:hRule="exact"/>
        </w:trPr>
        <w:tc>
          <w:tcPr>
            <w:tcW w:w="3262"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6,512,501.72</w:t>
            </w:r>
          </w:p>
        </w:tc>
        <w:tc>
          <w:tcPr>
            <w:tcW w:w="31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690,540.46</w:t>
            </w:r>
          </w:p>
        </w:tc>
      </w:tr>
      <w:tr>
        <w:trPr>
          <w:trHeight w:val="337" w:hRule="exact"/>
        </w:trPr>
        <w:tc>
          <w:tcPr>
            <w:tcW w:w="3262"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right="1447"/>
              <w:jc w:val="right"/>
              <w:rPr>
                <w:rFonts w:ascii="宋体" w:hAnsi="宋体" w:cs="宋体" w:eastAsia="宋体" w:hint="default"/>
                <w:sz w:val="18"/>
                <w:szCs w:val="18"/>
              </w:rPr>
            </w:pPr>
            <w:r>
              <w:rPr>
                <w:rFonts w:ascii="宋体" w:hAnsi="宋体" w:cs="宋体" w:eastAsia="宋体" w:hint="default"/>
                <w:sz w:val="18"/>
                <w:szCs w:val="18"/>
              </w:rPr>
              <w:t>合计</w:t>
            </w:r>
          </w:p>
        </w:tc>
        <w:tc>
          <w:tcPr>
            <w:tcW w:w="31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31,890,634.04</w:t>
            </w:r>
          </w:p>
        </w:tc>
        <w:tc>
          <w:tcPr>
            <w:tcW w:w="31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34,459,035.52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1113"/>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166,000,000.00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现金管理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166,000,000.00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166,000,000.00</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业绩承诺方补偿款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3,402,000.00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3,402,000.00</w:t>
            </w: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8"/>
          <w:szCs w:val="18"/>
        </w:rPr>
      </w:pPr>
    </w:p>
    <w:p>
      <w:pPr>
        <w:pStyle w:val="BodyText"/>
        <w:spacing w:line="386" w:lineRule="auto" w:before="0"/>
        <w:ind w:left="153" w:right="993" w:firstLine="42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日，公司与河南华夏海纳创业投资集团有限公司（以下简称</w:t>
      </w:r>
      <w:r>
        <w:rPr>
          <w:rFonts w:ascii="Times New Roman" w:hAnsi="Times New Roman" w:cs="Times New Roman" w:eastAsia="Times New Roman" w:hint="default"/>
        </w:rPr>
        <w:t>“</w:t>
      </w:r>
      <w:r>
        <w:rPr/>
        <w:t>华夏海纳</w:t>
      </w:r>
      <w:r>
        <w:rPr>
          <w:rFonts w:ascii="Times New Roman" w:hAnsi="Times New Roman" w:cs="Times New Roman" w:eastAsia="Times New Roman" w:hint="default"/>
        </w:rPr>
        <w:t>”</w:t>
      </w:r>
      <w:r>
        <w:rPr/>
        <w:t>）签订增资协 议及补充协议，协议约定若华夏海纳在</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日前未在新三板挂牌，华夏海纳将支付公司补偿款，</w:t>
      </w:r>
      <w:r>
        <w:rPr>
          <w:spacing w:val="-36"/>
        </w:rPr>
        <w:t> </w:t>
      </w:r>
      <w:r>
        <w:rPr>
          <w:spacing w:val="-36"/>
        </w:rPr>
      </w:r>
      <w:r>
        <w:rPr>
          <w:spacing w:val="-2"/>
        </w:rPr>
        <w:t>截至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日，华夏海纳未能在新三板挂牌，经协商一致，华夏海纳需支付公司</w:t>
      </w:r>
      <w:r>
        <w:rPr>
          <w:rFonts w:ascii="Times New Roman" w:hAnsi="Times New Roman" w:cs="Times New Roman" w:eastAsia="Times New Roman" w:hint="default"/>
          <w:spacing w:val="-2"/>
        </w:rPr>
        <w:t>640.2</w:t>
      </w:r>
      <w:r>
        <w:rPr>
          <w:spacing w:val="-2"/>
        </w:rPr>
        <w:t>万元现金补偿，</w:t>
      </w:r>
      <w:r>
        <w:rPr>
          <w:spacing w:val="-85"/>
        </w:rPr>
        <w:t> </w:t>
      </w:r>
      <w:r>
        <w:rPr>
          <w:spacing w:val="-85"/>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日，公司收到</w:t>
      </w:r>
      <w:r>
        <w:rPr>
          <w:rFonts w:ascii="Times New Roman" w:hAnsi="Times New Roman" w:cs="Times New Roman" w:eastAsia="Times New Roman" w:hint="default"/>
        </w:rPr>
        <w:t>300</w:t>
      </w:r>
      <w:r>
        <w:rPr/>
        <w:t>万元整；</w:t>
      </w:r>
    </w:p>
    <w:p>
      <w:pPr>
        <w:pStyle w:val="BodyText"/>
        <w:spacing w:line="386" w:lineRule="auto" w:before="35"/>
        <w:ind w:left="153" w:right="1113" w:firstLine="42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年经协商一致，华夏海纳需支付公司</w:t>
      </w:r>
      <w:r>
        <w:rPr>
          <w:rFonts w:ascii="Times New Roman" w:hAnsi="Times New Roman" w:cs="Times New Roman" w:eastAsia="Times New Roman" w:hint="default"/>
        </w:rPr>
        <w:t>313.2</w:t>
      </w:r>
      <w:r>
        <w:rPr/>
        <w:t>万元现金补偿，截至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日，公司收到华 夏海纳现金补偿</w:t>
      </w:r>
      <w:r>
        <w:rPr>
          <w:rFonts w:ascii="Times New Roman" w:hAnsi="Times New Roman" w:cs="Times New Roman" w:eastAsia="Times New Roman" w:hint="default"/>
        </w:rPr>
        <w:t>15</w:t>
      </w:r>
      <w:r>
        <w:rPr/>
        <w:t>万元，剩余款项已由华夏海纳法人李明以其郑州大数据产业园房产偿还。</w:t>
      </w:r>
    </w:p>
    <w:p>
      <w:pPr>
        <w:pStyle w:val="BodyText"/>
        <w:spacing w:line="386" w:lineRule="auto" w:before="35"/>
        <w:ind w:left="153" w:right="1113" w:firstLine="420"/>
        <w:jc w:val="left"/>
      </w:pPr>
      <w:r>
        <w:rPr>
          <w:rFonts w:ascii="Times New Roman" w:hAnsi="Times New Roman" w:cs="Times New Roman" w:eastAsia="Times New Roman" w:hint="default"/>
          <w:spacing w:val="-3"/>
        </w:rPr>
        <w:t>3</w:t>
      </w:r>
      <w:r>
        <w:rPr>
          <w:spacing w:val="-3"/>
        </w:rPr>
        <w:t>、补偿款计算方式：以新开普本轮投资总额（含注册资本和资本公积金）加上</w:t>
      </w:r>
      <w:r>
        <w:rPr>
          <w:rFonts w:ascii="Times New Roman" w:hAnsi="Times New Roman" w:cs="Times New Roman" w:eastAsia="Times New Roman" w:hint="default"/>
          <w:spacing w:val="-3"/>
        </w:rPr>
        <w:t>12%</w:t>
      </w:r>
      <w:r>
        <w:rPr>
          <w:spacing w:val="-3"/>
        </w:rPr>
        <w:t>的年化收益率（单</w:t>
      </w:r>
      <w:r>
        <w:rPr/>
        <w:t> 利）按照实际出资时间计算的收益。</w:t>
      </w:r>
    </w:p>
    <w:p>
      <w:pPr>
        <w:spacing w:line="240" w:lineRule="auto" w:before="0"/>
        <w:rPr>
          <w:rFonts w:ascii="宋体" w:hAnsi="宋体" w:cs="宋体" w:eastAsia="宋体" w:hint="default"/>
          <w:sz w:val="22"/>
          <w:szCs w:val="22"/>
        </w:rPr>
      </w:pPr>
    </w:p>
    <w:p>
      <w:pPr>
        <w:pStyle w:val="Heading3"/>
        <w:spacing w:line="240" w:lineRule="auto"/>
        <w:ind w:left="153" w:right="1113"/>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13"/>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202,000.00</w:t>
            </w: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如是按照预期信用损失一般模型计提应收票据坏账准备，请参照其他应收款的披露方式披露坏账准备的相关信息：</w:t>
      </w:r>
    </w:p>
    <w:p>
      <w:pPr>
        <w:spacing w:after="0"/>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12"/>
        <w:rPr>
          <w:rFonts w:ascii="宋体" w:hAnsi="宋体" w:cs="宋体" w:eastAsia="宋体" w:hint="default"/>
          <w:sz w:val="27"/>
          <w:szCs w:val="27"/>
        </w:rPr>
      </w:pPr>
    </w:p>
    <w:p>
      <w:pPr>
        <w:spacing w:before="44"/>
        <w:ind w:left="153"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111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6"/>
        <w:gridCol w:w="762"/>
        <w:gridCol w:w="762"/>
        <w:gridCol w:w="762"/>
        <w:gridCol w:w="763"/>
        <w:gridCol w:w="790"/>
        <w:gridCol w:w="775"/>
        <w:gridCol w:w="798"/>
        <w:gridCol w:w="798"/>
        <w:gridCol w:w="790"/>
        <w:gridCol w:w="932"/>
      </w:tblGrid>
      <w:tr>
        <w:trPr>
          <w:trHeight w:val="402" w:hRule="exact"/>
        </w:trPr>
        <w:tc>
          <w:tcPr>
            <w:tcW w:w="16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6" w:type="dxa"/>
            <w:vMerge/>
            <w:tcBorders>
              <w:left w:val="single" w:sz="4" w:space="0" w:color="000000"/>
              <w:right w:val="single" w:sz="4" w:space="0" w:color="000000"/>
            </w:tcBorders>
            <w:shd w:val="clear" w:color="auto" w:fill="D3D3D3"/>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6" w:type="dxa"/>
            <w:vMerge/>
            <w:tcBorders>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86"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6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4" w:hRule="exact"/>
        </w:trPr>
        <w:tc>
          <w:tcPr>
            <w:tcW w:w="16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581,561,</w:t>
            </w:r>
          </w:p>
          <w:p>
            <w:pPr>
              <w:pStyle w:val="TableParagraph"/>
              <w:spacing w:line="240" w:lineRule="auto" w:before="106"/>
              <w:ind w:left="213" w:right="0"/>
              <w:jc w:val="center"/>
              <w:rPr>
                <w:rFonts w:ascii="Times New Roman" w:hAnsi="Times New Roman" w:cs="Times New Roman" w:eastAsia="Times New Roman" w:hint="default"/>
                <w:sz w:val="18"/>
                <w:szCs w:val="18"/>
              </w:rPr>
            </w:pPr>
            <w:r>
              <w:rPr>
                <w:rFonts w:ascii="Times New Roman"/>
                <w:sz w:val="18"/>
              </w:rPr>
              <w:t>886.83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101,164,</w:t>
            </w:r>
          </w:p>
          <w:p>
            <w:pPr>
              <w:pStyle w:val="TableParagraph"/>
              <w:spacing w:line="240" w:lineRule="auto" w:before="106"/>
              <w:ind w:left="213" w:right="0"/>
              <w:jc w:val="center"/>
              <w:rPr>
                <w:rFonts w:ascii="Times New Roman" w:hAnsi="Times New Roman" w:cs="Times New Roman" w:eastAsia="Times New Roman" w:hint="default"/>
                <w:sz w:val="18"/>
                <w:szCs w:val="18"/>
              </w:rPr>
            </w:pPr>
            <w:r>
              <w:rPr>
                <w:rFonts w:ascii="Times New Roman"/>
                <w:sz w:val="18"/>
              </w:rPr>
              <w:t>375.68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17.40%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480,397,5</w:t>
            </w:r>
          </w:p>
          <w:p>
            <w:pPr>
              <w:pStyle w:val="TableParagraph"/>
              <w:spacing w:line="240" w:lineRule="auto" w:before="106"/>
              <w:ind w:left="357" w:right="0"/>
              <w:jc w:val="left"/>
              <w:rPr>
                <w:rFonts w:ascii="Times New Roman" w:hAnsi="Times New Roman" w:cs="Times New Roman" w:eastAsia="Times New Roman" w:hint="default"/>
                <w:sz w:val="18"/>
                <w:szCs w:val="18"/>
              </w:rPr>
            </w:pPr>
            <w:r>
              <w:rPr>
                <w:rFonts w:ascii="Times New Roman"/>
                <w:sz w:val="18"/>
              </w:rPr>
              <w:t>11.15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496,152,2</w:t>
            </w:r>
          </w:p>
          <w:p>
            <w:pPr>
              <w:pStyle w:val="TableParagraph"/>
              <w:spacing w:line="240" w:lineRule="auto" w:before="106"/>
              <w:ind w:left="338" w:right="0"/>
              <w:jc w:val="left"/>
              <w:rPr>
                <w:rFonts w:ascii="Times New Roman" w:hAnsi="Times New Roman" w:cs="Times New Roman" w:eastAsia="Times New Roman" w:hint="default"/>
                <w:sz w:val="18"/>
                <w:szCs w:val="18"/>
              </w:rPr>
            </w:pPr>
            <w:r>
              <w:rPr>
                <w:rFonts w:ascii="Times New Roman"/>
                <w:sz w:val="18"/>
              </w:rPr>
              <w:t>08.49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79,078,15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7.42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15.94%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417,074,05</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1.07</w:t>
            </w:r>
          </w:p>
        </w:tc>
      </w:tr>
      <w:tr>
        <w:trPr>
          <w:trHeight w:val="402" w:hRule="exact"/>
        </w:trPr>
        <w:tc>
          <w:tcPr>
            <w:tcW w:w="16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4" w:hRule="exact"/>
        </w:trPr>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信用风险组合</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581,561,</w:t>
            </w:r>
          </w:p>
          <w:p>
            <w:pPr>
              <w:pStyle w:val="TableParagraph"/>
              <w:spacing w:line="240" w:lineRule="auto" w:before="106"/>
              <w:ind w:left="213" w:right="0"/>
              <w:jc w:val="center"/>
              <w:rPr>
                <w:rFonts w:ascii="Times New Roman" w:hAnsi="Times New Roman" w:cs="Times New Roman" w:eastAsia="Times New Roman" w:hint="default"/>
                <w:sz w:val="18"/>
                <w:szCs w:val="18"/>
              </w:rPr>
            </w:pPr>
            <w:r>
              <w:rPr>
                <w:rFonts w:ascii="Times New Roman"/>
                <w:sz w:val="18"/>
              </w:rPr>
              <w:t>886.83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101,164,</w:t>
            </w:r>
          </w:p>
          <w:p>
            <w:pPr>
              <w:pStyle w:val="TableParagraph"/>
              <w:spacing w:line="240" w:lineRule="auto" w:before="106"/>
              <w:ind w:left="213" w:right="0"/>
              <w:jc w:val="center"/>
              <w:rPr>
                <w:rFonts w:ascii="Times New Roman" w:hAnsi="Times New Roman" w:cs="Times New Roman" w:eastAsia="Times New Roman" w:hint="default"/>
                <w:sz w:val="18"/>
                <w:szCs w:val="18"/>
              </w:rPr>
            </w:pPr>
            <w:r>
              <w:rPr>
                <w:rFonts w:ascii="Times New Roman"/>
                <w:sz w:val="18"/>
              </w:rPr>
              <w:t>375.68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17.40%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480,397,5</w:t>
            </w:r>
          </w:p>
          <w:p>
            <w:pPr>
              <w:pStyle w:val="TableParagraph"/>
              <w:spacing w:line="240" w:lineRule="auto" w:before="106"/>
              <w:ind w:left="357" w:right="0"/>
              <w:jc w:val="left"/>
              <w:rPr>
                <w:rFonts w:ascii="Times New Roman" w:hAnsi="Times New Roman" w:cs="Times New Roman" w:eastAsia="Times New Roman" w:hint="default"/>
                <w:sz w:val="18"/>
                <w:szCs w:val="18"/>
              </w:rPr>
            </w:pPr>
            <w:r>
              <w:rPr>
                <w:rFonts w:ascii="Times New Roman"/>
                <w:sz w:val="18"/>
              </w:rPr>
              <w:t>11.15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496,152,2</w:t>
            </w:r>
          </w:p>
          <w:p>
            <w:pPr>
              <w:pStyle w:val="TableParagraph"/>
              <w:spacing w:line="240" w:lineRule="auto" w:before="106"/>
              <w:ind w:left="338" w:right="0"/>
              <w:jc w:val="left"/>
              <w:rPr>
                <w:rFonts w:ascii="Times New Roman" w:hAnsi="Times New Roman" w:cs="Times New Roman" w:eastAsia="Times New Roman" w:hint="default"/>
                <w:sz w:val="18"/>
                <w:szCs w:val="18"/>
              </w:rPr>
            </w:pPr>
            <w:r>
              <w:rPr>
                <w:rFonts w:ascii="Times New Roman"/>
                <w:sz w:val="18"/>
              </w:rPr>
              <w:t>08.49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79,078,15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7.42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15.94%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417,074,05</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1.07</w:t>
            </w:r>
          </w:p>
        </w:tc>
      </w:tr>
      <w:tr>
        <w:trPr>
          <w:trHeight w:val="714" w:hRule="exact"/>
        </w:trPr>
        <w:tc>
          <w:tcPr>
            <w:tcW w:w="16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581,561,</w:t>
            </w:r>
          </w:p>
          <w:p>
            <w:pPr>
              <w:pStyle w:val="TableParagraph"/>
              <w:spacing w:line="240" w:lineRule="auto" w:before="106"/>
              <w:ind w:left="213" w:right="0"/>
              <w:jc w:val="center"/>
              <w:rPr>
                <w:rFonts w:ascii="Times New Roman" w:hAnsi="Times New Roman" w:cs="Times New Roman" w:eastAsia="Times New Roman" w:hint="default"/>
                <w:sz w:val="18"/>
                <w:szCs w:val="18"/>
              </w:rPr>
            </w:pPr>
            <w:r>
              <w:rPr>
                <w:rFonts w:ascii="Times New Roman"/>
                <w:sz w:val="18"/>
              </w:rPr>
              <w:t>886.83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101,164,</w:t>
            </w:r>
          </w:p>
          <w:p>
            <w:pPr>
              <w:pStyle w:val="TableParagraph"/>
              <w:spacing w:line="240" w:lineRule="auto" w:before="106"/>
              <w:ind w:left="213" w:right="0"/>
              <w:jc w:val="center"/>
              <w:rPr>
                <w:rFonts w:ascii="Times New Roman" w:hAnsi="Times New Roman" w:cs="Times New Roman" w:eastAsia="Times New Roman" w:hint="default"/>
                <w:sz w:val="18"/>
                <w:szCs w:val="18"/>
              </w:rPr>
            </w:pPr>
            <w:r>
              <w:rPr>
                <w:rFonts w:ascii="Times New Roman"/>
                <w:sz w:val="18"/>
              </w:rPr>
              <w:t>375.68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17.40%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480,397,5</w:t>
            </w:r>
          </w:p>
          <w:p>
            <w:pPr>
              <w:pStyle w:val="TableParagraph"/>
              <w:spacing w:line="240" w:lineRule="auto" w:before="106"/>
              <w:ind w:left="357" w:right="0"/>
              <w:jc w:val="left"/>
              <w:rPr>
                <w:rFonts w:ascii="Times New Roman" w:hAnsi="Times New Roman" w:cs="Times New Roman" w:eastAsia="Times New Roman" w:hint="default"/>
                <w:sz w:val="18"/>
                <w:szCs w:val="18"/>
              </w:rPr>
            </w:pPr>
            <w:r>
              <w:rPr>
                <w:rFonts w:ascii="Times New Roman"/>
                <w:sz w:val="18"/>
              </w:rPr>
              <w:t>11.15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496,152,2</w:t>
            </w:r>
          </w:p>
          <w:p>
            <w:pPr>
              <w:pStyle w:val="TableParagraph"/>
              <w:spacing w:line="240" w:lineRule="auto" w:before="106"/>
              <w:ind w:left="338" w:right="0"/>
              <w:jc w:val="left"/>
              <w:rPr>
                <w:rFonts w:ascii="Times New Roman" w:hAnsi="Times New Roman" w:cs="Times New Roman" w:eastAsia="Times New Roman" w:hint="default"/>
                <w:sz w:val="18"/>
                <w:szCs w:val="18"/>
              </w:rPr>
            </w:pPr>
            <w:r>
              <w:rPr>
                <w:rFonts w:ascii="Times New Roman"/>
                <w:sz w:val="18"/>
              </w:rPr>
              <w:t>08.49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79,078,15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7.42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15.94%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417,074,05</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1.07</w:t>
            </w: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line="240" w:lineRule="auto" w:before="7"/>
        <w:rPr>
          <w:rFonts w:ascii="宋体" w:hAnsi="宋体" w:cs="宋体" w:eastAsia="宋体" w:hint="default"/>
          <w:sz w:val="11"/>
          <w:szCs w:val="11"/>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信用风险组合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581,561,886.83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101,164,375.68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17.40%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581,561,886.83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101,164,375.68</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如是按照预期信用损失一般模型计提应收账款坏账准备，请参照其他应收款的披露方式披露坏账准备的相关信息：</w:t>
      </w:r>
    </w:p>
    <w:p>
      <w:pPr>
        <w:spacing w:line="240" w:lineRule="auto" w:before="10"/>
        <w:rPr>
          <w:rFonts w:ascii="宋体" w:hAnsi="宋体" w:cs="宋体" w:eastAsia="宋体" w:hint="default"/>
          <w:sz w:val="20"/>
          <w:szCs w:val="20"/>
        </w:rPr>
      </w:pPr>
    </w:p>
    <w:p>
      <w:pPr>
        <w:spacing w:line="489" w:lineRule="auto" w:before="0"/>
        <w:ind w:left="154" w:right="91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按账龄披露</w:t>
      </w:r>
    </w:p>
    <w:p>
      <w:pPr>
        <w:spacing w:after="0" w:line="489"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13"/>
        <w:rPr>
          <w:rFonts w:ascii="宋体" w:hAnsi="宋体" w:cs="宋体" w:eastAsia="宋体" w:hint="default"/>
          <w:sz w:val="21"/>
          <w:szCs w:val="21"/>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51" w:type="dxa"/>
        <w:tblLayout w:type="fixed"/>
        <w:tblCellMar>
          <w:top w:w="0" w:type="dxa"/>
          <w:left w:w="0" w:type="dxa"/>
          <w:bottom w:w="0" w:type="dxa"/>
          <w:right w:w="0" w:type="dxa"/>
        </w:tblCellMar>
        <w:tblLook w:val="01E0"/>
      </w:tblPr>
      <w:tblGrid>
        <w:gridCol w:w="4784"/>
        <w:gridCol w:w="4783"/>
      </w:tblGrid>
      <w:tr>
        <w:trPr>
          <w:trHeight w:val="397" w:hRule="exact"/>
        </w:trPr>
        <w:tc>
          <w:tcPr>
            <w:tcW w:w="478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478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397" w:hRule="exact"/>
        </w:trPr>
        <w:tc>
          <w:tcPr>
            <w:tcW w:w="478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339,976,609.56</w:t>
            </w:r>
          </w:p>
        </w:tc>
      </w:tr>
      <w:tr>
        <w:trPr>
          <w:trHeight w:val="397" w:hRule="exact"/>
        </w:trPr>
        <w:tc>
          <w:tcPr>
            <w:tcW w:w="47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4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339,976,609.56</w:t>
            </w:r>
          </w:p>
        </w:tc>
      </w:tr>
      <w:tr>
        <w:trPr>
          <w:trHeight w:val="397" w:hRule="exact"/>
        </w:trPr>
        <w:tc>
          <w:tcPr>
            <w:tcW w:w="478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121,674,206.13</w:t>
            </w:r>
          </w:p>
        </w:tc>
      </w:tr>
      <w:tr>
        <w:trPr>
          <w:trHeight w:val="396" w:hRule="exact"/>
        </w:trPr>
        <w:tc>
          <w:tcPr>
            <w:tcW w:w="478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54,472,146.96</w:t>
            </w:r>
          </w:p>
        </w:tc>
      </w:tr>
      <w:tr>
        <w:trPr>
          <w:trHeight w:val="397" w:hRule="exact"/>
        </w:trPr>
        <w:tc>
          <w:tcPr>
            <w:tcW w:w="478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65,438,924.18</w:t>
            </w:r>
          </w:p>
        </w:tc>
      </w:tr>
      <w:tr>
        <w:trPr>
          <w:trHeight w:val="397" w:hRule="exact"/>
        </w:trPr>
        <w:tc>
          <w:tcPr>
            <w:tcW w:w="478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19,564,887.38</w:t>
            </w:r>
          </w:p>
        </w:tc>
      </w:tr>
      <w:tr>
        <w:trPr>
          <w:trHeight w:val="397" w:hRule="exact"/>
        </w:trPr>
        <w:tc>
          <w:tcPr>
            <w:tcW w:w="478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13,574,168.91</w:t>
            </w:r>
          </w:p>
        </w:tc>
      </w:tr>
      <w:tr>
        <w:trPr>
          <w:trHeight w:val="397" w:hRule="exact"/>
        </w:trPr>
        <w:tc>
          <w:tcPr>
            <w:tcW w:w="478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32,299,867.89</w:t>
            </w:r>
          </w:p>
        </w:tc>
      </w:tr>
      <w:tr>
        <w:trPr>
          <w:trHeight w:val="397" w:hRule="exact"/>
        </w:trPr>
        <w:tc>
          <w:tcPr>
            <w:tcW w:w="478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581,561,886.83</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line="240" w:lineRule="auto" w:before="6"/>
        <w:rPr>
          <w:rFonts w:ascii="宋体" w:hAnsi="宋体" w:cs="宋体" w:eastAsia="宋体" w:hint="default"/>
          <w:sz w:val="11"/>
          <w:szCs w:val="11"/>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862"/>
        <w:gridCol w:w="1250"/>
        <w:gridCol w:w="1252"/>
        <w:gridCol w:w="1250"/>
        <w:gridCol w:w="697"/>
        <w:gridCol w:w="1160"/>
        <w:gridCol w:w="3168"/>
      </w:tblGrid>
      <w:tr>
        <w:trPr>
          <w:trHeight w:val="336" w:hRule="exact"/>
        </w:trPr>
        <w:tc>
          <w:tcPr>
            <w:tcW w:w="862" w:type="dxa"/>
            <w:vMerge w:val="restart"/>
            <w:tcBorders>
              <w:top w:val="single" w:sz="2" w:space="0" w:color="000000"/>
              <w:left w:val="single" w:sz="2" w:space="0" w:color="000000"/>
              <w:right w:val="single" w:sz="2" w:space="0" w:color="000000"/>
            </w:tcBorders>
            <w:shd w:val="clear" w:color="auto" w:fill="BFBFBF"/>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250" w:type="dxa"/>
            <w:vMerge w:val="restart"/>
            <w:tcBorders>
              <w:top w:val="single" w:sz="2" w:space="0" w:color="000000"/>
              <w:left w:val="single" w:sz="2" w:space="0" w:color="000000"/>
              <w:right w:val="single" w:sz="2" w:space="0" w:color="000000"/>
            </w:tcBorders>
            <w:shd w:val="clear" w:color="auto" w:fill="BFBFBF"/>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1252" w:type="dxa"/>
            <w:vMerge w:val="restart"/>
            <w:tcBorders>
              <w:top w:val="single" w:sz="2" w:space="0" w:color="000000"/>
              <w:left w:val="single" w:sz="2" w:space="0" w:color="000000"/>
              <w:right w:val="single" w:sz="2" w:space="0" w:color="000000"/>
            </w:tcBorders>
            <w:shd w:val="clear" w:color="auto" w:fill="BFBFBF"/>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3108" w:type="dxa"/>
            <w:gridSpan w:val="3"/>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left="1011" w:right="0"/>
              <w:jc w:val="left"/>
              <w:rPr>
                <w:rFonts w:ascii="宋体" w:hAnsi="宋体" w:cs="宋体" w:eastAsia="宋体" w:hint="default"/>
                <w:sz w:val="18"/>
                <w:szCs w:val="18"/>
              </w:rPr>
            </w:pPr>
            <w:r>
              <w:rPr>
                <w:rFonts w:ascii="宋体" w:hAnsi="宋体" w:cs="宋体" w:eastAsia="宋体" w:hint="default"/>
                <w:sz w:val="18"/>
                <w:szCs w:val="18"/>
              </w:rPr>
              <w:t>本期变动金额</w:t>
            </w:r>
          </w:p>
        </w:tc>
        <w:tc>
          <w:tcPr>
            <w:tcW w:w="3168" w:type="dxa"/>
            <w:vMerge w:val="restart"/>
            <w:tcBorders>
              <w:top w:val="single" w:sz="2" w:space="0" w:color="000000"/>
              <w:left w:val="single" w:sz="2" w:space="0" w:color="000000"/>
              <w:right w:val="single" w:sz="2" w:space="0" w:color="000000"/>
            </w:tcBorders>
            <w:shd w:val="clear" w:color="auto" w:fill="BFBFBF"/>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49" w:hRule="exact"/>
        </w:trPr>
        <w:tc>
          <w:tcPr>
            <w:tcW w:w="862" w:type="dxa"/>
            <w:vMerge/>
            <w:tcBorders>
              <w:left w:val="single" w:sz="2" w:space="0" w:color="000000"/>
              <w:bottom w:val="single" w:sz="2" w:space="0" w:color="000000"/>
              <w:right w:val="single" w:sz="2" w:space="0" w:color="000000"/>
            </w:tcBorders>
            <w:shd w:val="clear" w:color="auto" w:fill="BFBFBF"/>
          </w:tcPr>
          <w:p>
            <w:pPr/>
          </w:p>
        </w:tc>
        <w:tc>
          <w:tcPr>
            <w:tcW w:w="1250" w:type="dxa"/>
            <w:vMerge/>
            <w:tcBorders>
              <w:left w:val="single" w:sz="2" w:space="0" w:color="000000"/>
              <w:bottom w:val="single" w:sz="2" w:space="0" w:color="000000"/>
              <w:right w:val="single" w:sz="2" w:space="0" w:color="000000"/>
            </w:tcBorders>
            <w:shd w:val="clear" w:color="auto" w:fill="BFBFBF"/>
          </w:tcPr>
          <w:p>
            <w:pPr/>
          </w:p>
        </w:tc>
        <w:tc>
          <w:tcPr>
            <w:tcW w:w="1252" w:type="dxa"/>
            <w:vMerge/>
            <w:tcBorders>
              <w:left w:val="single" w:sz="2" w:space="0" w:color="000000"/>
              <w:bottom w:val="single" w:sz="2" w:space="0" w:color="000000"/>
              <w:right w:val="single" w:sz="2" w:space="0" w:color="000000"/>
            </w:tcBorders>
            <w:shd w:val="clear" w:color="auto" w:fill="BFBFBF"/>
          </w:tcPr>
          <w:p>
            <w:pPr/>
          </w:p>
        </w:tc>
        <w:tc>
          <w:tcPr>
            <w:tcW w:w="1250"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697"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316" w:lineRule="auto" w:before="21"/>
              <w:ind w:left="165" w:right="74" w:hanging="90"/>
              <w:jc w:val="left"/>
              <w:rPr>
                <w:rFonts w:ascii="宋体" w:hAnsi="宋体" w:cs="宋体" w:eastAsia="宋体" w:hint="default"/>
                <w:sz w:val="18"/>
                <w:szCs w:val="18"/>
              </w:rPr>
            </w:pPr>
            <w:r>
              <w:rPr>
                <w:rFonts w:ascii="宋体" w:hAnsi="宋体" w:cs="宋体" w:eastAsia="宋体" w:hint="default"/>
                <w:sz w:val="18"/>
                <w:szCs w:val="18"/>
              </w:rPr>
              <w:t>收回或 转回</w:t>
            </w:r>
          </w:p>
        </w:tc>
        <w:tc>
          <w:tcPr>
            <w:tcW w:w="1160"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z w:val="18"/>
                <w:szCs w:val="18"/>
              </w:rPr>
              <w:t>企业合并增加</w:t>
            </w:r>
          </w:p>
        </w:tc>
        <w:tc>
          <w:tcPr>
            <w:tcW w:w="3168" w:type="dxa"/>
            <w:vMerge/>
            <w:tcBorders>
              <w:left w:val="single" w:sz="2" w:space="0" w:color="000000"/>
              <w:bottom w:val="single" w:sz="2" w:space="0" w:color="000000"/>
              <w:right w:val="single" w:sz="2" w:space="0" w:color="000000"/>
            </w:tcBorders>
            <w:shd w:val="clear" w:color="auto" w:fill="BFBFBF"/>
          </w:tcPr>
          <w:p>
            <w:pPr/>
          </w:p>
        </w:tc>
      </w:tr>
      <w:tr>
        <w:trPr>
          <w:trHeight w:val="649" w:hRule="exact"/>
        </w:trPr>
        <w:tc>
          <w:tcPr>
            <w:tcW w:w="862"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21"/>
              <w:ind w:left="247" w:right="67" w:hanging="180"/>
              <w:jc w:val="left"/>
              <w:rPr>
                <w:rFonts w:ascii="宋体" w:hAnsi="宋体" w:cs="宋体" w:eastAsia="宋体" w:hint="default"/>
                <w:sz w:val="18"/>
                <w:szCs w:val="18"/>
              </w:rPr>
            </w:pPr>
            <w:r>
              <w:rPr>
                <w:rFonts w:ascii="宋体" w:hAnsi="宋体" w:cs="宋体" w:eastAsia="宋体" w:hint="default"/>
                <w:sz w:val="18"/>
                <w:szCs w:val="18"/>
              </w:rPr>
              <w:t>信用风险 组合</w:t>
            </w:r>
          </w:p>
        </w:tc>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79,078,157.42</w:t>
            </w:r>
          </w:p>
        </w:tc>
        <w:tc>
          <w:tcPr>
            <w:tcW w:w="12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79,078,157.42</w:t>
            </w:r>
          </w:p>
        </w:tc>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18,475,600.00</w:t>
            </w:r>
          </w:p>
        </w:tc>
        <w:tc>
          <w:tcPr>
            <w:tcW w:w="697" w:type="dxa"/>
            <w:tcBorders>
              <w:top w:val="single" w:sz="2" w:space="0" w:color="000000"/>
              <w:left w:val="single" w:sz="2" w:space="0" w:color="000000"/>
              <w:bottom w:val="single" w:sz="2" w:space="0" w:color="000000"/>
              <w:right w:val="single" w:sz="2" w:space="0" w:color="000000"/>
            </w:tcBorders>
          </w:tcPr>
          <w:p>
            <w:pPr/>
          </w:p>
        </w:tc>
        <w:tc>
          <w:tcPr>
            <w:tcW w:w="11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3,610,618.26</w:t>
            </w:r>
          </w:p>
        </w:tc>
        <w:tc>
          <w:tcPr>
            <w:tcW w:w="31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101,164,375.68</w:t>
            </w:r>
          </w:p>
        </w:tc>
      </w:tr>
      <w:tr>
        <w:trPr>
          <w:trHeight w:val="337" w:hRule="exact"/>
        </w:trPr>
        <w:tc>
          <w:tcPr>
            <w:tcW w:w="8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24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79,078,157.42</w:t>
            </w:r>
          </w:p>
        </w:tc>
        <w:tc>
          <w:tcPr>
            <w:tcW w:w="12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79,078,157.42</w:t>
            </w:r>
          </w:p>
        </w:tc>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18,475,600.00</w:t>
            </w:r>
          </w:p>
        </w:tc>
        <w:tc>
          <w:tcPr>
            <w:tcW w:w="697" w:type="dxa"/>
            <w:tcBorders>
              <w:top w:val="single" w:sz="2" w:space="0" w:color="000000"/>
              <w:left w:val="single" w:sz="2" w:space="0" w:color="000000"/>
              <w:bottom w:val="single" w:sz="2" w:space="0" w:color="000000"/>
              <w:right w:val="single" w:sz="2" w:space="0" w:color="000000"/>
            </w:tcBorders>
          </w:tcPr>
          <w:p>
            <w:pPr/>
          </w:p>
        </w:tc>
        <w:tc>
          <w:tcPr>
            <w:tcW w:w="11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3,610,618.26</w:t>
            </w:r>
          </w:p>
        </w:tc>
        <w:tc>
          <w:tcPr>
            <w:tcW w:w="31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101,164,375.68</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1981"/>
        <w:gridCol w:w="2528"/>
        <w:gridCol w:w="2530"/>
        <w:gridCol w:w="2528"/>
      </w:tblGrid>
      <w:tr>
        <w:trPr>
          <w:trHeight w:val="708" w:hRule="exact"/>
        </w:trPr>
        <w:tc>
          <w:tcPr>
            <w:tcW w:w="1981"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2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1"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1082" w:right="90" w:hanging="990"/>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09" w:hRule="exact"/>
        </w:trPr>
        <w:tc>
          <w:tcPr>
            <w:tcW w:w="1981"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2"/>
              <w:ind w:left="25" w:right="149"/>
              <w:jc w:val="left"/>
              <w:rPr>
                <w:rFonts w:ascii="宋体" w:hAnsi="宋体" w:cs="宋体" w:eastAsia="宋体" w:hint="default"/>
                <w:sz w:val="18"/>
                <w:szCs w:val="18"/>
              </w:rPr>
            </w:pPr>
            <w:r>
              <w:rPr>
                <w:rFonts w:ascii="宋体" w:hAnsi="宋体" w:cs="宋体" w:eastAsia="宋体" w:hint="default"/>
                <w:sz w:val="18"/>
                <w:szCs w:val="18"/>
              </w:rPr>
              <w:t>鹤壁市卓铭能源技术有 限公司</w:t>
            </w:r>
          </w:p>
        </w:tc>
        <w:tc>
          <w:tcPr>
            <w:tcW w:w="25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18,529,500.00</w:t>
            </w:r>
          </w:p>
        </w:tc>
        <w:tc>
          <w:tcPr>
            <w:tcW w:w="2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3.19%</w:t>
            </w:r>
          </w:p>
        </w:tc>
        <w:tc>
          <w:tcPr>
            <w:tcW w:w="25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1,734,225.00</w:t>
            </w:r>
          </w:p>
        </w:tc>
      </w:tr>
      <w:tr>
        <w:trPr>
          <w:trHeight w:val="709" w:hRule="exact"/>
        </w:trPr>
        <w:tc>
          <w:tcPr>
            <w:tcW w:w="1981" w:type="dxa"/>
            <w:tcBorders>
              <w:top w:val="single" w:sz="2" w:space="0" w:color="000000"/>
              <w:left w:val="single" w:sz="2" w:space="0" w:color="000000"/>
              <w:bottom w:val="single" w:sz="2" w:space="0" w:color="000000"/>
              <w:right w:val="single" w:sz="2" w:space="0" w:color="000000"/>
            </w:tcBorders>
          </w:tcPr>
          <w:p>
            <w:pPr>
              <w:pStyle w:val="TableParagraph"/>
              <w:spacing w:line="319" w:lineRule="auto" w:before="51"/>
              <w:ind w:left="25" w:right="149"/>
              <w:jc w:val="left"/>
              <w:rPr>
                <w:rFonts w:ascii="宋体" w:hAnsi="宋体" w:cs="宋体" w:eastAsia="宋体" w:hint="default"/>
                <w:sz w:val="18"/>
                <w:szCs w:val="18"/>
              </w:rPr>
            </w:pPr>
            <w:r>
              <w:rPr>
                <w:rFonts w:ascii="宋体" w:hAnsi="宋体" w:cs="宋体" w:eastAsia="宋体" w:hint="default"/>
                <w:sz w:val="18"/>
                <w:szCs w:val="18"/>
              </w:rPr>
              <w:t>华迪计算机集团有限公 司</w:t>
            </w:r>
          </w:p>
        </w:tc>
        <w:tc>
          <w:tcPr>
            <w:tcW w:w="25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15,667,468.46</w:t>
            </w:r>
          </w:p>
        </w:tc>
        <w:tc>
          <w:tcPr>
            <w:tcW w:w="2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2.69%</w:t>
            </w:r>
          </w:p>
        </w:tc>
        <w:tc>
          <w:tcPr>
            <w:tcW w:w="25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1,061,643.04</w:t>
            </w:r>
          </w:p>
        </w:tc>
      </w:tr>
      <w:tr>
        <w:trPr>
          <w:trHeight w:val="709" w:hRule="exact"/>
        </w:trPr>
        <w:tc>
          <w:tcPr>
            <w:tcW w:w="1981" w:type="dxa"/>
            <w:tcBorders>
              <w:top w:val="single" w:sz="2" w:space="0" w:color="000000"/>
              <w:left w:val="single" w:sz="2" w:space="0" w:color="000000"/>
              <w:bottom w:val="single" w:sz="2" w:space="0" w:color="000000"/>
              <w:right w:val="single" w:sz="2" w:space="0" w:color="000000"/>
            </w:tcBorders>
          </w:tcPr>
          <w:p>
            <w:pPr>
              <w:pStyle w:val="TableParagraph"/>
              <w:spacing w:line="319" w:lineRule="auto" w:before="51"/>
              <w:ind w:left="25" w:right="149"/>
              <w:jc w:val="left"/>
              <w:rPr>
                <w:rFonts w:ascii="宋体" w:hAnsi="宋体" w:cs="宋体" w:eastAsia="宋体" w:hint="default"/>
                <w:sz w:val="18"/>
                <w:szCs w:val="18"/>
              </w:rPr>
            </w:pPr>
            <w:r>
              <w:rPr>
                <w:rFonts w:ascii="宋体" w:hAnsi="宋体" w:cs="宋体" w:eastAsia="宋体" w:hint="default"/>
                <w:sz w:val="18"/>
                <w:szCs w:val="18"/>
              </w:rPr>
              <w:t>中国建设银行股份有限 公司北京市分行</w:t>
            </w:r>
          </w:p>
        </w:tc>
        <w:tc>
          <w:tcPr>
            <w:tcW w:w="25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10,626,225.03</w:t>
            </w:r>
          </w:p>
        </w:tc>
        <w:tc>
          <w:tcPr>
            <w:tcW w:w="2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1.83%</w:t>
            </w:r>
          </w:p>
        </w:tc>
        <w:tc>
          <w:tcPr>
            <w:tcW w:w="25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1,398,683.71</w:t>
            </w:r>
          </w:p>
        </w:tc>
      </w:tr>
      <w:tr>
        <w:trPr>
          <w:trHeight w:val="709" w:hRule="exact"/>
        </w:trPr>
        <w:tc>
          <w:tcPr>
            <w:tcW w:w="1981"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25" w:right="149"/>
              <w:jc w:val="left"/>
              <w:rPr>
                <w:rFonts w:ascii="宋体" w:hAnsi="宋体" w:cs="宋体" w:eastAsia="宋体" w:hint="default"/>
                <w:sz w:val="18"/>
                <w:szCs w:val="18"/>
              </w:rPr>
            </w:pPr>
            <w:r>
              <w:rPr>
                <w:rFonts w:ascii="宋体" w:hAnsi="宋体" w:cs="宋体" w:eastAsia="宋体" w:hint="default"/>
                <w:sz w:val="18"/>
                <w:szCs w:val="18"/>
              </w:rPr>
              <w:t>中国建设银行股份有限 公司甘肃省分行</w:t>
            </w:r>
          </w:p>
        </w:tc>
        <w:tc>
          <w:tcPr>
            <w:tcW w:w="25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9,001,643.56</w:t>
            </w:r>
          </w:p>
        </w:tc>
        <w:tc>
          <w:tcPr>
            <w:tcW w:w="2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1.55%</w:t>
            </w:r>
          </w:p>
        </w:tc>
        <w:tc>
          <w:tcPr>
            <w:tcW w:w="25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450,353.86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51" w:type="dxa"/>
        <w:tblLayout w:type="fixed"/>
        <w:tblCellMar>
          <w:top w:w="0" w:type="dxa"/>
          <w:left w:w="0" w:type="dxa"/>
          <w:bottom w:w="0" w:type="dxa"/>
          <w:right w:w="0" w:type="dxa"/>
        </w:tblCellMar>
        <w:tblLook w:val="01E0"/>
      </w:tblPr>
      <w:tblGrid>
        <w:gridCol w:w="1981"/>
        <w:gridCol w:w="2528"/>
        <w:gridCol w:w="2530"/>
        <w:gridCol w:w="2528"/>
      </w:tblGrid>
      <w:tr>
        <w:trPr>
          <w:trHeight w:val="709" w:hRule="exact"/>
        </w:trPr>
        <w:tc>
          <w:tcPr>
            <w:tcW w:w="1981"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25" w:right="149"/>
              <w:jc w:val="left"/>
              <w:rPr>
                <w:rFonts w:ascii="宋体" w:hAnsi="宋体" w:cs="宋体" w:eastAsia="宋体" w:hint="default"/>
                <w:sz w:val="18"/>
                <w:szCs w:val="18"/>
              </w:rPr>
            </w:pPr>
            <w:r>
              <w:rPr>
                <w:rFonts w:ascii="宋体" w:hAnsi="宋体" w:cs="宋体" w:eastAsia="宋体" w:hint="default"/>
                <w:sz w:val="18"/>
                <w:szCs w:val="18"/>
              </w:rPr>
              <w:t>招商银行股份有限公司 北京分行</w:t>
            </w:r>
          </w:p>
        </w:tc>
        <w:tc>
          <w:tcPr>
            <w:tcW w:w="25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7,539,254.45</w:t>
            </w:r>
          </w:p>
        </w:tc>
        <w:tc>
          <w:tcPr>
            <w:tcW w:w="2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1.30%</w:t>
            </w:r>
          </w:p>
        </w:tc>
        <w:tc>
          <w:tcPr>
            <w:tcW w:w="25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376,962.72</w:t>
            </w:r>
          </w:p>
        </w:tc>
      </w:tr>
      <w:tr>
        <w:trPr>
          <w:trHeight w:val="397" w:hRule="exact"/>
        </w:trPr>
        <w:tc>
          <w:tcPr>
            <w:tcW w:w="1981"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61,364,091.50</w:t>
            </w:r>
          </w:p>
        </w:tc>
        <w:tc>
          <w:tcPr>
            <w:tcW w:w="2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10.56%</w:t>
            </w:r>
          </w:p>
        </w:tc>
        <w:tc>
          <w:tcPr>
            <w:tcW w:w="2528" w:type="dxa"/>
            <w:tcBorders>
              <w:top w:val="single" w:sz="2" w:space="0" w:color="000000"/>
              <w:left w:val="single" w:sz="2" w:space="0" w:color="000000"/>
              <w:bottom w:val="single" w:sz="2" w:space="0" w:color="000000"/>
              <w:right w:val="single" w:sz="2" w:space="0" w:color="000000"/>
            </w:tcBorders>
            <w:shd w:val="clear" w:color="auto" w:fill="D3D3D3"/>
          </w:tcPr>
          <w:p>
            <w:pP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6</w:t>
      </w:r>
      <w:r>
        <w:rPr/>
        <w:t>、应收款项融资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3190"/>
        <w:gridCol w:w="3190"/>
        <w:gridCol w:w="3190"/>
      </w:tblGrid>
      <w:tr>
        <w:trPr>
          <w:trHeight w:val="397" w:hRule="exact"/>
        </w:trPr>
        <w:tc>
          <w:tcPr>
            <w:tcW w:w="319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right="1411"/>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491,820.00</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900,000.00</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411"/>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491,820.00</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900,000.00</w:t>
            </w: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应收款项融资本期增减变动及公允价值变动情况</w:t>
      </w:r>
    </w:p>
    <w:p>
      <w:pPr>
        <w:spacing w:line="240" w:lineRule="auto" w:before="12"/>
        <w:rPr>
          <w:rFonts w:ascii="宋体" w:hAnsi="宋体" w:cs="宋体" w:eastAsia="宋体" w:hint="default"/>
          <w:sz w:val="20"/>
          <w:szCs w:val="20"/>
        </w:rPr>
      </w:pPr>
    </w:p>
    <w:p>
      <w:pPr>
        <w:spacing w:before="0"/>
        <w:ind w:left="153"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13"/>
          <w:szCs w:val="13"/>
        </w:rPr>
      </w:pPr>
    </w:p>
    <w:tbl>
      <w:tblPr>
        <w:tblW w:w="0" w:type="auto"/>
        <w:jc w:val="left"/>
        <w:tblInd w:w="151" w:type="dxa"/>
        <w:tblLayout w:type="fixed"/>
        <w:tblCellMar>
          <w:top w:w="0" w:type="dxa"/>
          <w:left w:w="0" w:type="dxa"/>
          <w:bottom w:w="0" w:type="dxa"/>
          <w:right w:w="0" w:type="dxa"/>
        </w:tblCellMar>
        <w:tblLook w:val="01E0"/>
      </w:tblPr>
      <w:tblGrid>
        <w:gridCol w:w="1637"/>
        <w:gridCol w:w="1108"/>
        <w:gridCol w:w="1250"/>
        <w:gridCol w:w="1252"/>
        <w:gridCol w:w="1033"/>
        <w:gridCol w:w="1106"/>
        <w:gridCol w:w="2112"/>
      </w:tblGrid>
      <w:tr>
        <w:trPr>
          <w:trHeight w:val="649" w:hRule="exact"/>
        </w:trPr>
        <w:tc>
          <w:tcPr>
            <w:tcW w:w="1637"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08"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250"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252"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本期终止确认</w:t>
            </w:r>
          </w:p>
        </w:tc>
        <w:tc>
          <w:tcPr>
            <w:tcW w:w="1033"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106"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12"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316" w:lineRule="auto" w:before="20"/>
              <w:ind w:left="512" w:right="62" w:hanging="450"/>
              <w:jc w:val="left"/>
              <w:rPr>
                <w:rFonts w:ascii="宋体" w:hAnsi="宋体" w:cs="宋体" w:eastAsia="宋体" w:hint="default"/>
                <w:sz w:val="18"/>
                <w:szCs w:val="18"/>
              </w:rPr>
            </w:pPr>
            <w:r>
              <w:rPr>
                <w:rFonts w:ascii="宋体" w:hAnsi="宋体" w:cs="宋体" w:eastAsia="宋体" w:hint="default"/>
                <w:sz w:val="18"/>
                <w:szCs w:val="18"/>
              </w:rPr>
              <w:t>累计在其他综合收益中确 认的损失准备</w:t>
            </w:r>
          </w:p>
        </w:tc>
      </w:tr>
      <w:tr>
        <w:trPr>
          <w:trHeight w:val="337" w:hRule="exact"/>
        </w:trPr>
        <w:tc>
          <w:tcPr>
            <w:tcW w:w="16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11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900,000.00</w:t>
            </w:r>
          </w:p>
        </w:tc>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left="204" w:right="0"/>
              <w:jc w:val="left"/>
              <w:rPr>
                <w:rFonts w:ascii="Times New Roman" w:hAnsi="Times New Roman" w:cs="Times New Roman" w:eastAsia="Times New Roman" w:hint="default"/>
                <w:sz w:val="18"/>
                <w:szCs w:val="18"/>
              </w:rPr>
            </w:pPr>
            <w:r>
              <w:rPr>
                <w:rFonts w:ascii="Times New Roman"/>
                <w:sz w:val="18"/>
              </w:rPr>
              <w:t>39,950,220.46</w:t>
            </w:r>
          </w:p>
        </w:tc>
        <w:tc>
          <w:tcPr>
            <w:tcW w:w="12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40,358,400.46</w:t>
            </w:r>
          </w:p>
        </w:tc>
        <w:tc>
          <w:tcPr>
            <w:tcW w:w="1033" w:type="dxa"/>
            <w:tcBorders>
              <w:top w:val="single" w:sz="2" w:space="0" w:color="000000"/>
              <w:left w:val="single" w:sz="2" w:space="0" w:color="000000"/>
              <w:bottom w:val="single" w:sz="2" w:space="0" w:color="000000"/>
              <w:right w:val="single" w:sz="2" w:space="0" w:color="000000"/>
            </w:tcBorders>
          </w:tcPr>
          <w:p>
            <w:pP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491,820.00</w:t>
            </w:r>
          </w:p>
        </w:tc>
        <w:tc>
          <w:tcPr>
            <w:tcW w:w="2112" w:type="dxa"/>
            <w:tcBorders>
              <w:top w:val="single" w:sz="2" w:space="0" w:color="000000"/>
              <w:left w:val="single" w:sz="2" w:space="0" w:color="000000"/>
              <w:bottom w:val="single" w:sz="2" w:space="0" w:color="000000"/>
              <w:right w:val="single" w:sz="2" w:space="0" w:color="000000"/>
            </w:tcBorders>
          </w:tcPr>
          <w:p>
            <w:pPr/>
          </w:p>
        </w:tc>
      </w:tr>
      <w:tr>
        <w:trPr>
          <w:trHeight w:val="337" w:hRule="exact"/>
        </w:trPr>
        <w:tc>
          <w:tcPr>
            <w:tcW w:w="1637"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900,000.00</w:t>
            </w:r>
          </w:p>
        </w:tc>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left="204" w:right="0"/>
              <w:jc w:val="left"/>
              <w:rPr>
                <w:rFonts w:ascii="Times New Roman" w:hAnsi="Times New Roman" w:cs="Times New Roman" w:eastAsia="Times New Roman" w:hint="default"/>
                <w:sz w:val="18"/>
                <w:szCs w:val="18"/>
              </w:rPr>
            </w:pPr>
            <w:r>
              <w:rPr>
                <w:rFonts w:ascii="Times New Roman"/>
                <w:sz w:val="18"/>
              </w:rPr>
              <w:t>39,950,220.46</w:t>
            </w:r>
          </w:p>
        </w:tc>
        <w:tc>
          <w:tcPr>
            <w:tcW w:w="12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40,358,400.46</w:t>
            </w:r>
          </w:p>
        </w:tc>
        <w:tc>
          <w:tcPr>
            <w:tcW w:w="1033" w:type="dxa"/>
            <w:tcBorders>
              <w:top w:val="single" w:sz="2" w:space="0" w:color="000000"/>
              <w:left w:val="single" w:sz="2" w:space="0" w:color="000000"/>
              <w:bottom w:val="single" w:sz="2" w:space="0" w:color="000000"/>
              <w:right w:val="single" w:sz="2" w:space="0" w:color="000000"/>
            </w:tcBorders>
          </w:tcPr>
          <w:p>
            <w:pP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491,820.00</w:t>
            </w:r>
          </w:p>
        </w:tc>
        <w:tc>
          <w:tcPr>
            <w:tcW w:w="2112" w:type="dxa"/>
            <w:tcBorders>
              <w:top w:val="single" w:sz="2" w:space="0" w:color="000000"/>
              <w:left w:val="single" w:sz="2" w:space="0" w:color="000000"/>
              <w:bottom w:val="single" w:sz="2" w:space="0" w:color="000000"/>
              <w:right w:val="single" w:sz="2" w:space="0" w:color="000000"/>
            </w:tcBorders>
          </w:tcPr>
          <w:p>
            <w:pP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如是按照预期信用损失一般模型计提应收款项融资减值准备，请参照其他应收款的披露方式披露减值准备的相关信息：</w:t>
      </w:r>
    </w:p>
    <w:p>
      <w:pPr>
        <w:spacing w:line="240" w:lineRule="auto" w:before="12"/>
        <w:rPr>
          <w:rFonts w:ascii="宋体" w:hAnsi="宋体" w:cs="宋体" w:eastAsia="宋体" w:hint="default"/>
          <w:sz w:val="20"/>
          <w:szCs w:val="20"/>
        </w:rPr>
      </w:pPr>
    </w:p>
    <w:p>
      <w:pPr>
        <w:spacing w:line="489" w:lineRule="auto" w:before="0"/>
        <w:ind w:left="154" w:right="91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其他说明：</w:t>
      </w:r>
    </w:p>
    <w:p>
      <w:pPr>
        <w:spacing w:before="85"/>
        <w:ind w:left="0" w:right="112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14"/>
          <w:szCs w:val="14"/>
        </w:rPr>
      </w:pPr>
    </w:p>
    <w:tbl>
      <w:tblPr>
        <w:tblW w:w="0" w:type="auto"/>
        <w:jc w:val="left"/>
        <w:tblInd w:w="151" w:type="dxa"/>
        <w:tblLayout w:type="fixed"/>
        <w:tblCellMar>
          <w:top w:w="0" w:type="dxa"/>
          <w:left w:w="0" w:type="dxa"/>
          <w:bottom w:w="0" w:type="dxa"/>
          <w:right w:w="0" w:type="dxa"/>
        </w:tblCellMar>
        <w:tblLook w:val="01E0"/>
      </w:tblPr>
      <w:tblGrid>
        <w:gridCol w:w="3107"/>
        <w:gridCol w:w="2507"/>
        <w:gridCol w:w="3884"/>
      </w:tblGrid>
      <w:tr>
        <w:trPr>
          <w:trHeight w:val="337" w:hRule="exact"/>
        </w:trPr>
        <w:tc>
          <w:tcPr>
            <w:tcW w:w="3107"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07"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left="53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884"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left="112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337" w:hRule="exact"/>
        </w:trPr>
        <w:tc>
          <w:tcPr>
            <w:tcW w:w="3107" w:type="dxa"/>
            <w:tcBorders>
              <w:top w:val="single" w:sz="6" w:space="0" w:color="BFBFBF"/>
              <w:left w:val="single" w:sz="2" w:space="0" w:color="000000"/>
              <w:bottom w:val="single" w:sz="2" w:space="0" w:color="000000"/>
              <w:right w:val="single" w:sz="2"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25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16,739,127.30</w:t>
            </w:r>
          </w:p>
        </w:tc>
        <w:tc>
          <w:tcPr>
            <w:tcW w:w="3884" w:type="dxa"/>
            <w:tcBorders>
              <w:top w:val="single" w:sz="2" w:space="0" w:color="000000"/>
              <w:left w:val="single" w:sz="2" w:space="0" w:color="000000"/>
              <w:bottom w:val="single" w:sz="2" w:space="0" w:color="000000"/>
              <w:right w:val="single" w:sz="2" w:space="0" w:color="000000"/>
            </w:tcBorders>
          </w:tcPr>
          <w:p>
            <w:pPr/>
          </w:p>
        </w:tc>
      </w:tr>
      <w:tr>
        <w:trPr>
          <w:trHeight w:val="337" w:hRule="exact"/>
        </w:trPr>
        <w:tc>
          <w:tcPr>
            <w:tcW w:w="3107"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5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16,739,127.30</w:t>
            </w:r>
          </w:p>
        </w:tc>
        <w:tc>
          <w:tcPr>
            <w:tcW w:w="3884" w:type="dxa"/>
            <w:tcBorders>
              <w:top w:val="single" w:sz="2" w:space="0" w:color="000000"/>
              <w:left w:val="single" w:sz="2" w:space="0" w:color="000000"/>
              <w:bottom w:val="single" w:sz="2" w:space="0" w:color="000000"/>
              <w:right w:val="single" w:sz="2"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7</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8" w:right="0"/>
              <w:jc w:val="left"/>
              <w:rPr>
                <w:rFonts w:ascii="Times New Roman" w:hAnsi="Times New Roman" w:cs="Times New Roman" w:eastAsia="Times New Roman" w:hint="default"/>
                <w:sz w:val="18"/>
                <w:szCs w:val="18"/>
              </w:rPr>
            </w:pPr>
            <w:r>
              <w:rPr>
                <w:rFonts w:ascii="Times New Roman"/>
                <w:sz w:val="18"/>
              </w:rPr>
              <w:t>20,133,773.43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21,777,514.34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88.29%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711,689.19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3.11%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1,315,019.34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776,001.11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818,775.98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1,233,199.72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754,929.94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22,854,663.45</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24,666,239.60</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51" w:type="dxa"/>
        <w:tblLayout w:type="fixed"/>
        <w:tblCellMar>
          <w:top w:w="0" w:type="dxa"/>
          <w:left w:w="0" w:type="dxa"/>
          <w:bottom w:w="0" w:type="dxa"/>
          <w:right w:w="0" w:type="dxa"/>
        </w:tblCellMar>
        <w:tblLook w:val="01E0"/>
      </w:tblPr>
      <w:tblGrid>
        <w:gridCol w:w="4111"/>
        <w:gridCol w:w="2126"/>
        <w:gridCol w:w="3402"/>
      </w:tblGrid>
      <w:tr>
        <w:trPr>
          <w:trHeight w:val="335" w:hRule="exact"/>
        </w:trPr>
        <w:tc>
          <w:tcPr>
            <w:tcW w:w="4111"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126"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19"/>
              <w:ind w:left="69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402"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19"/>
              <w:ind w:left="92" w:right="0"/>
              <w:jc w:val="left"/>
              <w:rPr>
                <w:rFonts w:ascii="宋体" w:hAnsi="宋体" w:cs="宋体" w:eastAsia="宋体" w:hint="default"/>
                <w:sz w:val="18"/>
                <w:szCs w:val="18"/>
              </w:rPr>
            </w:pPr>
            <w:r>
              <w:rPr>
                <w:rFonts w:ascii="宋体" w:hAnsi="宋体" w:cs="宋体" w:eastAsia="宋体" w:hint="default"/>
                <w:sz w:val="18"/>
                <w:szCs w:val="18"/>
              </w:rPr>
              <w:t>占预付款项期末余额合计数的比例（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37" w:hRule="exact"/>
        </w:trPr>
        <w:tc>
          <w:tcPr>
            <w:tcW w:w="4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北京智芯微电子科技有限公司</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4,839,259.34</w:t>
            </w:r>
          </w:p>
        </w:tc>
        <w:tc>
          <w:tcPr>
            <w:tcW w:w="3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21.17</w:t>
            </w:r>
          </w:p>
        </w:tc>
      </w:tr>
      <w:tr>
        <w:trPr>
          <w:trHeight w:val="337" w:hRule="exact"/>
        </w:trPr>
        <w:tc>
          <w:tcPr>
            <w:tcW w:w="4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成都兰途网络科技有限公司</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1,332,764.20</w:t>
            </w:r>
          </w:p>
        </w:tc>
        <w:tc>
          <w:tcPr>
            <w:tcW w:w="3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5.83</w:t>
            </w:r>
          </w:p>
        </w:tc>
      </w:tr>
      <w:tr>
        <w:trPr>
          <w:trHeight w:val="337" w:hRule="exact"/>
        </w:trPr>
        <w:tc>
          <w:tcPr>
            <w:tcW w:w="4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阿里云计算有限公司</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1,113,576.93</w:t>
            </w:r>
          </w:p>
        </w:tc>
        <w:tc>
          <w:tcPr>
            <w:tcW w:w="3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4.87</w:t>
            </w:r>
          </w:p>
        </w:tc>
      </w:tr>
      <w:tr>
        <w:trPr>
          <w:trHeight w:val="337" w:hRule="exact"/>
        </w:trPr>
        <w:tc>
          <w:tcPr>
            <w:tcW w:w="4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北京聚微合智信息技术有限公司</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800,000.00</w:t>
            </w:r>
          </w:p>
        </w:tc>
        <w:tc>
          <w:tcPr>
            <w:tcW w:w="3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3.50</w:t>
            </w:r>
          </w:p>
        </w:tc>
      </w:tr>
      <w:tr>
        <w:trPr>
          <w:trHeight w:val="341" w:hRule="exact"/>
        </w:trPr>
        <w:tc>
          <w:tcPr>
            <w:tcW w:w="4111" w:type="dxa"/>
            <w:tcBorders>
              <w:top w:val="single" w:sz="2" w:space="0" w:color="000000"/>
              <w:left w:val="single" w:sz="2" w:space="0" w:color="000000"/>
              <w:bottom w:val="single" w:sz="4" w:space="0" w:color="BFBFBF"/>
              <w:right w:val="single" w:sz="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重庆国力天龙控制系统有限责任公司</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589,931.39</w:t>
            </w:r>
          </w:p>
        </w:tc>
        <w:tc>
          <w:tcPr>
            <w:tcW w:w="3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2.58</w:t>
            </w:r>
          </w:p>
        </w:tc>
      </w:tr>
      <w:tr>
        <w:trPr>
          <w:trHeight w:val="332" w:hRule="exact"/>
        </w:trPr>
        <w:tc>
          <w:tcPr>
            <w:tcW w:w="4111"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5"/>
              <w:jc w:val="right"/>
              <w:rPr>
                <w:rFonts w:ascii="Times New Roman" w:hAnsi="Times New Roman" w:cs="Times New Roman" w:eastAsia="Times New Roman" w:hint="default"/>
                <w:sz w:val="18"/>
                <w:szCs w:val="18"/>
              </w:rPr>
            </w:pPr>
            <w:r>
              <w:rPr>
                <w:rFonts w:ascii="Times New Roman"/>
                <w:spacing w:val="-1"/>
                <w:sz w:val="18"/>
              </w:rPr>
              <w:t>8,675,531.86</w:t>
            </w:r>
          </w:p>
        </w:tc>
        <w:tc>
          <w:tcPr>
            <w:tcW w:w="3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5"/>
              <w:jc w:val="right"/>
              <w:rPr>
                <w:rFonts w:ascii="Times New Roman" w:hAnsi="Times New Roman" w:cs="Times New Roman" w:eastAsia="Times New Roman" w:hint="default"/>
                <w:sz w:val="18"/>
                <w:szCs w:val="18"/>
              </w:rPr>
            </w:pPr>
            <w:r>
              <w:rPr>
                <w:rFonts w:ascii="Times New Roman"/>
                <w:sz w:val="18"/>
              </w:rPr>
              <w:t>37.95</w:t>
            </w:r>
          </w:p>
        </w:tc>
      </w:tr>
    </w:tbl>
    <w:p>
      <w:pPr>
        <w:spacing w:line="240" w:lineRule="auto" w:before="2"/>
        <w:rPr>
          <w:rFonts w:ascii="宋体" w:hAnsi="宋体" w:cs="宋体" w:eastAsia="宋体" w:hint="default"/>
          <w:b/>
          <w:bCs/>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8</w:t>
      </w:r>
      <w:r>
        <w:rPr/>
        <w:t>、其他应收款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89,033,755.99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62,538,708.35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89,033,755.99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62,538,708.35</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111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2</w:t>
      </w:r>
      <w:r>
        <w:rPr/>
        <w:t>）重要的账龄超过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12"/>
        <w:rPr>
          <w:rFonts w:ascii="宋体" w:hAnsi="宋体" w:cs="宋体" w:eastAsia="宋体" w:hint="default"/>
          <w:sz w:val="27"/>
          <w:szCs w:val="27"/>
        </w:rPr>
      </w:pPr>
    </w:p>
    <w:p>
      <w:pPr>
        <w:spacing w:before="44"/>
        <w:ind w:left="153" w:right="111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267,738.29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233,461.50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日常借款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5,780,932.81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5,976,424.32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其他单位</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23,631,323.06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14,729,106.38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保证金及其他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65,491,615.91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45,862,767.83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95,171,610.07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66,801,760.03</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6"/>
        <w:gridCol w:w="1650"/>
        <w:gridCol w:w="2099"/>
        <w:gridCol w:w="2099"/>
        <w:gridCol w:w="1804"/>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59"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6" w:type="dxa"/>
            <w:vMerge/>
            <w:tcBorders>
              <w:left w:val="single" w:sz="4" w:space="0" w:color="000000"/>
              <w:bottom w:val="single" w:sz="4" w:space="0" w:color="000000"/>
              <w:right w:val="single" w:sz="4" w:space="0" w:color="000000"/>
            </w:tcBorders>
            <w:shd w:val="clear" w:color="auto" w:fill="D3D3D3"/>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549" w:right="54"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（未发生信用减值）</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（已发生信用减值）</w:t>
            </w:r>
          </w:p>
        </w:tc>
        <w:tc>
          <w:tcPr>
            <w:tcW w:w="1804"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4,263,051.68</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4,263,051.68</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1,226,592.66</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1,226,592.66</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648,209.74</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648,209.74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6,137,854.08</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6,137,854.08</w:t>
            </w: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240" w:lineRule="auto" w:before="10"/>
        <w:rPr>
          <w:rFonts w:ascii="宋体" w:hAnsi="宋体" w:cs="宋体" w:eastAsia="宋体" w:hint="default"/>
          <w:sz w:val="20"/>
          <w:szCs w:val="20"/>
        </w:rPr>
      </w:pPr>
    </w:p>
    <w:p>
      <w:pPr>
        <w:spacing w:line="489" w:lineRule="auto" w:before="0"/>
        <w:ind w:left="154" w:right="91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按账龄披露</w:t>
      </w:r>
    </w:p>
    <w:p>
      <w:pPr>
        <w:spacing w:before="7"/>
        <w:ind w:left="0" w:right="112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43,440,163.64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43,440,163.64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26,150,411.55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13,307,189.21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12,273,845.67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896"/>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6,421,329.45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896"/>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1,960,396.59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896"/>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3,892,119.63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95,171,610.07</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line="240" w:lineRule="auto" w:before="7"/>
        <w:rPr>
          <w:rFonts w:ascii="宋体" w:hAnsi="宋体" w:cs="宋体" w:eastAsia="宋体" w:hint="default"/>
          <w:sz w:val="11"/>
          <w:szCs w:val="11"/>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51" w:type="dxa"/>
        <w:tblLayout w:type="fixed"/>
        <w:tblCellMar>
          <w:top w:w="0" w:type="dxa"/>
          <w:left w:w="0" w:type="dxa"/>
          <w:bottom w:w="0" w:type="dxa"/>
          <w:right w:w="0" w:type="dxa"/>
        </w:tblCellMar>
        <w:tblLook w:val="01E0"/>
      </w:tblPr>
      <w:tblGrid>
        <w:gridCol w:w="948"/>
        <w:gridCol w:w="1314"/>
        <w:gridCol w:w="1162"/>
        <w:gridCol w:w="1160"/>
        <w:gridCol w:w="1528"/>
        <w:gridCol w:w="1260"/>
        <w:gridCol w:w="2268"/>
      </w:tblGrid>
      <w:tr>
        <w:trPr>
          <w:trHeight w:val="337" w:hRule="exact"/>
        </w:trPr>
        <w:tc>
          <w:tcPr>
            <w:tcW w:w="948" w:type="dxa"/>
            <w:vMerge w:val="restart"/>
            <w:tcBorders>
              <w:top w:val="single" w:sz="2" w:space="0" w:color="000000"/>
              <w:left w:val="single" w:sz="2" w:space="0" w:color="000000"/>
              <w:right w:val="single" w:sz="2" w:space="0" w:color="000000"/>
            </w:tcBorders>
            <w:shd w:val="clear" w:color="auto" w:fill="BFBFBF"/>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314" w:type="dxa"/>
            <w:vMerge w:val="restart"/>
            <w:tcBorders>
              <w:top w:val="single" w:sz="2" w:space="0" w:color="000000"/>
              <w:left w:val="single" w:sz="2" w:space="0" w:color="000000"/>
              <w:right w:val="single" w:sz="2" w:space="0" w:color="000000"/>
            </w:tcBorders>
            <w:shd w:val="clear" w:color="auto" w:fill="BFBFBF"/>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1162" w:type="dxa"/>
            <w:vMerge w:val="restart"/>
            <w:tcBorders>
              <w:top w:val="single" w:sz="2" w:space="0" w:color="000000"/>
              <w:left w:val="single" w:sz="2" w:space="0" w:color="000000"/>
              <w:right w:val="single" w:sz="2" w:space="0" w:color="000000"/>
            </w:tcBorders>
            <w:shd w:val="clear" w:color="auto" w:fill="BFBFBF"/>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3948" w:type="dxa"/>
            <w:gridSpan w:val="3"/>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2268" w:type="dxa"/>
            <w:vMerge w:val="restart"/>
            <w:tcBorders>
              <w:top w:val="single" w:sz="2" w:space="0" w:color="000000"/>
              <w:left w:val="single" w:sz="2" w:space="0" w:color="000000"/>
              <w:right w:val="single" w:sz="2" w:space="0" w:color="000000"/>
            </w:tcBorders>
            <w:shd w:val="clear" w:color="auto" w:fill="BFBFBF"/>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37" w:hRule="exact"/>
        </w:trPr>
        <w:tc>
          <w:tcPr>
            <w:tcW w:w="948" w:type="dxa"/>
            <w:vMerge/>
            <w:tcBorders>
              <w:left w:val="single" w:sz="2" w:space="0" w:color="000000"/>
              <w:bottom w:val="single" w:sz="2" w:space="0" w:color="000000"/>
              <w:right w:val="single" w:sz="2" w:space="0" w:color="000000"/>
            </w:tcBorders>
            <w:shd w:val="clear" w:color="auto" w:fill="BFBFBF"/>
          </w:tcPr>
          <w:p>
            <w:pPr/>
          </w:p>
        </w:tc>
        <w:tc>
          <w:tcPr>
            <w:tcW w:w="1314" w:type="dxa"/>
            <w:vMerge/>
            <w:tcBorders>
              <w:left w:val="single" w:sz="2" w:space="0" w:color="000000"/>
              <w:bottom w:val="single" w:sz="2" w:space="0" w:color="000000"/>
              <w:right w:val="single" w:sz="2" w:space="0" w:color="000000"/>
            </w:tcBorders>
            <w:shd w:val="clear" w:color="auto" w:fill="BFBFBF"/>
          </w:tcPr>
          <w:p>
            <w:pPr/>
          </w:p>
        </w:tc>
        <w:tc>
          <w:tcPr>
            <w:tcW w:w="1162" w:type="dxa"/>
            <w:vMerge/>
            <w:tcBorders>
              <w:left w:val="single" w:sz="2" w:space="0" w:color="000000"/>
              <w:bottom w:val="single" w:sz="2" w:space="0" w:color="000000"/>
              <w:right w:val="single" w:sz="2" w:space="0" w:color="000000"/>
            </w:tcBorders>
            <w:shd w:val="clear" w:color="auto" w:fill="BFBFBF"/>
          </w:tcPr>
          <w:p>
            <w:pPr/>
          </w:p>
        </w:tc>
        <w:tc>
          <w:tcPr>
            <w:tcW w:w="1160"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528"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left="31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260"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left="87"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2268" w:type="dxa"/>
            <w:vMerge/>
            <w:tcBorders>
              <w:left w:val="single" w:sz="2" w:space="0" w:color="000000"/>
              <w:bottom w:val="single" w:sz="2" w:space="0" w:color="000000"/>
              <w:right w:val="single" w:sz="2" w:space="0" w:color="000000"/>
            </w:tcBorders>
            <w:shd w:val="clear" w:color="auto" w:fill="BFBFBF"/>
          </w:tcPr>
          <w:p>
            <w:pPr/>
          </w:p>
        </w:tc>
      </w:tr>
      <w:tr>
        <w:trPr>
          <w:trHeight w:val="650" w:hRule="exact"/>
        </w:trPr>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20"/>
              <w:ind w:left="380" w:right="20" w:hanging="360"/>
              <w:jc w:val="left"/>
              <w:rPr>
                <w:rFonts w:ascii="宋体" w:hAnsi="宋体" w:cs="宋体" w:eastAsia="宋体" w:hint="default"/>
                <w:sz w:val="18"/>
                <w:szCs w:val="18"/>
              </w:rPr>
            </w:pPr>
            <w:r>
              <w:rPr>
                <w:rFonts w:ascii="宋体" w:hAnsi="宋体" w:cs="宋体" w:eastAsia="宋体" w:hint="default"/>
                <w:sz w:val="18"/>
                <w:szCs w:val="18"/>
              </w:rPr>
              <w:t>信用风险组 合</w:t>
            </w:r>
          </w:p>
        </w:tc>
        <w:tc>
          <w:tcPr>
            <w:tcW w:w="13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4,263,051.68</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4,263,051.68</w:t>
            </w:r>
          </w:p>
        </w:tc>
        <w:tc>
          <w:tcPr>
            <w:tcW w:w="11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1,226,592.66</w:t>
            </w:r>
          </w:p>
        </w:tc>
        <w:tc>
          <w:tcPr>
            <w:tcW w:w="1528"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648,209.74</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6,137,854.08</w:t>
            </w:r>
          </w:p>
        </w:tc>
      </w:tr>
      <w:tr>
        <w:trPr>
          <w:trHeight w:val="337" w:hRule="exact"/>
        </w:trPr>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9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4,263,051.68</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4,263,051.68</w:t>
            </w:r>
          </w:p>
        </w:tc>
        <w:tc>
          <w:tcPr>
            <w:tcW w:w="11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1,226,592.66</w:t>
            </w:r>
          </w:p>
        </w:tc>
        <w:tc>
          <w:tcPr>
            <w:tcW w:w="1528"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648,209.74</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6,137,854.08</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51"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09" w:hRule="exact"/>
        </w:trPr>
        <w:tc>
          <w:tcPr>
            <w:tcW w:w="159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9" w:lineRule="auto" w:before="51"/>
              <w:ind w:left="75" w:right="73"/>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3"/>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09" w:hRule="exact"/>
        </w:trPr>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25" w:right="121"/>
              <w:jc w:val="left"/>
              <w:rPr>
                <w:rFonts w:ascii="宋体" w:hAnsi="宋体" w:cs="宋体" w:eastAsia="宋体" w:hint="default"/>
                <w:sz w:val="18"/>
                <w:szCs w:val="18"/>
              </w:rPr>
            </w:pPr>
            <w:r>
              <w:rPr>
                <w:rFonts w:ascii="宋体" w:hAnsi="宋体" w:cs="宋体" w:eastAsia="宋体" w:hint="default"/>
                <w:sz w:val="18"/>
                <w:szCs w:val="18"/>
              </w:rPr>
              <w:t>郑州瑞茂通供应链 有限公司</w:t>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其他单位</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4,796,000.00</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5.04%</w:t>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1,438,800.00</w:t>
            </w:r>
          </w:p>
        </w:tc>
      </w:tr>
      <w:tr>
        <w:trPr>
          <w:trHeight w:val="709" w:hRule="exact"/>
        </w:trPr>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大连理工大学</w:t>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保证金及其他</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2,946,397.13</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3.10%</w:t>
            </w:r>
          </w:p>
        </w:tc>
        <w:tc>
          <w:tcPr>
            <w:tcW w:w="1595" w:type="dxa"/>
            <w:tcBorders>
              <w:top w:val="single" w:sz="2" w:space="0" w:color="000000"/>
              <w:left w:val="single" w:sz="2" w:space="0" w:color="000000"/>
              <w:bottom w:val="single" w:sz="2" w:space="0" w:color="000000"/>
              <w:right w:val="single" w:sz="2" w:space="0" w:color="000000"/>
            </w:tcBorders>
          </w:tcPr>
          <w:p>
            <w:pPr/>
          </w:p>
        </w:tc>
      </w:tr>
      <w:tr>
        <w:trPr>
          <w:trHeight w:val="396" w:hRule="exact"/>
        </w:trPr>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西安外国语大学</w:t>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保证金及其他</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2,329,700.00</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2.45%</w:t>
            </w:r>
          </w:p>
        </w:tc>
        <w:tc>
          <w:tcPr>
            <w:tcW w:w="1595" w:type="dxa"/>
            <w:tcBorders>
              <w:top w:val="single" w:sz="2" w:space="0" w:color="000000"/>
              <w:left w:val="single" w:sz="2" w:space="0" w:color="000000"/>
              <w:bottom w:val="single" w:sz="2" w:space="0" w:color="000000"/>
              <w:right w:val="single" w:sz="2" w:space="0" w:color="000000"/>
            </w:tcBorders>
          </w:tcPr>
          <w:p>
            <w:pPr/>
          </w:p>
        </w:tc>
      </w:tr>
      <w:tr>
        <w:trPr>
          <w:trHeight w:val="709" w:hRule="exact"/>
        </w:trPr>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北京中医药大学</w:t>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保证金及其他</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2,158,560.10</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2.27%</w:t>
            </w:r>
          </w:p>
        </w:tc>
        <w:tc>
          <w:tcPr>
            <w:tcW w:w="1595" w:type="dxa"/>
            <w:tcBorders>
              <w:top w:val="single" w:sz="2" w:space="0" w:color="000000"/>
              <w:left w:val="single" w:sz="2" w:space="0" w:color="000000"/>
              <w:bottom w:val="single" w:sz="2" w:space="0" w:color="000000"/>
              <w:right w:val="single" w:sz="2" w:space="0" w:color="000000"/>
            </w:tcBorders>
          </w:tcPr>
          <w:p>
            <w:pPr/>
          </w:p>
        </w:tc>
      </w:tr>
      <w:tr>
        <w:trPr>
          <w:trHeight w:val="397" w:hRule="exact"/>
        </w:trPr>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四川农业大学</w:t>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保证金及其他</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2,150,455.00</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2.26%</w:t>
            </w:r>
          </w:p>
        </w:tc>
        <w:tc>
          <w:tcPr>
            <w:tcW w:w="1595" w:type="dxa"/>
            <w:tcBorders>
              <w:top w:val="single" w:sz="2" w:space="0" w:color="000000"/>
              <w:left w:val="single" w:sz="2" w:space="0" w:color="000000"/>
              <w:bottom w:val="single" w:sz="2" w:space="0" w:color="000000"/>
              <w:right w:val="single" w:sz="2" w:space="0" w:color="000000"/>
            </w:tcBorders>
          </w:tcPr>
          <w:p>
            <w:pPr/>
          </w:p>
        </w:tc>
      </w:tr>
      <w:tr>
        <w:trPr>
          <w:trHeight w:val="397" w:hRule="exact"/>
        </w:trPr>
        <w:tc>
          <w:tcPr>
            <w:tcW w:w="159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14,381,112.23</w:t>
            </w:r>
          </w:p>
        </w:tc>
        <w:tc>
          <w:tcPr>
            <w:tcW w:w="159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15.12%</w:t>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1,438,800.00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1113"/>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13"/>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240" w:lineRule="auto" w:before="12"/>
        <w:rPr>
          <w:rFonts w:ascii="宋体" w:hAnsi="宋体" w:cs="宋体" w:eastAsia="宋体" w:hint="default"/>
          <w:sz w:val="20"/>
          <w:szCs w:val="20"/>
        </w:rPr>
      </w:pPr>
    </w:p>
    <w:p>
      <w:pPr>
        <w:spacing w:before="0"/>
        <w:ind w:left="153"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111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51"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397" w:hRule="exact"/>
        </w:trPr>
        <w:tc>
          <w:tcPr>
            <w:tcW w:w="1368" w:type="dxa"/>
            <w:vMerge w:val="restart"/>
            <w:tcBorders>
              <w:top w:val="single" w:sz="2" w:space="0" w:color="000000"/>
              <w:left w:val="single" w:sz="2" w:space="0" w:color="000000"/>
              <w:right w:val="single" w:sz="2"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7" w:hRule="exact"/>
        </w:trPr>
        <w:tc>
          <w:tcPr>
            <w:tcW w:w="1368" w:type="dxa"/>
            <w:vMerge/>
            <w:tcBorders>
              <w:left w:val="single" w:sz="2" w:space="0" w:color="000000"/>
              <w:bottom w:val="single" w:sz="2" w:space="0" w:color="000000"/>
              <w:right w:val="single" w:sz="2" w:space="0" w:color="000000"/>
            </w:tcBorders>
            <w:shd w:val="clear" w:color="auto" w:fill="D3D3D3"/>
          </w:tcPr>
          <w:p>
            <w:pPr/>
          </w:p>
        </w:tc>
        <w:tc>
          <w:tcPr>
            <w:tcW w:w="136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3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32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32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32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97" w:hRule="exact"/>
        </w:trPr>
        <w:tc>
          <w:tcPr>
            <w:tcW w:w="136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22,576,938.85</w:t>
            </w:r>
          </w:p>
        </w:tc>
        <w:tc>
          <w:tcPr>
            <w:tcW w:w="1367" w:type="dxa"/>
            <w:tcBorders>
              <w:top w:val="single" w:sz="2" w:space="0" w:color="000000"/>
              <w:left w:val="single" w:sz="2" w:space="0" w:color="000000"/>
              <w:bottom w:val="single" w:sz="2" w:space="0" w:color="000000"/>
              <w:right w:val="single" w:sz="2" w:space="0" w:color="000000"/>
            </w:tcBorders>
          </w:tcPr>
          <w:p>
            <w:pP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22,576,938.85</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29,104,992.71</w:t>
            </w:r>
          </w:p>
        </w:tc>
        <w:tc>
          <w:tcPr>
            <w:tcW w:w="1367" w:type="dxa"/>
            <w:tcBorders>
              <w:top w:val="single" w:sz="2" w:space="0" w:color="000000"/>
              <w:left w:val="single" w:sz="2" w:space="0" w:color="000000"/>
              <w:bottom w:val="single" w:sz="2" w:space="0" w:color="000000"/>
              <w:right w:val="single" w:sz="2" w:space="0" w:color="000000"/>
            </w:tcBorders>
          </w:tcPr>
          <w:p>
            <w:pP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29,104,992.71</w:t>
            </w:r>
          </w:p>
        </w:tc>
      </w:tr>
      <w:tr>
        <w:trPr>
          <w:trHeight w:val="396" w:hRule="exact"/>
        </w:trPr>
        <w:tc>
          <w:tcPr>
            <w:tcW w:w="136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4,119,728.49</w:t>
            </w:r>
          </w:p>
        </w:tc>
        <w:tc>
          <w:tcPr>
            <w:tcW w:w="1367" w:type="dxa"/>
            <w:tcBorders>
              <w:top w:val="single" w:sz="2" w:space="0" w:color="000000"/>
              <w:left w:val="single" w:sz="2" w:space="0" w:color="000000"/>
              <w:bottom w:val="single" w:sz="2" w:space="0" w:color="000000"/>
              <w:right w:val="single" w:sz="2" w:space="0" w:color="000000"/>
            </w:tcBorders>
          </w:tcPr>
          <w:p>
            <w:pP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4,119,728.49</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5,460,245.68</w:t>
            </w:r>
          </w:p>
        </w:tc>
        <w:tc>
          <w:tcPr>
            <w:tcW w:w="1367" w:type="dxa"/>
            <w:tcBorders>
              <w:top w:val="single" w:sz="2" w:space="0" w:color="000000"/>
              <w:left w:val="single" w:sz="2" w:space="0" w:color="000000"/>
              <w:bottom w:val="single" w:sz="2" w:space="0" w:color="000000"/>
              <w:right w:val="single" w:sz="2" w:space="0" w:color="000000"/>
            </w:tcBorders>
          </w:tcPr>
          <w:p>
            <w:pP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5,460,245.68</w:t>
            </w:r>
          </w:p>
        </w:tc>
      </w:tr>
      <w:tr>
        <w:trPr>
          <w:trHeight w:val="397" w:hRule="exact"/>
        </w:trPr>
        <w:tc>
          <w:tcPr>
            <w:tcW w:w="136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27,219,157.99</w:t>
            </w:r>
          </w:p>
        </w:tc>
        <w:tc>
          <w:tcPr>
            <w:tcW w:w="1367" w:type="dxa"/>
            <w:tcBorders>
              <w:top w:val="single" w:sz="2" w:space="0" w:color="000000"/>
              <w:left w:val="single" w:sz="2" w:space="0" w:color="000000"/>
              <w:bottom w:val="single" w:sz="2" w:space="0" w:color="000000"/>
              <w:right w:val="single" w:sz="2" w:space="0" w:color="000000"/>
            </w:tcBorders>
          </w:tcPr>
          <w:p>
            <w:pP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27,219,157.99</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33,260,253.67</w:t>
            </w:r>
          </w:p>
        </w:tc>
        <w:tc>
          <w:tcPr>
            <w:tcW w:w="1367" w:type="dxa"/>
            <w:tcBorders>
              <w:top w:val="single" w:sz="2" w:space="0" w:color="000000"/>
              <w:left w:val="single" w:sz="2" w:space="0" w:color="000000"/>
              <w:bottom w:val="single" w:sz="2" w:space="0" w:color="000000"/>
              <w:right w:val="single" w:sz="2" w:space="0" w:color="000000"/>
            </w:tcBorders>
          </w:tcPr>
          <w:p>
            <w:pP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33,260,253.67</w:t>
            </w:r>
          </w:p>
        </w:tc>
      </w:tr>
      <w:tr>
        <w:trPr>
          <w:trHeight w:val="397" w:hRule="exact"/>
        </w:trPr>
        <w:tc>
          <w:tcPr>
            <w:tcW w:w="136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169,387,830.77</w:t>
            </w:r>
          </w:p>
        </w:tc>
        <w:tc>
          <w:tcPr>
            <w:tcW w:w="1367" w:type="dxa"/>
            <w:tcBorders>
              <w:top w:val="single" w:sz="2" w:space="0" w:color="000000"/>
              <w:left w:val="single" w:sz="2" w:space="0" w:color="000000"/>
              <w:bottom w:val="single" w:sz="2" w:space="0" w:color="000000"/>
              <w:right w:val="single" w:sz="2" w:space="0" w:color="000000"/>
            </w:tcBorders>
          </w:tcPr>
          <w:p>
            <w:pP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169,387,830.77</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145,736,220.41</w:t>
            </w:r>
          </w:p>
        </w:tc>
        <w:tc>
          <w:tcPr>
            <w:tcW w:w="1367" w:type="dxa"/>
            <w:tcBorders>
              <w:top w:val="single" w:sz="2" w:space="0" w:color="000000"/>
              <w:left w:val="single" w:sz="2" w:space="0" w:color="000000"/>
              <w:bottom w:val="single" w:sz="2" w:space="0" w:color="000000"/>
              <w:right w:val="single" w:sz="2" w:space="0" w:color="000000"/>
            </w:tcBorders>
          </w:tcPr>
          <w:p>
            <w:pP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145,736,220.41</w:t>
            </w:r>
          </w:p>
        </w:tc>
      </w:tr>
      <w:tr>
        <w:trPr>
          <w:trHeight w:val="397" w:hRule="exact"/>
        </w:trPr>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14,375,449.97</w:t>
            </w:r>
          </w:p>
        </w:tc>
        <w:tc>
          <w:tcPr>
            <w:tcW w:w="1367" w:type="dxa"/>
            <w:tcBorders>
              <w:top w:val="single" w:sz="2" w:space="0" w:color="000000"/>
              <w:left w:val="single" w:sz="2" w:space="0" w:color="000000"/>
              <w:bottom w:val="single" w:sz="2" w:space="0" w:color="000000"/>
              <w:right w:val="single" w:sz="2" w:space="0" w:color="000000"/>
            </w:tcBorders>
          </w:tcPr>
          <w:p>
            <w:pP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14,375,449.97</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21,062,585.58</w:t>
            </w:r>
          </w:p>
        </w:tc>
        <w:tc>
          <w:tcPr>
            <w:tcW w:w="1367" w:type="dxa"/>
            <w:tcBorders>
              <w:top w:val="single" w:sz="2" w:space="0" w:color="000000"/>
              <w:left w:val="single" w:sz="2" w:space="0" w:color="000000"/>
              <w:bottom w:val="single" w:sz="2" w:space="0" w:color="000000"/>
              <w:right w:val="single" w:sz="2" w:space="0" w:color="000000"/>
            </w:tcBorders>
          </w:tcPr>
          <w:p>
            <w:pP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21,062,585.58</w:t>
            </w:r>
          </w:p>
        </w:tc>
      </w:tr>
      <w:tr>
        <w:trPr>
          <w:trHeight w:val="397" w:hRule="exact"/>
        </w:trPr>
        <w:tc>
          <w:tcPr>
            <w:tcW w:w="136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237,679,106.07</w:t>
            </w:r>
          </w:p>
        </w:tc>
        <w:tc>
          <w:tcPr>
            <w:tcW w:w="1367" w:type="dxa"/>
            <w:tcBorders>
              <w:top w:val="single" w:sz="2" w:space="0" w:color="000000"/>
              <w:left w:val="single" w:sz="2" w:space="0" w:color="000000"/>
              <w:bottom w:val="single" w:sz="2" w:space="0" w:color="000000"/>
              <w:right w:val="single" w:sz="2" w:space="0" w:color="000000"/>
            </w:tcBorders>
          </w:tcPr>
          <w:p>
            <w:pP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237,679,106.07</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234,624,298.05</w:t>
            </w:r>
          </w:p>
        </w:tc>
        <w:tc>
          <w:tcPr>
            <w:tcW w:w="1367" w:type="dxa"/>
            <w:tcBorders>
              <w:top w:val="single" w:sz="2" w:space="0" w:color="000000"/>
              <w:left w:val="single" w:sz="2" w:space="0" w:color="000000"/>
              <w:bottom w:val="single" w:sz="2" w:space="0" w:color="000000"/>
              <w:right w:val="single" w:sz="2" w:space="0" w:color="000000"/>
            </w:tcBorders>
          </w:tcPr>
          <w:p>
            <w:pP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234,624,298.05</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240" w:lineRule="auto" w:before="12"/>
        <w:rPr>
          <w:rFonts w:ascii="宋体" w:hAnsi="宋体" w:cs="宋体" w:eastAsia="宋体" w:hint="default"/>
          <w:sz w:val="20"/>
          <w:szCs w:val="20"/>
        </w:rPr>
      </w:pPr>
    </w:p>
    <w:p>
      <w:pPr>
        <w:spacing w:before="0"/>
        <w:ind w:left="153"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5"/>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待抵扣增值税进项税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1,221,379.09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70,266.19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1,221,379.09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70,266.19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1113"/>
        <w:jc w:val="left"/>
        <w:rPr>
          <w:b w:val="0"/>
          <w:bCs w:val="0"/>
        </w:rPr>
      </w:pPr>
      <w:r>
        <w:rPr>
          <w:rFonts w:ascii="Times New Roman" w:hAnsi="Times New Roman" w:cs="Times New Roman" w:eastAsia="Times New Roman" w:hint="default"/>
        </w:rPr>
        <w:t>11</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319" w:lineRule="auto" w:before="76"/>
              <w:ind w:left="214" w:right="31"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319" w:lineRule="auto" w:before="76"/>
              <w:ind w:left="213" w:right="32"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成都兰途 网络科技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7,649,143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-429,683.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7,219,460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嘉兴丹诚 开普股权 投资合伙 企业（有 限合伙）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37,483,40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1,712,000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-691,411.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38,503,99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0.53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北京希嘉 创智教育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39,128,16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8,749,997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-3,012,99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-44,865,1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68.39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北京乐智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3,713,036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-59,544.9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3,653,491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87,973,74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10,461,99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-4,193,63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-44,865,1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68.39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49,376,94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2.34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87,973,74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10,461,99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-4,193,63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-44,865,1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68.39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49,376,94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2.34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8"/>
          <w:szCs w:val="18"/>
        </w:rPr>
      </w:pPr>
    </w:p>
    <w:p>
      <w:pPr>
        <w:pStyle w:val="BodyText"/>
        <w:spacing w:line="386" w:lineRule="auto" w:before="0"/>
        <w:ind w:left="153" w:right="993" w:firstLine="420"/>
        <w:jc w:val="left"/>
      </w:pP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1-5</w:t>
      </w:r>
      <w:r>
        <w:rPr>
          <w:spacing w:val="-4"/>
        </w:rPr>
        <w:t>月份北京希嘉创智教育科技有限公司为公司的联营企业，</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31</w:t>
      </w:r>
      <w:r>
        <w:rPr>
          <w:spacing w:val="-4"/>
        </w:rPr>
        <w:t>日达到控制，详见</w:t>
      </w:r>
      <w:r>
        <w:rPr>
          <w:rFonts w:ascii="Times New Roman" w:hAnsi="Times New Roman" w:cs="Times New Roman" w:eastAsia="Times New Roman" w:hint="default"/>
          <w:spacing w:val="-4"/>
        </w:rPr>
        <w:t>“</w:t>
      </w:r>
      <w:r>
        <w:rPr>
          <w:spacing w:val="-4"/>
        </w:rPr>
        <w:t>八、</w:t>
      </w:r>
      <w:r>
        <w:rPr/>
        <w:t> 合并范围的变更</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十二、</w:t>
      </w:r>
      <w:r>
        <w:rPr>
          <w:rFonts w:ascii="Times New Roman" w:hAnsi="Times New Roman" w:cs="Times New Roman" w:eastAsia="Times New Roman" w:hint="default"/>
        </w:rPr>
        <w:t>8</w:t>
      </w:r>
      <w:r>
        <w:rPr/>
        <w:t>其他</w:t>
      </w:r>
      <w:r>
        <w:rPr>
          <w:rFonts w:ascii="Times New Roman" w:hAnsi="Times New Roman" w:cs="Times New Roman" w:eastAsia="Times New Roman" w:hint="default"/>
        </w:rPr>
        <w:t>”</w:t>
      </w:r>
      <w:r>
        <w:rPr/>
        <w:t>中第</w:t>
      </w:r>
      <w:r>
        <w:rPr>
          <w:rFonts w:ascii="Times New Roman" w:hAnsi="Times New Roman" w:cs="Times New Roman" w:eastAsia="Times New Roman" w:hint="default"/>
        </w:rPr>
        <w:t>5</w:t>
      </w:r>
      <w:r>
        <w:rPr/>
        <w:t>条</w:t>
      </w:r>
      <w:r>
        <w:rPr>
          <w:rFonts w:ascii="Times New Roman" w:hAnsi="Times New Roman" w:cs="Times New Roman" w:eastAsia="Times New Roman" w:hint="default"/>
        </w:rPr>
        <w:t>“</w:t>
      </w:r>
      <w:r>
        <w:rPr/>
        <w:t>公司增资参股公司</w:t>
      </w:r>
      <w:r>
        <w:rPr>
          <w:rFonts w:ascii="Times New Roman" w:hAnsi="Times New Roman" w:cs="Times New Roman" w:eastAsia="Times New Roman" w:hint="default"/>
        </w:rPr>
        <w:t>”</w:t>
      </w:r>
      <w:r>
        <w:rPr/>
        <w:t>所述。</w:t>
      </w:r>
    </w:p>
    <w:p>
      <w:pPr>
        <w:spacing w:line="240" w:lineRule="auto" w:before="10"/>
        <w:rPr>
          <w:rFonts w:ascii="宋体" w:hAnsi="宋体" w:cs="宋体" w:eastAsia="宋体" w:hint="default"/>
          <w:sz w:val="19"/>
          <w:szCs w:val="19"/>
        </w:rPr>
      </w:pPr>
    </w:p>
    <w:p>
      <w:pPr>
        <w:pStyle w:val="Heading3"/>
        <w:spacing w:line="240" w:lineRule="auto"/>
        <w:ind w:left="153" w:right="1113"/>
        <w:jc w:val="left"/>
        <w:rPr>
          <w:b w:val="0"/>
          <w:bCs w:val="0"/>
        </w:rPr>
      </w:pPr>
      <w:r>
        <w:rPr>
          <w:rFonts w:ascii="Times New Roman" w:hAnsi="Times New Roman" w:cs="Times New Roman" w:eastAsia="Times New Roman" w:hint="default"/>
        </w:rPr>
        <w:t>12</w:t>
      </w:r>
      <w:r>
        <w:rPr/>
        <w:t>、其他权益工具投资</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河南华夏海纳创业投资集团有限公司</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北京新洞察信息服务有限责任公司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18,060,000.00</w:t>
            </w: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分项披露本期非交易性权益工具投资</w:t>
      </w:r>
    </w:p>
    <w:p>
      <w:pPr>
        <w:spacing w:line="240" w:lineRule="auto" w:before="7"/>
        <w:rPr>
          <w:rFonts w:ascii="宋体" w:hAnsi="宋体" w:cs="宋体" w:eastAsia="宋体" w:hint="default"/>
          <w:sz w:val="11"/>
          <w:szCs w:val="11"/>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1337"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9" w:right="47"/>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8" w:right="47"/>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r>
        <w:trPr>
          <w:trHeight w:val="1027"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both"/>
              <w:rPr>
                <w:rFonts w:ascii="宋体" w:hAnsi="宋体" w:cs="宋体" w:eastAsia="宋体" w:hint="default"/>
                <w:sz w:val="18"/>
                <w:szCs w:val="18"/>
              </w:rPr>
            </w:pPr>
            <w:r>
              <w:rPr>
                <w:rFonts w:ascii="宋体" w:hAnsi="宋体" w:cs="宋体" w:eastAsia="宋体" w:hint="default"/>
                <w:sz w:val="18"/>
                <w:szCs w:val="18"/>
              </w:rPr>
              <w:t>北京新洞察信息 服务有限责任公 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并非为交易目的 而持有的权益工 具</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13"/>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25,500,252.78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25,500,252.78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25,500,252.78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25,500,252.78</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9,741,174.72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9,741,174.72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686,969.82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686,969.82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686,969.82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686,969.82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10,428,144.54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10,428,144.54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15,072,108.24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15,072,108.24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15,759,078.06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15,759,078.06</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1113"/>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13"/>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137,053,106.06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139,766,959.56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137,053,106.06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139,766,959.56</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8" w:right="0"/>
              <w:jc w:val="left"/>
              <w:rPr>
                <w:rFonts w:ascii="Times New Roman" w:hAnsi="Times New Roman" w:cs="Times New Roman" w:eastAsia="Times New Roman" w:hint="default"/>
                <w:sz w:val="18"/>
                <w:szCs w:val="18"/>
              </w:rPr>
            </w:pPr>
            <w:r>
              <w:rPr>
                <w:rFonts w:ascii="Times New Roman"/>
                <w:sz w:val="18"/>
              </w:rPr>
              <w:t>128,346,728.97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23,673,082.98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12,834,938.15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30,287,485.65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195,142,235.75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5,490,724.00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589,912.52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2,777,552.49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8,858,189.01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2,434,231.99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589,912.52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2,714,463.94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5,738,608.45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3,056,492.01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3,056,492.01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63,088.55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63,088.55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113,069.00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671,257.80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3,406,683.12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4,191,009.92</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113,069.00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671,257.80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3,406,683.12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4,191,009.92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128,346,728.97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29,050,737.98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12,753,592.87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29,658,355.02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199,809,414.84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17,222,526.10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11,497,088.54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7,143,267.16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19,512,394.39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55,375,276.19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3,822,824.40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2,558,670.94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1,162,395.90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3,499,126.95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11,043,018.19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3,822,824.40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2,558,670.94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1,162,395.90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3,459,124.07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11,003,015.31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40,002.88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78,115.20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487,704.83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3,096,165.57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3,661,985.60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78,115.20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487,704.83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3,096,165.57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3,661,985.60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21,045,350.50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13,977,644.28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7,817,958.23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19,915,355.77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62,756,308.78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107,301,378.47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15,073,093.70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4,935,634.64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9,742,999.25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137,053,106.06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111,124,202.87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12,175,994.44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5,691,670.99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10,775,091.26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139,766,959.56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7"/>
        <w:rPr>
          <w:rFonts w:ascii="Times New Roman" w:hAnsi="Times New Roman" w:cs="Times New Roman" w:eastAsia="Times New Roman" w:hint="default"/>
          <w:sz w:val="23"/>
          <w:szCs w:val="23"/>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13"/>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13"/>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13"/>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2,236,716.70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2,236,716.70</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237,662.19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237,662.19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1,999,054.51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1,999,054.51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2,236,716.70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2,236,716.70</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13"/>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13"/>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13"/>
        <w:jc w:val="left"/>
        <w:rPr>
          <w:b w:val="0"/>
          <w:bCs w:val="0"/>
        </w:rPr>
      </w:pPr>
      <w:r>
        <w:rPr>
          <w:rFonts w:ascii="Times New Roman" w:hAnsi="Times New Roman" w:cs="Times New Roman" w:eastAsia="Times New Roman" w:hint="default"/>
        </w:rPr>
        <w:t>16</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1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商标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5,591,081.60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19,910,000.00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3,693,200.00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70,051,641.79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99,245,923.39</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5,939,019.30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39,743,985.41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45,683,004.71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269,032.79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269,032.79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18,869,197.43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18,869,197.43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2" w:firstLine="52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5,939,019.30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20,460,913.20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26,399,932.50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在建工程转入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144,841.99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144,841.99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5,591,081.60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25,849,019.30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3,693,200.00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109,795,627.20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144,928,928.10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866,617.16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5,641,166.80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45,550,052.85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52,057,836.81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111,821.64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4,278,950.95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20,939,556.58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25,330,329.17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111,821.64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4,278,950.95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15,934,365.97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20,325,138.56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5,005,190.61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5,005,190.61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978,438.80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9,920,117.75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66,489,609.43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77,388,165.98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4,612,642.80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15,928,901.55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3,693,200.00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43,306,017.77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67,540,762.12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4,724,464.44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14,268,833.20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3,693,200.00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24,501,588.94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47,188,086.58</w:t>
            </w:r>
          </w:p>
        </w:tc>
      </w:tr>
    </w:tbl>
    <w:p>
      <w:pPr>
        <w:spacing w:line="240" w:lineRule="auto" w:before="4"/>
        <w:rPr>
          <w:rFonts w:ascii="Times New Roman" w:hAnsi="Times New Roman" w:cs="Times New Roman" w:eastAsia="Times New Roman" w:hint="default"/>
          <w:sz w:val="7"/>
          <w:szCs w:val="7"/>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31.70%</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1113"/>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17</w:t>
      </w:r>
      <w:r>
        <w:rPr/>
        <w:t>、开发支出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51" w:type="dxa"/>
        <w:tblLayout w:type="fixed"/>
        <w:tblCellMar>
          <w:top w:w="0" w:type="dxa"/>
          <w:left w:w="0" w:type="dxa"/>
          <w:bottom w:w="0" w:type="dxa"/>
          <w:right w:w="0" w:type="dxa"/>
        </w:tblCellMar>
        <w:tblLook w:val="01E0"/>
      </w:tblPr>
      <w:tblGrid>
        <w:gridCol w:w="1063"/>
        <w:gridCol w:w="1063"/>
        <w:gridCol w:w="1063"/>
        <w:gridCol w:w="1062"/>
        <w:gridCol w:w="1063"/>
        <w:gridCol w:w="1063"/>
        <w:gridCol w:w="1063"/>
        <w:gridCol w:w="1063"/>
        <w:gridCol w:w="1063"/>
      </w:tblGrid>
      <w:tr>
        <w:trPr>
          <w:trHeight w:val="397" w:hRule="exact"/>
        </w:trPr>
        <w:tc>
          <w:tcPr>
            <w:tcW w:w="1063" w:type="dxa"/>
            <w:vMerge w:val="restart"/>
            <w:tcBorders>
              <w:top w:val="single" w:sz="2" w:space="0" w:color="000000"/>
              <w:left w:val="single" w:sz="2" w:space="0" w:color="000000"/>
              <w:right w:val="single" w:sz="2"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single" w:sz="2" w:space="0" w:color="000000"/>
              <w:left w:val="single" w:sz="2" w:space="0" w:color="000000"/>
              <w:right w:val="single" w:sz="2"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8" w:type="dxa"/>
            <w:gridSpan w:val="3"/>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105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vMerge w:val="restart"/>
            <w:tcBorders>
              <w:top w:val="single" w:sz="2" w:space="0" w:color="000000"/>
              <w:left w:val="single" w:sz="2" w:space="0" w:color="000000"/>
              <w:right w:val="single" w:sz="2"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07" w:hRule="exact"/>
        </w:trPr>
        <w:tc>
          <w:tcPr>
            <w:tcW w:w="1063" w:type="dxa"/>
            <w:vMerge/>
            <w:tcBorders>
              <w:left w:val="single" w:sz="2" w:space="0" w:color="000000"/>
              <w:bottom w:val="single" w:sz="2" w:space="0" w:color="000000"/>
              <w:right w:val="single" w:sz="2" w:space="0" w:color="000000"/>
            </w:tcBorders>
            <w:shd w:val="clear" w:color="auto" w:fill="D3D3D3"/>
          </w:tcPr>
          <w:p>
            <w:pPr/>
          </w:p>
        </w:tc>
        <w:tc>
          <w:tcPr>
            <w:tcW w:w="1063" w:type="dxa"/>
            <w:vMerge/>
            <w:tcBorders>
              <w:left w:val="single" w:sz="2" w:space="0" w:color="000000"/>
              <w:bottom w:val="single" w:sz="2" w:space="0" w:color="000000"/>
              <w:right w:val="single" w:sz="2" w:space="0" w:color="000000"/>
            </w:tcBorders>
            <w:shd w:val="clear" w:color="auto" w:fill="D3D3D3"/>
          </w:tcPr>
          <w:p>
            <w:pPr/>
          </w:p>
        </w:tc>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437" w:right="78"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
        </w:tc>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349" w:right="77" w:hanging="270"/>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438" w:right="78"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
        </w:tc>
        <w:tc>
          <w:tcPr>
            <w:tcW w:w="1063" w:type="dxa"/>
            <w:vMerge/>
            <w:tcBorders>
              <w:left w:val="single" w:sz="2" w:space="0" w:color="000000"/>
              <w:bottom w:val="single" w:sz="2" w:space="0" w:color="000000"/>
              <w:right w:val="single" w:sz="2" w:space="0" w:color="000000"/>
            </w:tcBorders>
            <w:shd w:val="clear" w:color="auto" w:fill="D3D3D3"/>
          </w:tcPr>
          <w:p>
            <w:pPr/>
          </w:p>
        </w:tc>
      </w:tr>
      <w:tr>
        <w:trPr>
          <w:trHeight w:val="1024" w:hRule="exact"/>
        </w:trPr>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3"/>
              <w:ind w:left="25" w:right="131"/>
              <w:jc w:val="both"/>
              <w:rPr>
                <w:rFonts w:ascii="宋体" w:hAnsi="宋体" w:cs="宋体" w:eastAsia="宋体" w:hint="default"/>
                <w:sz w:val="18"/>
                <w:szCs w:val="18"/>
              </w:rPr>
            </w:pPr>
            <w:r>
              <w:rPr>
                <w:rFonts w:ascii="宋体" w:hAnsi="宋体" w:cs="宋体" w:eastAsia="宋体" w:hint="default"/>
                <w:sz w:val="18"/>
                <w:szCs w:val="18"/>
              </w:rPr>
              <w:t>高校学生行 为轨迹研究 与开发</w:t>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3,005,801.69</w:t>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1,969,345.67</w:t>
            </w:r>
          </w:p>
        </w:tc>
        <w:tc>
          <w:tcPr>
            <w:tcW w:w="1062"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4,975,147.36</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r>
      <w:tr>
        <w:trPr>
          <w:trHeight w:val="708" w:hRule="exact"/>
        </w:trPr>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25" w:right="131"/>
              <w:jc w:val="left"/>
              <w:rPr>
                <w:rFonts w:ascii="宋体" w:hAnsi="宋体" w:cs="宋体" w:eastAsia="宋体" w:hint="default"/>
                <w:sz w:val="18"/>
                <w:szCs w:val="18"/>
              </w:rPr>
            </w:pPr>
            <w:r>
              <w:rPr>
                <w:rFonts w:ascii="宋体" w:hAnsi="宋体" w:cs="宋体" w:eastAsia="宋体" w:hint="default"/>
                <w:sz w:val="18"/>
                <w:szCs w:val="18"/>
              </w:rPr>
              <w:t>中职智慧校 园平台</w:t>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1,367,952.35</w:t>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1,459,206.01</w:t>
            </w:r>
          </w:p>
        </w:tc>
        <w:tc>
          <w:tcPr>
            <w:tcW w:w="1062"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2,827,158.36</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r>
      <w:tr>
        <w:trPr>
          <w:trHeight w:val="1021" w:hRule="exact"/>
        </w:trPr>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2"/>
              <w:ind w:left="25" w:right="131"/>
              <w:jc w:val="both"/>
              <w:rPr>
                <w:rFonts w:ascii="宋体" w:hAnsi="宋体" w:cs="宋体" w:eastAsia="宋体" w:hint="default"/>
                <w:sz w:val="18"/>
                <w:szCs w:val="18"/>
              </w:rPr>
            </w:pPr>
            <w:r>
              <w:rPr>
                <w:rFonts w:ascii="宋体" w:hAnsi="宋体" w:cs="宋体" w:eastAsia="宋体" w:hint="default"/>
                <w:sz w:val="18"/>
                <w:szCs w:val="18"/>
              </w:rPr>
              <w:t>基于融合支 付的物联网 云水控系统</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2,967,098.56</w:t>
            </w:r>
          </w:p>
        </w:tc>
        <w:tc>
          <w:tcPr>
            <w:tcW w:w="1062"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2,967,098.56</w:t>
            </w:r>
          </w:p>
        </w:tc>
      </w:tr>
      <w:tr>
        <w:trPr>
          <w:trHeight w:val="1021" w:hRule="exact"/>
        </w:trPr>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9" w:lineRule="auto" w:before="51"/>
              <w:ind w:left="25" w:right="131"/>
              <w:jc w:val="both"/>
              <w:rPr>
                <w:rFonts w:ascii="宋体" w:hAnsi="宋体" w:cs="宋体" w:eastAsia="宋体" w:hint="default"/>
                <w:sz w:val="18"/>
                <w:szCs w:val="18"/>
              </w:rPr>
            </w:pPr>
            <w:r>
              <w:rPr>
                <w:rFonts w:ascii="宋体" w:hAnsi="宋体" w:cs="宋体" w:eastAsia="宋体" w:hint="default"/>
                <w:sz w:val="18"/>
                <w:szCs w:val="18"/>
              </w:rPr>
              <w:t>校园融合支 付场景服务 平台</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2,749,637.17</w:t>
            </w:r>
          </w:p>
        </w:tc>
        <w:tc>
          <w:tcPr>
            <w:tcW w:w="1062"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2,749,637.17</w:t>
            </w:r>
          </w:p>
        </w:tc>
      </w:tr>
      <w:tr>
        <w:trPr>
          <w:trHeight w:val="1021" w:hRule="exact"/>
        </w:trPr>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9" w:lineRule="auto" w:before="51"/>
              <w:ind w:left="25" w:right="131"/>
              <w:jc w:val="both"/>
              <w:rPr>
                <w:rFonts w:ascii="宋体" w:hAnsi="宋体" w:cs="宋体" w:eastAsia="宋体" w:hint="default"/>
                <w:sz w:val="18"/>
                <w:szCs w:val="18"/>
              </w:rPr>
            </w:pPr>
            <w:r>
              <w:rPr>
                <w:rFonts w:ascii="宋体" w:hAnsi="宋体" w:cs="宋体" w:eastAsia="宋体" w:hint="default"/>
                <w:sz w:val="18"/>
                <w:szCs w:val="18"/>
              </w:rPr>
              <w:t>校园融合身 份场景服务 平台</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2,063,528.18</w:t>
            </w:r>
          </w:p>
        </w:tc>
        <w:tc>
          <w:tcPr>
            <w:tcW w:w="1062"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2,063,528.18</w:t>
            </w:r>
          </w:p>
        </w:tc>
      </w:tr>
      <w:tr>
        <w:trPr>
          <w:trHeight w:val="1333" w:hRule="exact"/>
        </w:trPr>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2" w:lineRule="auto" w:before="51"/>
              <w:ind w:left="25" w:right="131"/>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服务的校园 生活服务平 台</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1,271,364.50</w:t>
            </w:r>
          </w:p>
        </w:tc>
        <w:tc>
          <w:tcPr>
            <w:tcW w:w="1062"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1,271,364.50</w:t>
            </w:r>
          </w:p>
        </w:tc>
      </w:tr>
      <w:tr>
        <w:trPr>
          <w:trHeight w:val="1333" w:hRule="exact"/>
        </w:trPr>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2" w:lineRule="auto" w:before="51"/>
              <w:ind w:left="25" w:right="131"/>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服务的政企 信息化服务 平台</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2,548,025.28</w:t>
            </w:r>
          </w:p>
        </w:tc>
        <w:tc>
          <w:tcPr>
            <w:tcW w:w="1062"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2,548,025.28</w:t>
            </w:r>
          </w:p>
        </w:tc>
      </w:tr>
      <w:tr>
        <w:trPr>
          <w:trHeight w:val="1021" w:hRule="exact"/>
        </w:trPr>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09" w:lineRule="auto" w:before="51"/>
              <w:ind w:left="25" w:right="29"/>
              <w:jc w:val="left"/>
              <w:rPr>
                <w:rFonts w:ascii="宋体" w:hAnsi="宋体" w:cs="宋体" w:eastAsia="宋体" w:hint="default"/>
                <w:sz w:val="18"/>
                <w:szCs w:val="18"/>
              </w:rPr>
            </w:pPr>
            <w:r>
              <w:rPr>
                <w:rFonts w:ascii="宋体" w:hAnsi="宋体" w:cs="宋体" w:eastAsia="宋体" w:hint="default"/>
                <w:sz w:val="18"/>
                <w:szCs w:val="18"/>
              </w:rPr>
              <w:t>基于云</w:t>
            </w:r>
            <w:r>
              <w:rPr>
                <w:rFonts w:ascii="Times New Roman" w:hAnsi="Times New Roman" w:cs="Times New Roman" w:eastAsia="Times New Roman" w:hint="default"/>
                <w:sz w:val="18"/>
                <w:szCs w:val="18"/>
              </w:rPr>
              <w:t>+</w:t>
            </w:r>
            <w:r>
              <w:rPr>
                <w:rFonts w:ascii="宋体" w:hAnsi="宋体" w:cs="宋体" w:eastAsia="宋体" w:hint="default"/>
                <w:sz w:val="18"/>
                <w:szCs w:val="18"/>
              </w:rPr>
              <w:t>端的 职业教育智 慧校园平台</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2,180,903.13</w:t>
            </w:r>
          </w:p>
        </w:tc>
        <w:tc>
          <w:tcPr>
            <w:tcW w:w="1062"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2,180,903.13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51" w:type="dxa"/>
        <w:tblLayout w:type="fixed"/>
        <w:tblCellMar>
          <w:top w:w="0" w:type="dxa"/>
          <w:left w:w="0" w:type="dxa"/>
          <w:bottom w:w="0" w:type="dxa"/>
          <w:right w:w="0" w:type="dxa"/>
        </w:tblCellMar>
        <w:tblLook w:val="01E0"/>
      </w:tblPr>
      <w:tblGrid>
        <w:gridCol w:w="1063"/>
        <w:gridCol w:w="1063"/>
        <w:gridCol w:w="1063"/>
        <w:gridCol w:w="1062"/>
        <w:gridCol w:w="1063"/>
        <w:gridCol w:w="1063"/>
        <w:gridCol w:w="1063"/>
        <w:gridCol w:w="1063"/>
        <w:gridCol w:w="1063"/>
      </w:tblGrid>
      <w:tr>
        <w:trPr>
          <w:trHeight w:val="1021" w:hRule="exact"/>
        </w:trPr>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25" w:right="131"/>
              <w:jc w:val="both"/>
              <w:rPr>
                <w:rFonts w:ascii="宋体" w:hAnsi="宋体" w:cs="宋体" w:eastAsia="宋体" w:hint="default"/>
                <w:sz w:val="18"/>
                <w:szCs w:val="18"/>
              </w:rPr>
            </w:pPr>
            <w:r>
              <w:rPr>
                <w:rFonts w:ascii="宋体" w:hAnsi="宋体" w:cs="宋体" w:eastAsia="宋体" w:hint="default"/>
                <w:sz w:val="18"/>
                <w:szCs w:val="18"/>
              </w:rPr>
              <w:t>基于物模型 的物联网平 台</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1,581,565.25</w:t>
            </w:r>
          </w:p>
        </w:tc>
        <w:tc>
          <w:tcPr>
            <w:tcW w:w="1062"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1,581,565.25</w:t>
            </w:r>
          </w:p>
        </w:tc>
      </w:tr>
      <w:tr>
        <w:trPr>
          <w:trHeight w:val="1333" w:hRule="exact"/>
        </w:trPr>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25" w:right="131"/>
              <w:jc w:val="both"/>
              <w:rPr>
                <w:rFonts w:ascii="宋体" w:hAnsi="宋体" w:cs="宋体" w:eastAsia="宋体" w:hint="default"/>
                <w:sz w:val="18"/>
                <w:szCs w:val="18"/>
              </w:rPr>
            </w:pPr>
            <w:r>
              <w:rPr>
                <w:rFonts w:ascii="宋体" w:hAnsi="宋体" w:cs="宋体" w:eastAsia="宋体" w:hint="default"/>
                <w:sz w:val="18"/>
                <w:szCs w:val="18"/>
              </w:rPr>
              <w:t>基于容器化 环境的软件 授权认证管 理系统</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pacing w:val="-1"/>
                <w:sz w:val="18"/>
              </w:rPr>
              <w:t>1,339,121.53</w:t>
            </w:r>
          </w:p>
        </w:tc>
        <w:tc>
          <w:tcPr>
            <w:tcW w:w="1062"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pacing w:val="-1"/>
                <w:sz w:val="18"/>
              </w:rPr>
              <w:t>1,339,121.53</w:t>
            </w:r>
          </w:p>
        </w:tc>
      </w:tr>
      <w:tr>
        <w:trPr>
          <w:trHeight w:val="708" w:hRule="exact"/>
        </w:trPr>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25" w:right="131"/>
              <w:jc w:val="left"/>
              <w:rPr>
                <w:rFonts w:ascii="宋体" w:hAnsi="宋体" w:cs="宋体" w:eastAsia="宋体" w:hint="default"/>
                <w:sz w:val="18"/>
                <w:szCs w:val="18"/>
              </w:rPr>
            </w:pPr>
            <w:r>
              <w:rPr>
                <w:rFonts w:ascii="宋体" w:hAnsi="宋体" w:cs="宋体" w:eastAsia="宋体" w:hint="default"/>
                <w:sz w:val="18"/>
                <w:szCs w:val="18"/>
              </w:rPr>
              <w:t>支付前置平 台</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1,756,024.81</w:t>
            </w:r>
          </w:p>
        </w:tc>
        <w:tc>
          <w:tcPr>
            <w:tcW w:w="1062"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1,756,024.81</w:t>
            </w:r>
          </w:p>
        </w:tc>
      </w:tr>
      <w:tr>
        <w:trPr>
          <w:trHeight w:val="709" w:hRule="exact"/>
        </w:trPr>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2"/>
              <w:ind w:left="25" w:right="131"/>
              <w:jc w:val="left"/>
              <w:rPr>
                <w:rFonts w:ascii="宋体" w:hAnsi="宋体" w:cs="宋体" w:eastAsia="宋体" w:hint="default"/>
                <w:sz w:val="18"/>
                <w:szCs w:val="18"/>
              </w:rPr>
            </w:pPr>
            <w:r>
              <w:rPr>
                <w:rFonts w:ascii="宋体" w:hAnsi="宋体" w:cs="宋体" w:eastAsia="宋体" w:hint="default"/>
                <w:sz w:val="18"/>
                <w:szCs w:val="18"/>
              </w:rPr>
              <w:t>智能发放系 统</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1,100,063.71</w:t>
            </w:r>
          </w:p>
        </w:tc>
        <w:tc>
          <w:tcPr>
            <w:tcW w:w="1062"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1,100,063.71</w:t>
            </w:r>
          </w:p>
        </w:tc>
      </w:tr>
      <w:tr>
        <w:trPr>
          <w:trHeight w:val="709" w:hRule="exact"/>
        </w:trPr>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9" w:lineRule="auto" w:before="51"/>
              <w:ind w:left="25" w:right="131"/>
              <w:jc w:val="left"/>
              <w:rPr>
                <w:rFonts w:ascii="宋体" w:hAnsi="宋体" w:cs="宋体" w:eastAsia="宋体" w:hint="default"/>
                <w:sz w:val="18"/>
                <w:szCs w:val="18"/>
              </w:rPr>
            </w:pPr>
            <w:r>
              <w:rPr>
                <w:rFonts w:ascii="宋体" w:hAnsi="宋体" w:cs="宋体" w:eastAsia="宋体" w:hint="default"/>
                <w:sz w:val="18"/>
                <w:szCs w:val="18"/>
              </w:rPr>
              <w:t>一卡通人脸 识别系统</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2,725,116.86</w:t>
            </w:r>
          </w:p>
        </w:tc>
        <w:tc>
          <w:tcPr>
            <w:tcW w:w="1062"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2,725,116.86</w:t>
            </w:r>
          </w:p>
        </w:tc>
      </w:tr>
      <w:tr>
        <w:trPr>
          <w:trHeight w:val="709" w:hRule="exact"/>
        </w:trPr>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9" w:lineRule="auto" w:before="51"/>
              <w:ind w:left="25" w:right="131"/>
              <w:jc w:val="left"/>
              <w:rPr>
                <w:rFonts w:ascii="宋体" w:hAnsi="宋体" w:cs="宋体" w:eastAsia="宋体" w:hint="default"/>
                <w:sz w:val="18"/>
                <w:szCs w:val="18"/>
              </w:rPr>
            </w:pPr>
            <w:r>
              <w:rPr>
                <w:rFonts w:ascii="宋体" w:hAnsi="宋体" w:cs="宋体" w:eastAsia="宋体" w:hint="default"/>
                <w:sz w:val="18"/>
                <w:szCs w:val="18"/>
              </w:rPr>
              <w:t>认证服务平 台</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2,371,289.78</w:t>
            </w:r>
          </w:p>
        </w:tc>
        <w:tc>
          <w:tcPr>
            <w:tcW w:w="1062"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2,371,289.78</w:t>
            </w:r>
          </w:p>
        </w:tc>
      </w:tr>
      <w:tr>
        <w:trPr>
          <w:trHeight w:val="709" w:hRule="exact"/>
        </w:trPr>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25" w:right="131"/>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智慧校园一 校通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V8</w:t>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3,042,256.91</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2"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3,042,256.91</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r>
      <w:tr>
        <w:trPr>
          <w:trHeight w:val="709" w:hRule="exact"/>
        </w:trPr>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完美校园</w:t>
            </w:r>
          </w:p>
          <w:p>
            <w:pPr>
              <w:pStyle w:val="TableParagraph"/>
              <w:spacing w:line="240" w:lineRule="auto" w:before="116"/>
              <w:ind w:left="25" w:right="0"/>
              <w:jc w:val="left"/>
              <w:rPr>
                <w:rFonts w:ascii="Times New Roman" w:hAnsi="Times New Roman" w:cs="Times New Roman" w:eastAsia="Times New Roman" w:hint="default"/>
                <w:sz w:val="18"/>
                <w:szCs w:val="18"/>
              </w:rPr>
            </w:pPr>
            <w:r>
              <w:rPr>
                <w:rFonts w:ascii="Times New Roman"/>
                <w:sz w:val="18"/>
              </w:rPr>
              <w:t>APP</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3,158,810.72</w:t>
            </w:r>
          </w:p>
        </w:tc>
        <w:tc>
          <w:tcPr>
            <w:tcW w:w="1062"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3,158,810.72</w:t>
            </w:r>
          </w:p>
        </w:tc>
      </w:tr>
      <w:tr>
        <w:trPr>
          <w:trHeight w:val="1020" w:hRule="exact"/>
        </w:trPr>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25" w:right="131"/>
              <w:jc w:val="both"/>
              <w:rPr>
                <w:rFonts w:ascii="宋体" w:hAnsi="宋体" w:cs="宋体" w:eastAsia="宋体" w:hint="default"/>
                <w:sz w:val="18"/>
                <w:szCs w:val="18"/>
              </w:rPr>
            </w:pPr>
            <w:r>
              <w:rPr>
                <w:rFonts w:ascii="宋体" w:hAnsi="宋体" w:cs="宋体" w:eastAsia="宋体" w:hint="default"/>
                <w:sz w:val="18"/>
                <w:szCs w:val="18"/>
              </w:rPr>
              <w:t>高校数据治 理知识管理 系统</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12,779.11</w:t>
            </w:r>
          </w:p>
        </w:tc>
        <w:tc>
          <w:tcPr>
            <w:tcW w:w="1062"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12,779.11</w:t>
            </w:r>
          </w:p>
        </w:tc>
      </w:tr>
      <w:tr>
        <w:trPr>
          <w:trHeight w:val="1021" w:hRule="exact"/>
        </w:trPr>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2"/>
              <w:ind w:left="25" w:right="131"/>
              <w:jc w:val="both"/>
              <w:rPr>
                <w:rFonts w:ascii="宋体" w:hAnsi="宋体" w:cs="宋体" w:eastAsia="宋体" w:hint="default"/>
                <w:sz w:val="18"/>
                <w:szCs w:val="18"/>
              </w:rPr>
            </w:pPr>
            <w:r>
              <w:rPr>
                <w:rFonts w:ascii="宋体" w:hAnsi="宋体" w:cs="宋体" w:eastAsia="宋体" w:hint="default"/>
                <w:sz w:val="18"/>
                <w:szCs w:val="18"/>
              </w:rPr>
              <w:t>一站式数据 可视化分析 系统</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22,305.00</w:t>
            </w:r>
          </w:p>
        </w:tc>
        <w:tc>
          <w:tcPr>
            <w:tcW w:w="1062"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22,305.00</w:t>
            </w:r>
          </w:p>
        </w:tc>
      </w:tr>
      <w:tr>
        <w:trPr>
          <w:trHeight w:val="709" w:hRule="exact"/>
        </w:trPr>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9" w:lineRule="auto" w:before="51"/>
              <w:ind w:left="25" w:right="131"/>
              <w:jc w:val="left"/>
              <w:rPr>
                <w:rFonts w:ascii="宋体" w:hAnsi="宋体" w:cs="宋体" w:eastAsia="宋体" w:hint="default"/>
                <w:sz w:val="18"/>
                <w:szCs w:val="18"/>
              </w:rPr>
            </w:pPr>
            <w:r>
              <w:rPr>
                <w:rFonts w:ascii="宋体" w:hAnsi="宋体" w:cs="宋体" w:eastAsia="宋体" w:hint="default"/>
                <w:sz w:val="18"/>
                <w:szCs w:val="18"/>
              </w:rPr>
              <w:t>高校网格化 管理系统</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38,853.41</w:t>
            </w:r>
          </w:p>
        </w:tc>
        <w:tc>
          <w:tcPr>
            <w:tcW w:w="1062"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38,853.41</w:t>
            </w:r>
          </w:p>
        </w:tc>
      </w:tr>
      <w:tr>
        <w:trPr>
          <w:trHeight w:val="709" w:hRule="exact"/>
        </w:trPr>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9" w:lineRule="auto" w:before="51"/>
              <w:ind w:left="25" w:right="131"/>
              <w:jc w:val="left"/>
              <w:rPr>
                <w:rFonts w:ascii="宋体" w:hAnsi="宋体" w:cs="宋体" w:eastAsia="宋体" w:hint="default"/>
                <w:sz w:val="18"/>
                <w:szCs w:val="18"/>
              </w:rPr>
            </w:pPr>
            <w:r>
              <w:rPr>
                <w:rFonts w:ascii="宋体" w:hAnsi="宋体" w:cs="宋体" w:eastAsia="宋体" w:hint="default"/>
                <w:sz w:val="18"/>
                <w:szCs w:val="18"/>
              </w:rPr>
              <w:t>用户上网行 为分析</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231,789.38</w:t>
            </w:r>
          </w:p>
        </w:tc>
        <w:tc>
          <w:tcPr>
            <w:tcW w:w="1062"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231,789.38</w:t>
            </w:r>
          </w:p>
        </w:tc>
      </w:tr>
      <w:tr>
        <w:trPr>
          <w:trHeight w:val="709" w:hRule="exact"/>
        </w:trPr>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25" w:right="131"/>
              <w:jc w:val="left"/>
              <w:rPr>
                <w:rFonts w:ascii="宋体" w:hAnsi="宋体" w:cs="宋体" w:eastAsia="宋体" w:hint="default"/>
                <w:sz w:val="18"/>
                <w:szCs w:val="18"/>
              </w:rPr>
            </w:pPr>
            <w:r>
              <w:rPr>
                <w:rFonts w:ascii="宋体" w:hAnsi="宋体" w:cs="宋体" w:eastAsia="宋体" w:hint="default"/>
                <w:sz w:val="18"/>
                <w:szCs w:val="18"/>
              </w:rPr>
              <w:t>数据挖掘分 析系统</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11,315.17</w:t>
            </w:r>
          </w:p>
        </w:tc>
        <w:tc>
          <w:tcPr>
            <w:tcW w:w="1062"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11,315.17</w:t>
            </w:r>
          </w:p>
        </w:tc>
      </w:tr>
      <w:tr>
        <w:trPr>
          <w:trHeight w:val="1021" w:hRule="exact"/>
        </w:trPr>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25" w:right="131"/>
              <w:jc w:val="both"/>
              <w:rPr>
                <w:rFonts w:ascii="宋体" w:hAnsi="宋体" w:cs="宋体" w:eastAsia="宋体" w:hint="default"/>
                <w:sz w:val="18"/>
                <w:szCs w:val="18"/>
              </w:rPr>
            </w:pPr>
            <w:r>
              <w:rPr>
                <w:rFonts w:ascii="宋体" w:hAnsi="宋体" w:cs="宋体" w:eastAsia="宋体" w:hint="default"/>
                <w:sz w:val="18"/>
                <w:szCs w:val="18"/>
              </w:rPr>
              <w:t>高校数据治 理知识管理 系统</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438,500.96</w:t>
            </w:r>
          </w:p>
        </w:tc>
        <w:tc>
          <w:tcPr>
            <w:tcW w:w="1062"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438,500.96</w:t>
            </w:r>
          </w:p>
        </w:tc>
      </w:tr>
      <w:tr>
        <w:trPr>
          <w:trHeight w:val="1020" w:hRule="exact"/>
        </w:trPr>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25" w:right="131"/>
              <w:jc w:val="both"/>
              <w:rPr>
                <w:rFonts w:ascii="宋体" w:hAnsi="宋体" w:cs="宋体" w:eastAsia="宋体" w:hint="default"/>
                <w:sz w:val="18"/>
                <w:szCs w:val="18"/>
              </w:rPr>
            </w:pPr>
            <w:r>
              <w:rPr>
                <w:rFonts w:ascii="宋体" w:hAnsi="宋体" w:cs="宋体" w:eastAsia="宋体" w:hint="default"/>
                <w:sz w:val="18"/>
                <w:szCs w:val="18"/>
              </w:rPr>
              <w:t>一站式数据 可视化分析 系统</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343,355.40</w:t>
            </w:r>
          </w:p>
        </w:tc>
        <w:tc>
          <w:tcPr>
            <w:tcW w:w="1062"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343,355.40</w:t>
            </w:r>
          </w:p>
        </w:tc>
      </w:tr>
      <w:tr>
        <w:trPr>
          <w:trHeight w:val="709" w:hRule="exact"/>
        </w:trPr>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2"/>
              <w:ind w:left="25" w:right="131"/>
              <w:jc w:val="left"/>
              <w:rPr>
                <w:rFonts w:ascii="宋体" w:hAnsi="宋体" w:cs="宋体" w:eastAsia="宋体" w:hint="default"/>
                <w:sz w:val="18"/>
                <w:szCs w:val="18"/>
              </w:rPr>
            </w:pPr>
            <w:r>
              <w:rPr>
                <w:rFonts w:ascii="宋体" w:hAnsi="宋体" w:cs="宋体" w:eastAsia="宋体" w:hint="default"/>
                <w:sz w:val="18"/>
                <w:szCs w:val="18"/>
              </w:rPr>
              <w:t>高校网格化 管理系统</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335,418.94</w:t>
            </w:r>
          </w:p>
        </w:tc>
        <w:tc>
          <w:tcPr>
            <w:tcW w:w="1062"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335,418.94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51" w:type="dxa"/>
        <w:tblLayout w:type="fixed"/>
        <w:tblCellMar>
          <w:top w:w="0" w:type="dxa"/>
          <w:left w:w="0" w:type="dxa"/>
          <w:bottom w:w="0" w:type="dxa"/>
          <w:right w:w="0" w:type="dxa"/>
        </w:tblCellMar>
        <w:tblLook w:val="01E0"/>
      </w:tblPr>
      <w:tblGrid>
        <w:gridCol w:w="1063"/>
        <w:gridCol w:w="1063"/>
        <w:gridCol w:w="1063"/>
        <w:gridCol w:w="1062"/>
        <w:gridCol w:w="1063"/>
        <w:gridCol w:w="1063"/>
        <w:gridCol w:w="1063"/>
        <w:gridCol w:w="1063"/>
        <w:gridCol w:w="1063"/>
      </w:tblGrid>
      <w:tr>
        <w:trPr>
          <w:trHeight w:val="709" w:hRule="exact"/>
        </w:trPr>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25" w:right="131"/>
              <w:jc w:val="left"/>
              <w:rPr>
                <w:rFonts w:ascii="宋体" w:hAnsi="宋体" w:cs="宋体" w:eastAsia="宋体" w:hint="default"/>
                <w:sz w:val="18"/>
                <w:szCs w:val="18"/>
              </w:rPr>
            </w:pPr>
            <w:r>
              <w:rPr>
                <w:rFonts w:ascii="宋体" w:hAnsi="宋体" w:cs="宋体" w:eastAsia="宋体" w:hint="default"/>
                <w:sz w:val="18"/>
                <w:szCs w:val="18"/>
              </w:rPr>
              <w:t>用户上网行 为分析</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273,100.67</w:t>
            </w:r>
          </w:p>
        </w:tc>
        <w:tc>
          <w:tcPr>
            <w:tcW w:w="1062"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273,100.67</w:t>
            </w:r>
          </w:p>
        </w:tc>
      </w:tr>
      <w:tr>
        <w:trPr>
          <w:trHeight w:val="709" w:hRule="exact"/>
        </w:trPr>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25" w:right="131"/>
              <w:jc w:val="left"/>
              <w:rPr>
                <w:rFonts w:ascii="宋体" w:hAnsi="宋体" w:cs="宋体" w:eastAsia="宋体" w:hint="default"/>
                <w:sz w:val="18"/>
                <w:szCs w:val="18"/>
              </w:rPr>
            </w:pPr>
            <w:r>
              <w:rPr>
                <w:rFonts w:ascii="宋体" w:hAnsi="宋体" w:cs="宋体" w:eastAsia="宋体" w:hint="default"/>
                <w:sz w:val="18"/>
                <w:szCs w:val="18"/>
              </w:rPr>
              <w:t>数据挖掘分 析系统</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299,983.83</w:t>
            </w:r>
          </w:p>
        </w:tc>
        <w:tc>
          <w:tcPr>
            <w:tcW w:w="1062"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299,983.83</w:t>
            </w:r>
          </w:p>
        </w:tc>
      </w:tr>
      <w:tr>
        <w:trPr>
          <w:trHeight w:val="708" w:hRule="exact"/>
        </w:trPr>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25" w:right="131"/>
              <w:jc w:val="left"/>
              <w:rPr>
                <w:rFonts w:ascii="宋体" w:hAnsi="宋体" w:cs="宋体" w:eastAsia="宋体" w:hint="default"/>
                <w:sz w:val="18"/>
                <w:szCs w:val="18"/>
              </w:rPr>
            </w:pPr>
            <w:r>
              <w:rPr>
                <w:rFonts w:ascii="宋体" w:hAnsi="宋体" w:cs="宋体" w:eastAsia="宋体" w:hint="default"/>
                <w:sz w:val="18"/>
                <w:szCs w:val="18"/>
              </w:rPr>
              <w:t>树维校园智 能点餐软件</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1,349,106.18</w:t>
            </w:r>
          </w:p>
        </w:tc>
        <w:tc>
          <w:tcPr>
            <w:tcW w:w="1062"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1,349,106.18</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r>
      <w:tr>
        <w:trPr>
          <w:trHeight w:val="397" w:hRule="exact"/>
        </w:trPr>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right="311"/>
              <w:jc w:val="right"/>
              <w:rPr>
                <w:rFonts w:ascii="宋体" w:hAnsi="宋体" w:cs="宋体" w:eastAsia="宋体" w:hint="default"/>
                <w:sz w:val="18"/>
                <w:szCs w:val="18"/>
              </w:rPr>
            </w:pPr>
            <w:r>
              <w:rPr>
                <w:rFonts w:ascii="宋体" w:hAnsi="宋体" w:cs="宋体" w:eastAsia="宋体" w:hint="default"/>
                <w:sz w:val="18"/>
                <w:szCs w:val="18"/>
              </w:rPr>
              <w:t>数据资产</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1,676,149.71</w:t>
            </w:r>
          </w:p>
        </w:tc>
        <w:tc>
          <w:tcPr>
            <w:tcW w:w="1062"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1,676,149.71</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r>
      <w:tr>
        <w:trPr>
          <w:trHeight w:val="1021" w:hRule="exact"/>
        </w:trPr>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9" w:lineRule="auto" w:before="51"/>
              <w:ind w:left="25" w:right="131"/>
              <w:jc w:val="both"/>
              <w:rPr>
                <w:rFonts w:ascii="宋体" w:hAnsi="宋体" w:cs="宋体" w:eastAsia="宋体" w:hint="default"/>
                <w:sz w:val="18"/>
                <w:szCs w:val="18"/>
              </w:rPr>
            </w:pPr>
            <w:r>
              <w:rPr>
                <w:rFonts w:ascii="宋体" w:hAnsi="宋体" w:cs="宋体" w:eastAsia="宋体" w:hint="default"/>
                <w:sz w:val="18"/>
                <w:szCs w:val="18"/>
              </w:rPr>
              <w:t>树维教学质 量工程管理 软件</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1,498,142.38</w:t>
            </w:r>
          </w:p>
        </w:tc>
        <w:tc>
          <w:tcPr>
            <w:tcW w:w="1062"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1,498,142.38</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r>
      <w:tr>
        <w:trPr>
          <w:trHeight w:val="1021" w:hRule="exact"/>
        </w:trPr>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9" w:lineRule="auto" w:before="51"/>
              <w:ind w:left="25" w:right="131"/>
              <w:jc w:val="both"/>
              <w:rPr>
                <w:rFonts w:ascii="宋体" w:hAnsi="宋体" w:cs="宋体" w:eastAsia="宋体" w:hint="default"/>
                <w:sz w:val="18"/>
                <w:szCs w:val="18"/>
              </w:rPr>
            </w:pPr>
            <w:r>
              <w:rPr>
                <w:rFonts w:ascii="宋体" w:hAnsi="宋体" w:cs="宋体" w:eastAsia="宋体" w:hint="default"/>
                <w:sz w:val="18"/>
                <w:szCs w:val="18"/>
              </w:rPr>
              <w:t>树维教学决 策支持管理 软件</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1,207,915.84</w:t>
            </w:r>
          </w:p>
        </w:tc>
        <w:tc>
          <w:tcPr>
            <w:tcW w:w="1062"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1,207,915.84</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r>
      <w:tr>
        <w:trPr>
          <w:trHeight w:val="709" w:hRule="exact"/>
        </w:trPr>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25" w:right="131"/>
              <w:jc w:val="left"/>
              <w:rPr>
                <w:rFonts w:ascii="宋体" w:hAnsi="宋体" w:cs="宋体" w:eastAsia="宋体" w:hint="default"/>
                <w:sz w:val="18"/>
                <w:szCs w:val="18"/>
              </w:rPr>
            </w:pPr>
            <w:r>
              <w:rPr>
                <w:rFonts w:ascii="宋体" w:hAnsi="宋体" w:cs="宋体" w:eastAsia="宋体" w:hint="default"/>
                <w:sz w:val="18"/>
                <w:szCs w:val="18"/>
              </w:rPr>
              <w:t>树维教研项 目管理软件</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999,931.86</w:t>
            </w:r>
          </w:p>
        </w:tc>
        <w:tc>
          <w:tcPr>
            <w:tcW w:w="1062"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999,931.86</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r>
      <w:tr>
        <w:trPr>
          <w:trHeight w:val="709" w:hRule="exact"/>
        </w:trPr>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25" w:right="131"/>
              <w:jc w:val="left"/>
              <w:rPr>
                <w:rFonts w:ascii="宋体" w:hAnsi="宋体" w:cs="宋体" w:eastAsia="宋体" w:hint="default"/>
                <w:sz w:val="18"/>
                <w:szCs w:val="18"/>
              </w:rPr>
            </w:pPr>
            <w:r>
              <w:rPr>
                <w:rFonts w:ascii="宋体" w:hAnsi="宋体" w:cs="宋体" w:eastAsia="宋体" w:hint="default"/>
                <w:sz w:val="18"/>
                <w:szCs w:val="18"/>
              </w:rPr>
              <w:t>数字化校园 融合门户</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1,293,388.83</w:t>
            </w:r>
          </w:p>
        </w:tc>
        <w:tc>
          <w:tcPr>
            <w:tcW w:w="1062"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1,293,388.83</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r>
      <w:tr>
        <w:trPr>
          <w:trHeight w:val="709" w:hRule="exact"/>
        </w:trPr>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48"/>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7,416,010.95</w:t>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41,273,137.8</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18,869,197.4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29,819,951.3</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13"/>
        <w:jc w:val="left"/>
        <w:rPr>
          <w:b w:val="0"/>
          <w:bCs w:val="0"/>
        </w:rPr>
      </w:pPr>
      <w:r>
        <w:rPr>
          <w:rFonts w:ascii="Times New Roman" w:hAnsi="Times New Roman" w:cs="Times New Roman" w:eastAsia="Times New Roman" w:hint="default"/>
        </w:rPr>
        <w:t>18</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13"/>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北京迪科远望科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280,076,227.00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280,076,227.00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上海树维信息科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189,508,612.57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189,508,612.57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北京希嘉创智教 育科技有限公司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13,486,886.47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13,486,886.47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北京华驰联创科 技有限公司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6,496,199.36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6,496,199.36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469,584,839.57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19,983,085.83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489,567,925.40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3" w:hRule="exact"/>
        </w:trPr>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w:t>
      </w:r>
    </w:p>
    <w:p>
      <w:pPr>
        <w:spacing w:line="240" w:lineRule="auto" w:before="10"/>
        <w:rPr>
          <w:rFonts w:ascii="宋体" w:hAnsi="宋体" w:cs="宋体" w:eastAsia="宋体" w:hint="default"/>
          <w:sz w:val="18"/>
          <w:szCs w:val="18"/>
        </w:rPr>
      </w:pPr>
    </w:p>
    <w:p>
      <w:pPr>
        <w:pStyle w:val="BodyText"/>
        <w:spacing w:line="240" w:lineRule="auto" w:before="0"/>
        <w:ind w:left="574" w:right="1113"/>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）北京迪科远望科技有限公司：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日，公司以</w:t>
      </w:r>
      <w:r>
        <w:rPr>
          <w:rFonts w:ascii="Times New Roman" w:hAnsi="Times New Roman" w:cs="Times New Roman" w:eastAsia="Times New Roman" w:hint="default"/>
        </w:rPr>
        <w:t>32,000</w:t>
      </w:r>
      <w:r>
        <w:rPr/>
        <w:t>万元的对价，收购北京迪科</w:t>
      </w:r>
      <w:r>
        <w:rPr>
          <w:rFonts w:ascii="Times New Roman" w:hAnsi="Times New Roman" w:cs="Times New Roman" w:eastAsia="Times New Roman" w:hint="default"/>
        </w:rPr>
        <w:t>100.00%</w:t>
      </w:r>
    </w:p>
    <w:p>
      <w:pPr>
        <w:pStyle w:val="BodyText"/>
        <w:spacing w:line="240" w:lineRule="auto" w:before="177"/>
        <w:ind w:left="153" w:right="1113"/>
        <w:jc w:val="left"/>
      </w:pPr>
      <w:r>
        <w:rPr/>
        <w:t>的股权，形成商誉</w:t>
      </w:r>
      <w:r>
        <w:rPr>
          <w:rFonts w:ascii="Times New Roman" w:hAnsi="Times New Roman" w:cs="Times New Roman" w:eastAsia="Times New Roman" w:hint="default"/>
        </w:rPr>
        <w:t>28,007.62</w:t>
      </w:r>
      <w:r>
        <w:rPr/>
        <w:t>万元。</w:t>
      </w:r>
    </w:p>
    <w:p>
      <w:pPr>
        <w:pStyle w:val="BodyText"/>
        <w:spacing w:line="398" w:lineRule="auto" w:before="177"/>
        <w:ind w:left="153" w:right="1130" w:firstLine="420"/>
        <w:jc w:val="both"/>
      </w:pPr>
      <w:r>
        <w:rPr>
          <w:rFonts w:ascii="Times New Roman" w:hAnsi="Times New Roman" w:cs="Times New Roman" w:eastAsia="Times New Roman" w:hint="default"/>
        </w:rPr>
        <w:t>2</w:t>
      </w:r>
      <w:r>
        <w:rPr/>
        <w:t>）上海树维信息科技有限公司：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日，公司以</w:t>
      </w:r>
      <w:r>
        <w:rPr>
          <w:rFonts w:ascii="Times New Roman" w:hAnsi="Times New Roman" w:cs="Times New Roman" w:eastAsia="Times New Roman" w:hint="default"/>
        </w:rPr>
        <w:t>19,900</w:t>
      </w:r>
      <w:r>
        <w:rPr/>
        <w:t>万元的对价，收购上海树维</w:t>
      </w:r>
      <w:r>
        <w:rPr>
          <w:rFonts w:ascii="Times New Roman" w:hAnsi="Times New Roman" w:cs="Times New Roman" w:eastAsia="Times New Roman" w:hint="default"/>
        </w:rPr>
        <w:t>100.00% </w:t>
      </w:r>
      <w:r>
        <w:rPr>
          <w:spacing w:val="-1"/>
        </w:rPr>
        <w:t>的股权，同时，公司将根据上海树维数字化校园与教务管理系统业务的收入完成情况，向交易对方支付最</w:t>
      </w:r>
      <w:r>
        <w:rPr>
          <w:spacing w:val="-83"/>
        </w:rPr>
        <w:t> </w:t>
      </w:r>
      <w:r>
        <w:rPr>
          <w:spacing w:val="-83"/>
        </w:rPr>
      </w:r>
      <w:r>
        <w:rPr/>
        <w:t>高不超过</w:t>
      </w:r>
      <w:r>
        <w:rPr>
          <w:rFonts w:ascii="Times New Roman" w:hAnsi="Times New Roman" w:cs="Times New Roman" w:eastAsia="Times New Roman" w:hint="default"/>
        </w:rPr>
        <w:t>2,000.00</w:t>
      </w:r>
      <w:r>
        <w:rPr/>
        <w:t>万元的附条件的股权转让追加对价，交易形成商誉</w:t>
      </w:r>
      <w:r>
        <w:rPr>
          <w:rFonts w:ascii="Times New Roman" w:hAnsi="Times New Roman" w:cs="Times New Roman" w:eastAsia="Times New Roman" w:hint="default"/>
        </w:rPr>
        <w:t>18,950.86</w:t>
      </w:r>
      <w:r>
        <w:rPr/>
        <w:t>万元。</w:t>
      </w:r>
    </w:p>
    <w:p>
      <w:pPr>
        <w:pStyle w:val="BodyText"/>
        <w:spacing w:line="386" w:lineRule="auto" w:before="24"/>
        <w:ind w:left="153" w:right="1024" w:firstLine="420"/>
        <w:jc w:val="both"/>
      </w:pPr>
      <w:r>
        <w:rPr>
          <w:rFonts w:ascii="Times New Roman" w:hAnsi="Times New Roman" w:cs="Times New Roman" w:eastAsia="Times New Roman" w:hint="default"/>
        </w:rPr>
        <w:t>3</w:t>
      </w:r>
      <w:r>
        <w:rPr/>
        <w:t>）北京希嘉创智教育科技有限公司：根据公司与希嘉教育原股东签署的《</w:t>
      </w:r>
      <w:r>
        <w:rPr>
          <w:rFonts w:ascii="Times New Roman" w:hAnsi="Times New Roman" w:cs="Times New Roman" w:eastAsia="Times New Roman" w:hint="default"/>
        </w:rPr>
        <w:t>2016</w:t>
      </w:r>
      <w:r>
        <w:rPr/>
        <w:t>年增资协议》及相关 补充协议约定，由于希嘉教育原股东未完成业绩承诺，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月，希嘉教育原股东将其持有的希嘉教育</w:t>
      </w:r>
      <w:r>
        <w:rPr>
          <w:spacing w:val="-35"/>
        </w:rPr>
        <w:t> </w:t>
      </w:r>
      <w:r>
        <w:rPr>
          <w:spacing w:val="-35"/>
        </w:rPr>
      </w:r>
      <w:r>
        <w:rPr/>
        <w:t>合计</w:t>
      </w:r>
      <w:r>
        <w:rPr>
          <w:rFonts w:ascii="Times New Roman" w:hAnsi="Times New Roman" w:cs="Times New Roman" w:eastAsia="Times New Roman" w:hint="default"/>
        </w:rPr>
        <w:t>20.00%</w:t>
      </w:r>
      <w:r>
        <w:rPr/>
        <w:t>的股权以</w:t>
      </w:r>
      <w:r>
        <w:rPr>
          <w:rFonts w:ascii="Times New Roman" w:hAnsi="Times New Roman" w:cs="Times New Roman" w:eastAsia="Times New Roman" w:hint="default"/>
        </w:rPr>
        <w:t>0</w:t>
      </w:r>
      <w:r>
        <w:rPr/>
        <w:t>元价格转让给公司，转让完成后公司持有希嘉教育</w:t>
      </w:r>
      <w:r>
        <w:rPr>
          <w:rFonts w:ascii="Times New Roman" w:hAnsi="Times New Roman" w:cs="Times New Roman" w:eastAsia="Times New Roman" w:hint="default"/>
        </w:rPr>
        <w:t>44.00%</w:t>
      </w:r>
      <w:r>
        <w:rPr/>
        <w:t>的股权。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w:t>
      </w:r>
      <w:r>
        <w:rPr>
          <w:spacing w:val="1"/>
        </w:rPr>
        <w:t> </w:t>
      </w:r>
      <w:r>
        <w:rPr/>
        <w:t>公司以自有资金人民币</w:t>
      </w:r>
      <w:r>
        <w:rPr>
          <w:rFonts w:ascii="Times New Roman" w:hAnsi="Times New Roman" w:cs="Times New Roman" w:eastAsia="Times New Roman" w:hint="default"/>
        </w:rPr>
        <w:t>874.9997</w:t>
      </w:r>
      <w:r>
        <w:rPr/>
        <w:t>万元通过增资扩股的方式投资希嘉教育，认购希嘉教育基于完全摊薄基础</w:t>
      </w:r>
      <w:r>
        <w:rPr>
          <w:spacing w:val="-83"/>
        </w:rPr>
        <w:t> </w:t>
      </w:r>
      <w:r>
        <w:rPr>
          <w:spacing w:val="-83"/>
        </w:rPr>
      </w:r>
      <w:r>
        <w:rPr>
          <w:spacing w:val="-2"/>
        </w:rPr>
        <w:t>上共计</w:t>
      </w:r>
      <w:r>
        <w:rPr>
          <w:rFonts w:ascii="Times New Roman" w:hAnsi="Times New Roman" w:cs="Times New Roman" w:eastAsia="Times New Roman" w:hint="default"/>
          <w:spacing w:val="-2"/>
        </w:rPr>
        <w:t>12.50%</w:t>
      </w:r>
      <w:r>
        <w:rPr>
          <w:spacing w:val="-2"/>
        </w:rPr>
        <w:t>的股权，增资完成后公司持股占希嘉教育增资后注册资本的</w:t>
      </w:r>
      <w:r>
        <w:rPr>
          <w:rFonts w:ascii="Times New Roman" w:hAnsi="Times New Roman" w:cs="Times New Roman" w:eastAsia="Times New Roman" w:hint="default"/>
          <w:spacing w:val="-2"/>
        </w:rPr>
        <w:t>51.00%</w:t>
      </w:r>
      <w:r>
        <w:rPr>
          <w:spacing w:val="-2"/>
        </w:rPr>
        <w:t>，形成商誉</w:t>
      </w:r>
      <w:r>
        <w:rPr>
          <w:rFonts w:ascii="Times New Roman" w:hAnsi="Times New Roman" w:cs="Times New Roman" w:eastAsia="Times New Roman" w:hint="default"/>
          <w:spacing w:val="-2"/>
        </w:rPr>
        <w:t>1,348.69</w:t>
      </w:r>
      <w:r>
        <w:rPr>
          <w:spacing w:val="-2"/>
        </w:rPr>
        <w:t>万元。</w:t>
      </w:r>
    </w:p>
    <w:p>
      <w:pPr>
        <w:pStyle w:val="BodyText"/>
        <w:spacing w:line="386" w:lineRule="auto" w:before="35"/>
        <w:ind w:right="1128" w:firstLine="419"/>
        <w:jc w:val="both"/>
      </w:pPr>
      <w:r>
        <w:rPr>
          <w:rFonts w:ascii="Times New Roman" w:hAnsi="Times New Roman" w:cs="Times New Roman" w:eastAsia="Times New Roman" w:hint="default"/>
          <w:spacing w:val="-1"/>
        </w:rPr>
        <w:t>4</w:t>
      </w:r>
      <w:r>
        <w:rPr>
          <w:spacing w:val="-1"/>
        </w:rPr>
        <w:t>）北京华驰联创科技有限公司：</w:t>
      </w:r>
      <w:r>
        <w:rPr>
          <w:rFonts w:ascii="Times New Roman" w:hAnsi="Times New Roman" w:cs="Times New Roman" w:eastAsia="Times New Roman" w:hint="default"/>
          <w:spacing w:val="-1"/>
        </w:rPr>
        <w:t>2019</w:t>
      </w:r>
      <w:r>
        <w:rPr>
          <w:spacing w:val="-1"/>
        </w:rPr>
        <w:t>年公司控股子公司完美数联（杭州）科技有限公司以</w:t>
      </w:r>
      <w:r>
        <w:rPr>
          <w:rFonts w:ascii="Times New Roman" w:hAnsi="Times New Roman" w:cs="Times New Roman" w:eastAsia="Times New Roman" w:hint="default"/>
          <w:spacing w:val="-1"/>
        </w:rPr>
        <w:t>885</w:t>
      </w:r>
      <w:r>
        <w:rPr>
          <w:spacing w:val="-1"/>
        </w:rPr>
        <w:t>万元的</w:t>
      </w:r>
      <w:r>
        <w:rPr/>
        <w:t> 对价，收购华驰联创</w:t>
      </w:r>
      <w:r>
        <w:rPr>
          <w:rFonts w:ascii="Times New Roman" w:hAnsi="Times New Roman" w:cs="Times New Roman" w:eastAsia="Times New Roman" w:hint="default"/>
        </w:rPr>
        <w:t>59%</w:t>
      </w:r>
      <w:r>
        <w:rPr/>
        <w:t>的股权，交易形成商誉</w:t>
      </w:r>
      <w:r>
        <w:rPr>
          <w:rFonts w:ascii="Times New Roman" w:hAnsi="Times New Roman" w:cs="Times New Roman" w:eastAsia="Times New Roman" w:hint="default"/>
        </w:rPr>
        <w:t>649.65</w:t>
      </w:r>
      <w:r>
        <w:rPr/>
        <w:t>万元。</w:t>
      </w:r>
    </w:p>
    <w:p>
      <w:pPr>
        <w:spacing w:line="477" w:lineRule="auto" w:before="101"/>
        <w:ind w:left="154" w:right="1113" w:firstLine="0"/>
        <w:jc w:val="left"/>
        <w:rPr>
          <w:rFonts w:ascii="宋体" w:hAnsi="宋体" w:cs="宋体" w:eastAsia="宋体" w:hint="default"/>
          <w:sz w:val="18"/>
          <w:szCs w:val="18"/>
        </w:rPr>
      </w:pP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等）及商誉减值损失的确认方法：</w:t>
      </w:r>
    </w:p>
    <w:p>
      <w:pPr>
        <w:pStyle w:val="BodyText"/>
        <w:spacing w:line="240" w:lineRule="auto" w:before="67"/>
        <w:ind w:left="574" w:right="1113"/>
        <w:jc w:val="left"/>
      </w:pPr>
      <w:r>
        <w:rPr>
          <w:rFonts w:ascii="Times New Roman" w:hAnsi="Times New Roman" w:cs="Times New Roman" w:eastAsia="Times New Roman" w:hint="default"/>
        </w:rPr>
        <w:t>1</w:t>
      </w:r>
      <w:r>
        <w:rPr/>
        <w:t>、资产组相关信息</w:t>
      </w:r>
    </w:p>
    <w:p>
      <w:pPr>
        <w:pStyle w:val="BodyText"/>
        <w:spacing w:line="240" w:lineRule="auto" w:before="99"/>
        <w:ind w:left="0" w:right="1131"/>
        <w:jc w:val="right"/>
      </w:pPr>
      <w:r>
        <w:rPr/>
        <w:t>单位：万元</w:t>
      </w:r>
    </w:p>
    <w:p>
      <w:pPr>
        <w:spacing w:line="240" w:lineRule="auto" w:before="5"/>
        <w:rPr>
          <w:rFonts w:ascii="宋体" w:hAnsi="宋体" w:cs="宋体" w:eastAsia="宋体" w:hint="default"/>
          <w:sz w:val="4"/>
          <w:szCs w:val="4"/>
        </w:rPr>
      </w:pPr>
    </w:p>
    <w:tbl>
      <w:tblPr>
        <w:tblW w:w="0" w:type="auto"/>
        <w:jc w:val="left"/>
        <w:tblInd w:w="151" w:type="dxa"/>
        <w:tblLayout w:type="fixed"/>
        <w:tblCellMar>
          <w:top w:w="0" w:type="dxa"/>
          <w:left w:w="0" w:type="dxa"/>
          <w:bottom w:w="0" w:type="dxa"/>
          <w:right w:w="0" w:type="dxa"/>
        </w:tblCellMar>
        <w:tblLook w:val="01E0"/>
      </w:tblPr>
      <w:tblGrid>
        <w:gridCol w:w="3971"/>
        <w:gridCol w:w="1559"/>
        <w:gridCol w:w="1702"/>
        <w:gridCol w:w="1274"/>
        <w:gridCol w:w="1276"/>
      </w:tblGrid>
      <w:tr>
        <w:trPr>
          <w:trHeight w:val="319" w:hRule="exact"/>
        </w:trPr>
        <w:tc>
          <w:tcPr>
            <w:tcW w:w="3971"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单位</w:t>
            </w:r>
          </w:p>
        </w:tc>
        <w:tc>
          <w:tcPr>
            <w:tcW w:w="1559"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14"/>
              <w:ind w:left="417" w:right="0"/>
              <w:jc w:val="left"/>
              <w:rPr>
                <w:rFonts w:ascii="宋体" w:hAnsi="宋体" w:cs="宋体" w:eastAsia="宋体" w:hint="default"/>
                <w:sz w:val="18"/>
                <w:szCs w:val="18"/>
              </w:rPr>
            </w:pPr>
            <w:r>
              <w:rPr>
                <w:rFonts w:ascii="宋体" w:hAnsi="宋体" w:cs="宋体" w:eastAsia="宋体" w:hint="default"/>
                <w:sz w:val="18"/>
                <w:szCs w:val="18"/>
              </w:rPr>
              <w:t>迪科远望</w:t>
            </w:r>
          </w:p>
        </w:tc>
        <w:tc>
          <w:tcPr>
            <w:tcW w:w="1702"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14"/>
              <w:ind w:left="488" w:right="0"/>
              <w:jc w:val="left"/>
              <w:rPr>
                <w:rFonts w:ascii="宋体" w:hAnsi="宋体" w:cs="宋体" w:eastAsia="宋体" w:hint="default"/>
                <w:sz w:val="18"/>
                <w:szCs w:val="18"/>
              </w:rPr>
            </w:pPr>
            <w:r>
              <w:rPr>
                <w:rFonts w:ascii="宋体" w:hAnsi="宋体" w:cs="宋体" w:eastAsia="宋体" w:hint="default"/>
                <w:sz w:val="18"/>
                <w:szCs w:val="18"/>
              </w:rPr>
              <w:t>上海树维</w:t>
            </w:r>
          </w:p>
        </w:tc>
        <w:tc>
          <w:tcPr>
            <w:tcW w:w="1274"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14"/>
              <w:ind w:left="274" w:right="0"/>
              <w:jc w:val="left"/>
              <w:rPr>
                <w:rFonts w:ascii="宋体" w:hAnsi="宋体" w:cs="宋体" w:eastAsia="宋体" w:hint="default"/>
                <w:sz w:val="18"/>
                <w:szCs w:val="18"/>
              </w:rPr>
            </w:pPr>
            <w:r>
              <w:rPr>
                <w:rFonts w:ascii="宋体" w:hAnsi="宋体" w:cs="宋体" w:eastAsia="宋体" w:hint="default"/>
                <w:sz w:val="18"/>
                <w:szCs w:val="18"/>
              </w:rPr>
              <w:t>希嘉教育</w:t>
            </w:r>
          </w:p>
        </w:tc>
        <w:tc>
          <w:tcPr>
            <w:tcW w:w="1276"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14"/>
              <w:ind w:left="276" w:right="0"/>
              <w:jc w:val="left"/>
              <w:rPr>
                <w:rFonts w:ascii="宋体" w:hAnsi="宋体" w:cs="宋体" w:eastAsia="宋体" w:hint="default"/>
                <w:sz w:val="18"/>
                <w:szCs w:val="18"/>
              </w:rPr>
            </w:pPr>
            <w:r>
              <w:rPr>
                <w:rFonts w:ascii="宋体" w:hAnsi="宋体" w:cs="宋体" w:eastAsia="宋体" w:hint="default"/>
                <w:sz w:val="18"/>
                <w:szCs w:val="18"/>
              </w:rPr>
              <w:t>华驰联创</w:t>
            </w:r>
          </w:p>
        </w:tc>
      </w:tr>
      <w:tr>
        <w:trPr>
          <w:trHeight w:val="667" w:hRule="exact"/>
        </w:trPr>
        <w:tc>
          <w:tcPr>
            <w:tcW w:w="3971" w:type="dxa"/>
            <w:tcBorders>
              <w:top w:val="single" w:sz="2" w:space="0" w:color="000000"/>
              <w:left w:val="single" w:sz="2" w:space="0" w:color="000000"/>
              <w:bottom w:val="single" w:sz="6" w:space="0" w:color="FFFFFF"/>
              <w:right w:val="single" w:sz="2" w:space="0" w:color="000000"/>
            </w:tcBorders>
            <w:shd w:val="clear" w:color="auto" w:fill="BFBFBF"/>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资产组的构成</w:t>
            </w:r>
          </w:p>
        </w:tc>
        <w:tc>
          <w:tcPr>
            <w:tcW w:w="1559" w:type="dxa"/>
            <w:tcBorders>
              <w:top w:val="single" w:sz="2" w:space="0" w:color="000000"/>
              <w:left w:val="single" w:sz="2" w:space="0" w:color="000000"/>
              <w:bottom w:val="single" w:sz="6" w:space="0" w:color="FFFFFF"/>
              <w:right w:val="single" w:sz="2" w:space="0" w:color="000000"/>
            </w:tcBorders>
            <w:shd w:val="clear" w:color="auto" w:fill="BFBFBF"/>
          </w:tcPr>
          <w:p>
            <w:pPr>
              <w:pStyle w:val="TableParagraph"/>
              <w:spacing w:line="316" w:lineRule="auto" w:before="33"/>
              <w:ind w:left="552" w:right="5" w:hanging="544"/>
              <w:jc w:val="left"/>
              <w:rPr>
                <w:rFonts w:ascii="宋体" w:hAnsi="宋体" w:cs="宋体" w:eastAsia="宋体" w:hint="default"/>
                <w:sz w:val="18"/>
                <w:szCs w:val="18"/>
              </w:rPr>
            </w:pPr>
            <w:r>
              <w:rPr>
                <w:rFonts w:ascii="宋体" w:hAnsi="宋体" w:cs="宋体" w:eastAsia="宋体" w:hint="default"/>
                <w:spacing w:val="-10"/>
                <w:sz w:val="18"/>
                <w:szCs w:val="18"/>
              </w:rPr>
              <w:t>经营性长期资产（说</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明</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702" w:type="dxa"/>
            <w:tcBorders>
              <w:top w:val="single" w:sz="2" w:space="0" w:color="000000"/>
              <w:left w:val="single" w:sz="2" w:space="0" w:color="000000"/>
              <w:bottom w:val="single" w:sz="6" w:space="0" w:color="FFFFFF"/>
              <w:right w:val="single" w:sz="2" w:space="0" w:color="000000"/>
            </w:tcBorders>
            <w:shd w:val="clear" w:color="auto" w:fill="BFBFBF"/>
          </w:tcPr>
          <w:p>
            <w:pPr>
              <w:pStyle w:val="TableParagraph"/>
              <w:spacing w:line="316" w:lineRule="auto" w:before="33"/>
              <w:ind w:left="622" w:right="36" w:hanging="585"/>
              <w:jc w:val="left"/>
              <w:rPr>
                <w:rFonts w:ascii="宋体" w:hAnsi="宋体" w:cs="宋体" w:eastAsia="宋体" w:hint="default"/>
                <w:sz w:val="18"/>
                <w:szCs w:val="18"/>
              </w:rPr>
            </w:pPr>
            <w:r>
              <w:rPr>
                <w:rFonts w:ascii="宋体" w:hAnsi="宋体" w:cs="宋体" w:eastAsia="宋体" w:hint="default"/>
                <w:sz w:val="18"/>
                <w:szCs w:val="18"/>
              </w:rPr>
              <w:t>经营性长期资产（说 明</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274" w:type="dxa"/>
            <w:tcBorders>
              <w:top w:val="single" w:sz="2" w:space="0" w:color="000000"/>
              <w:left w:val="single" w:sz="2" w:space="0" w:color="000000"/>
              <w:bottom w:val="single" w:sz="6" w:space="0" w:color="FFFFFF"/>
              <w:right w:val="single" w:sz="2" w:space="0" w:color="000000"/>
            </w:tcBorders>
            <w:shd w:val="clear" w:color="auto" w:fill="BFBFBF"/>
          </w:tcPr>
          <w:p>
            <w:pPr>
              <w:pStyle w:val="TableParagraph"/>
              <w:spacing w:line="316" w:lineRule="auto" w:before="33"/>
              <w:ind w:left="139" w:right="92" w:hanging="45"/>
              <w:jc w:val="left"/>
              <w:rPr>
                <w:rFonts w:ascii="宋体" w:hAnsi="宋体" w:cs="宋体" w:eastAsia="宋体" w:hint="default"/>
                <w:sz w:val="18"/>
                <w:szCs w:val="18"/>
              </w:rPr>
            </w:pPr>
            <w:r>
              <w:rPr>
                <w:rFonts w:ascii="宋体" w:hAnsi="宋体" w:cs="宋体" w:eastAsia="宋体" w:hint="default"/>
                <w:sz w:val="18"/>
                <w:szCs w:val="18"/>
              </w:rPr>
              <w:t>经营性长期资 产（说明</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276" w:type="dxa"/>
            <w:tcBorders>
              <w:top w:val="single" w:sz="2" w:space="0" w:color="000000"/>
              <w:left w:val="single" w:sz="2" w:space="0" w:color="000000"/>
              <w:bottom w:val="single" w:sz="6" w:space="0" w:color="FFFFFF"/>
              <w:right w:val="single" w:sz="2" w:space="0" w:color="000000"/>
            </w:tcBorders>
            <w:shd w:val="clear" w:color="auto" w:fill="BFBFBF"/>
          </w:tcPr>
          <w:p>
            <w:pPr>
              <w:pStyle w:val="TableParagraph"/>
              <w:spacing w:line="316" w:lineRule="auto" w:before="33"/>
              <w:ind w:left="140" w:right="92" w:hanging="45"/>
              <w:jc w:val="left"/>
              <w:rPr>
                <w:rFonts w:ascii="宋体" w:hAnsi="宋体" w:cs="宋体" w:eastAsia="宋体" w:hint="default"/>
                <w:sz w:val="18"/>
                <w:szCs w:val="18"/>
              </w:rPr>
            </w:pPr>
            <w:r>
              <w:rPr>
                <w:rFonts w:ascii="宋体" w:hAnsi="宋体" w:cs="宋体" w:eastAsia="宋体" w:hint="default"/>
                <w:sz w:val="18"/>
                <w:szCs w:val="18"/>
              </w:rPr>
              <w:t>经营性长期资 产（说明</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r>
      <w:tr>
        <w:trPr>
          <w:trHeight w:val="332" w:hRule="exact"/>
        </w:trPr>
        <w:tc>
          <w:tcPr>
            <w:tcW w:w="3971" w:type="dxa"/>
            <w:tcBorders>
              <w:top w:val="single" w:sz="6" w:space="0" w:color="FFFFFF"/>
              <w:left w:val="single" w:sz="2" w:space="0" w:color="000000"/>
              <w:bottom w:val="single" w:sz="2" w:space="0" w:color="000000"/>
              <w:right w:val="single" w:sz="2" w:space="0" w:color="000000"/>
            </w:tcBorders>
            <w:shd w:val="clear" w:color="auto" w:fill="BFBFBF"/>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资产组内的账面价值（经公允价值调表后）</w:t>
            </w:r>
          </w:p>
        </w:tc>
        <w:tc>
          <w:tcPr>
            <w:tcW w:w="1559" w:type="dxa"/>
            <w:tcBorders>
              <w:top w:val="single" w:sz="6" w:space="0" w:color="FFFFFF"/>
              <w:left w:val="single" w:sz="2" w:space="0" w:color="000000"/>
              <w:bottom w:val="single" w:sz="2" w:space="0" w:color="000000"/>
              <w:right w:val="single" w:sz="2" w:space="0" w:color="000000"/>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z w:val="18"/>
              </w:rPr>
              <w:t>1,116.68</w:t>
            </w:r>
          </w:p>
        </w:tc>
        <w:tc>
          <w:tcPr>
            <w:tcW w:w="1702" w:type="dxa"/>
            <w:tcBorders>
              <w:top w:val="single" w:sz="6" w:space="0" w:color="FFFFFF"/>
              <w:left w:val="single" w:sz="2" w:space="0" w:color="000000"/>
              <w:bottom w:val="single" w:sz="2" w:space="0" w:color="000000"/>
              <w:right w:val="single" w:sz="2" w:space="0" w:color="000000"/>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z w:val="18"/>
              </w:rPr>
              <w:t>2,065.83</w:t>
            </w:r>
          </w:p>
        </w:tc>
        <w:tc>
          <w:tcPr>
            <w:tcW w:w="1274" w:type="dxa"/>
            <w:tcBorders>
              <w:top w:val="single" w:sz="6" w:space="0" w:color="FFFFFF"/>
              <w:left w:val="single" w:sz="2" w:space="0" w:color="000000"/>
              <w:bottom w:val="single" w:sz="2" w:space="0" w:color="000000"/>
              <w:right w:val="single" w:sz="2" w:space="0" w:color="000000"/>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z w:val="18"/>
              </w:rPr>
              <w:t>1,565.59</w:t>
            </w:r>
          </w:p>
        </w:tc>
        <w:tc>
          <w:tcPr>
            <w:tcW w:w="1276" w:type="dxa"/>
            <w:tcBorders>
              <w:top w:val="single" w:sz="6" w:space="0" w:color="FFFFFF"/>
              <w:left w:val="single" w:sz="2" w:space="0" w:color="000000"/>
              <w:bottom w:val="single" w:sz="2" w:space="0" w:color="000000"/>
              <w:right w:val="single" w:sz="2" w:space="0" w:color="000000"/>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z w:val="18"/>
              </w:rPr>
              <w:t>566.71</w:t>
            </w:r>
          </w:p>
        </w:tc>
      </w:tr>
      <w:tr>
        <w:trPr>
          <w:trHeight w:val="337" w:hRule="exact"/>
        </w:trPr>
        <w:tc>
          <w:tcPr>
            <w:tcW w:w="3971"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分摊至本资产组的整体商誉账面价值</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28,007.62</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18,950.86</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2,644.49</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969.62</w:t>
            </w:r>
          </w:p>
        </w:tc>
      </w:tr>
      <w:tr>
        <w:trPr>
          <w:trHeight w:val="337" w:hRule="exact"/>
        </w:trPr>
        <w:tc>
          <w:tcPr>
            <w:tcW w:w="3971"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包含商誉的资产组的账面价值</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29,124.30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21,016.69</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4,210.08</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1,536.33</w:t>
            </w:r>
          </w:p>
        </w:tc>
      </w:tr>
      <w:tr>
        <w:trPr>
          <w:trHeight w:val="337" w:hRule="exact"/>
        </w:trPr>
        <w:tc>
          <w:tcPr>
            <w:tcW w:w="3971"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未来可收回金额</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30,500.00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23,400.00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8,926.19</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1,707.00</w:t>
            </w:r>
          </w:p>
        </w:tc>
      </w:tr>
      <w:tr>
        <w:trPr>
          <w:trHeight w:val="649" w:hRule="exact"/>
        </w:trPr>
        <w:tc>
          <w:tcPr>
            <w:tcW w:w="3971"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316" w:lineRule="auto" w:before="20"/>
              <w:ind w:left="1262" w:right="6" w:hanging="1256"/>
              <w:jc w:val="left"/>
              <w:rPr>
                <w:rFonts w:ascii="宋体" w:hAnsi="宋体" w:cs="宋体" w:eastAsia="宋体" w:hint="default"/>
                <w:sz w:val="18"/>
                <w:szCs w:val="18"/>
              </w:rPr>
            </w:pPr>
            <w:r>
              <w:rPr>
                <w:rFonts w:ascii="宋体" w:hAnsi="宋体" w:cs="宋体" w:eastAsia="宋体" w:hint="default"/>
                <w:spacing w:val="-1"/>
                <w:sz w:val="18"/>
                <w:szCs w:val="18"/>
              </w:rPr>
              <w:t>资产组是否与购买日、以前年度商誉减值测试时所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确定的资产组一致</w:t>
            </w:r>
          </w:p>
        </w:tc>
        <w:tc>
          <w:tcPr>
            <w:tcW w:w="5810" w:type="dxa"/>
            <w:gridSpan w:val="4"/>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240" w:lineRule="auto" w:before="35"/>
        <w:ind w:left="574" w:right="1113"/>
        <w:jc w:val="left"/>
      </w:pPr>
      <w:r>
        <w:rPr/>
        <w:t>说明</w:t>
      </w:r>
      <w:r>
        <w:rPr>
          <w:rFonts w:ascii="Times New Roman" w:hAnsi="Times New Roman" w:cs="Times New Roman" w:eastAsia="Times New Roman" w:hint="default"/>
        </w:rPr>
        <w:t>1</w:t>
      </w:r>
      <w:r>
        <w:rPr/>
        <w:t>：迪科远望资产组信息如下（单位：万元）：</w:t>
      </w:r>
    </w:p>
    <w:p>
      <w:pPr>
        <w:spacing w:line="240" w:lineRule="auto" w:before="4"/>
        <w:rPr>
          <w:rFonts w:ascii="宋体" w:hAnsi="宋体" w:cs="宋体" w:eastAsia="宋体" w:hint="default"/>
          <w:sz w:val="9"/>
          <w:szCs w:val="9"/>
        </w:rPr>
      </w:pPr>
    </w:p>
    <w:tbl>
      <w:tblPr>
        <w:tblW w:w="0" w:type="auto"/>
        <w:jc w:val="left"/>
        <w:tblInd w:w="151" w:type="dxa"/>
        <w:tblLayout w:type="fixed"/>
        <w:tblCellMar>
          <w:top w:w="0" w:type="dxa"/>
          <w:left w:w="0" w:type="dxa"/>
          <w:bottom w:w="0" w:type="dxa"/>
          <w:right w:w="0" w:type="dxa"/>
        </w:tblCellMar>
        <w:tblLook w:val="01E0"/>
      </w:tblPr>
      <w:tblGrid>
        <w:gridCol w:w="3970"/>
        <w:gridCol w:w="5812"/>
      </w:tblGrid>
      <w:tr>
        <w:trPr>
          <w:trHeight w:val="329" w:hRule="exact"/>
        </w:trPr>
        <w:tc>
          <w:tcPr>
            <w:tcW w:w="3970"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5812"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337" w:hRule="exact"/>
        </w:trPr>
        <w:tc>
          <w:tcPr>
            <w:tcW w:w="3970"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5812" w:type="dxa"/>
            <w:tcBorders>
              <w:top w:val="single" w:sz="6" w:space="0" w:color="BFBFBF"/>
              <w:left w:val="single" w:sz="2" w:space="0" w:color="000000"/>
              <w:bottom w:val="single" w:sz="2" w:space="0" w:color="000000"/>
              <w:right w:val="single" w:sz="2" w:space="0" w:color="000000"/>
            </w:tcBorders>
          </w:tcPr>
          <w:p>
            <w:pPr>
              <w:pStyle w:val="TableParagraph"/>
              <w:spacing w:line="240" w:lineRule="auto" w:before="54"/>
              <w:ind w:right="3"/>
              <w:jc w:val="right"/>
              <w:rPr>
                <w:rFonts w:ascii="Times New Roman" w:hAnsi="Times New Roman" w:cs="Times New Roman" w:eastAsia="Times New Roman" w:hint="default"/>
                <w:sz w:val="18"/>
                <w:szCs w:val="18"/>
              </w:rPr>
            </w:pPr>
            <w:r>
              <w:rPr>
                <w:rFonts w:ascii="Times New Roman"/>
                <w:sz w:val="18"/>
              </w:rPr>
              <w:t>74.12</w:t>
            </w:r>
          </w:p>
        </w:tc>
      </w:tr>
      <w:tr>
        <w:trPr>
          <w:trHeight w:val="336" w:hRule="exact"/>
        </w:trPr>
        <w:tc>
          <w:tcPr>
            <w:tcW w:w="3970"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58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247.31</w:t>
            </w:r>
          </w:p>
        </w:tc>
      </w:tr>
      <w:tr>
        <w:trPr>
          <w:trHeight w:val="337" w:hRule="exact"/>
        </w:trPr>
        <w:tc>
          <w:tcPr>
            <w:tcW w:w="3970"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开发支出</w:t>
            </w:r>
          </w:p>
        </w:tc>
        <w:tc>
          <w:tcPr>
            <w:tcW w:w="58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795.25</w:t>
            </w:r>
          </w:p>
        </w:tc>
      </w:tr>
      <w:tr>
        <w:trPr>
          <w:trHeight w:val="332" w:hRule="exact"/>
        </w:trPr>
        <w:tc>
          <w:tcPr>
            <w:tcW w:w="3970"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资产组合计</w:t>
            </w:r>
          </w:p>
        </w:tc>
        <w:tc>
          <w:tcPr>
            <w:tcW w:w="58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1,116.68</w:t>
            </w:r>
          </w:p>
        </w:tc>
      </w:tr>
    </w:tbl>
    <w:p>
      <w:pPr>
        <w:pStyle w:val="BodyText"/>
        <w:spacing w:line="408" w:lineRule="auto" w:before="68"/>
        <w:ind w:right="1113" w:firstLine="420"/>
        <w:jc w:val="left"/>
      </w:pPr>
      <w:r>
        <w:rPr>
          <w:spacing w:val="-1"/>
        </w:rPr>
        <w:t>固定资产具体包括电子设备和车辆；无形资产具体包括专利、商标使用权和软件著作权等；开发支出</w:t>
      </w:r>
      <w:r>
        <w:rPr/>
        <w:t> 具体为工资薪酬、办公费和服务费等，以上数据已经公允价值调表。</w:t>
      </w:r>
    </w:p>
    <w:p>
      <w:pPr>
        <w:pStyle w:val="BodyText"/>
        <w:spacing w:line="240" w:lineRule="auto"/>
        <w:ind w:left="573" w:right="1113"/>
        <w:jc w:val="left"/>
      </w:pPr>
      <w:r>
        <w:rPr/>
        <w:t>说明</w:t>
      </w:r>
      <w:r>
        <w:rPr>
          <w:rFonts w:ascii="Times New Roman" w:hAnsi="Times New Roman" w:cs="Times New Roman" w:eastAsia="Times New Roman" w:hint="default"/>
        </w:rPr>
        <w:t>2</w:t>
      </w:r>
      <w:r>
        <w:rPr/>
        <w:t>：上海树维资产组信息如下（单位：万元）</w:t>
      </w:r>
    </w:p>
    <w:p>
      <w:pPr>
        <w:spacing w:line="240" w:lineRule="auto" w:before="4"/>
        <w:rPr>
          <w:rFonts w:ascii="宋体" w:hAnsi="宋体" w:cs="宋体" w:eastAsia="宋体" w:hint="default"/>
          <w:sz w:val="9"/>
          <w:szCs w:val="9"/>
        </w:rPr>
      </w:pPr>
    </w:p>
    <w:tbl>
      <w:tblPr>
        <w:tblW w:w="0" w:type="auto"/>
        <w:jc w:val="left"/>
        <w:tblInd w:w="151" w:type="dxa"/>
        <w:tblLayout w:type="fixed"/>
        <w:tblCellMar>
          <w:top w:w="0" w:type="dxa"/>
          <w:left w:w="0" w:type="dxa"/>
          <w:bottom w:w="0" w:type="dxa"/>
          <w:right w:w="0" w:type="dxa"/>
        </w:tblCellMar>
        <w:tblLook w:val="01E0"/>
      </w:tblPr>
      <w:tblGrid>
        <w:gridCol w:w="3970"/>
        <w:gridCol w:w="5812"/>
      </w:tblGrid>
      <w:tr>
        <w:trPr>
          <w:trHeight w:val="329" w:hRule="exact"/>
        </w:trPr>
        <w:tc>
          <w:tcPr>
            <w:tcW w:w="3970"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5812"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337" w:hRule="exact"/>
        </w:trPr>
        <w:tc>
          <w:tcPr>
            <w:tcW w:w="3970"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5812" w:type="dxa"/>
            <w:tcBorders>
              <w:top w:val="single" w:sz="6" w:space="0" w:color="BFBFBF"/>
              <w:left w:val="single" w:sz="2" w:space="0" w:color="000000"/>
              <w:bottom w:val="single" w:sz="2" w:space="0" w:color="000000"/>
              <w:right w:val="single" w:sz="2"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sz w:val="18"/>
              </w:rPr>
              <w:t>144.74</w:t>
            </w:r>
          </w:p>
        </w:tc>
      </w:tr>
      <w:tr>
        <w:trPr>
          <w:trHeight w:val="337" w:hRule="exact"/>
        </w:trPr>
        <w:tc>
          <w:tcPr>
            <w:tcW w:w="3970"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58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1,921.09</w:t>
            </w:r>
          </w:p>
        </w:tc>
      </w:tr>
      <w:tr>
        <w:trPr>
          <w:trHeight w:val="337" w:hRule="exact"/>
        </w:trPr>
        <w:tc>
          <w:tcPr>
            <w:tcW w:w="3970"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开发支出</w:t>
            </w:r>
          </w:p>
        </w:tc>
        <w:tc>
          <w:tcPr>
            <w:tcW w:w="5812" w:type="dxa"/>
            <w:tcBorders>
              <w:top w:val="single" w:sz="2" w:space="0" w:color="000000"/>
              <w:left w:val="single" w:sz="2" w:space="0" w:color="000000"/>
              <w:bottom w:val="single" w:sz="2" w:space="0" w:color="000000"/>
              <w:right w:val="single" w:sz="2" w:space="0" w:color="000000"/>
            </w:tcBorders>
          </w:tcPr>
          <w:p>
            <w:pPr/>
          </w:p>
        </w:tc>
      </w:tr>
      <w:tr>
        <w:trPr>
          <w:trHeight w:val="332" w:hRule="exact"/>
        </w:trPr>
        <w:tc>
          <w:tcPr>
            <w:tcW w:w="3970"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资产组合计</w:t>
            </w:r>
          </w:p>
        </w:tc>
        <w:tc>
          <w:tcPr>
            <w:tcW w:w="58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2,065.83</w:t>
            </w:r>
          </w:p>
        </w:tc>
      </w:tr>
    </w:tbl>
    <w:p>
      <w:pPr>
        <w:pStyle w:val="BodyText"/>
        <w:spacing w:line="408" w:lineRule="auto" w:before="68"/>
        <w:ind w:right="1113" w:firstLine="420"/>
        <w:jc w:val="left"/>
      </w:pPr>
      <w:r>
        <w:rPr>
          <w:spacing w:val="-1"/>
        </w:rPr>
        <w:t>固定资产具体包括电子设备和其他设备；无形资产具体包括外购软件、自主研发软件产品及系统、软</w:t>
      </w:r>
      <w:r>
        <w:rPr/>
        <w:t> 件著作权，以上数据已经公允价值调表。</w:t>
      </w:r>
    </w:p>
    <w:p>
      <w:pPr>
        <w:pStyle w:val="BodyText"/>
        <w:spacing w:line="240" w:lineRule="auto"/>
        <w:ind w:left="573" w:right="1113"/>
        <w:jc w:val="left"/>
      </w:pPr>
      <w:r>
        <w:rPr/>
        <w:t>说明</w:t>
      </w:r>
      <w:r>
        <w:rPr>
          <w:rFonts w:ascii="Times New Roman" w:hAnsi="Times New Roman" w:cs="Times New Roman" w:eastAsia="Times New Roman" w:hint="default"/>
        </w:rPr>
        <w:t>3</w:t>
      </w:r>
      <w:r>
        <w:rPr/>
        <w:t>：希嘉教育资产组信息如下（单位：万元）</w:t>
      </w:r>
    </w:p>
    <w:p>
      <w:pPr>
        <w:spacing w:line="240" w:lineRule="auto" w:before="4"/>
        <w:rPr>
          <w:rFonts w:ascii="宋体" w:hAnsi="宋体" w:cs="宋体" w:eastAsia="宋体" w:hint="default"/>
          <w:sz w:val="9"/>
          <w:szCs w:val="9"/>
        </w:rPr>
      </w:pPr>
    </w:p>
    <w:tbl>
      <w:tblPr>
        <w:tblW w:w="0" w:type="auto"/>
        <w:jc w:val="left"/>
        <w:tblInd w:w="151" w:type="dxa"/>
        <w:tblLayout w:type="fixed"/>
        <w:tblCellMar>
          <w:top w:w="0" w:type="dxa"/>
          <w:left w:w="0" w:type="dxa"/>
          <w:bottom w:w="0" w:type="dxa"/>
          <w:right w:w="0" w:type="dxa"/>
        </w:tblCellMar>
        <w:tblLook w:val="01E0"/>
      </w:tblPr>
      <w:tblGrid>
        <w:gridCol w:w="3970"/>
        <w:gridCol w:w="5812"/>
      </w:tblGrid>
      <w:tr>
        <w:trPr>
          <w:trHeight w:val="328" w:hRule="exact"/>
        </w:trPr>
        <w:tc>
          <w:tcPr>
            <w:tcW w:w="3970"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5812"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337" w:hRule="exact"/>
        </w:trPr>
        <w:tc>
          <w:tcPr>
            <w:tcW w:w="3970"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5812" w:type="dxa"/>
            <w:tcBorders>
              <w:top w:val="single" w:sz="6" w:space="0" w:color="BFBFBF"/>
              <w:left w:val="single" w:sz="2" w:space="0" w:color="000000"/>
              <w:bottom w:val="single" w:sz="2" w:space="0" w:color="000000"/>
              <w:right w:val="single" w:sz="2"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sz w:val="18"/>
              </w:rPr>
              <w:t>12.47</w:t>
            </w:r>
          </w:p>
        </w:tc>
      </w:tr>
      <w:tr>
        <w:trPr>
          <w:trHeight w:val="337" w:hRule="exact"/>
        </w:trPr>
        <w:tc>
          <w:tcPr>
            <w:tcW w:w="3970"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58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1,352.38</w:t>
            </w:r>
          </w:p>
        </w:tc>
      </w:tr>
      <w:tr>
        <w:trPr>
          <w:trHeight w:val="337" w:hRule="exact"/>
        </w:trPr>
        <w:tc>
          <w:tcPr>
            <w:tcW w:w="3970"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开发支出</w:t>
            </w:r>
          </w:p>
        </w:tc>
        <w:tc>
          <w:tcPr>
            <w:tcW w:w="58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200.74</w:t>
            </w:r>
          </w:p>
        </w:tc>
      </w:tr>
      <w:tr>
        <w:trPr>
          <w:trHeight w:val="332" w:hRule="exact"/>
        </w:trPr>
        <w:tc>
          <w:tcPr>
            <w:tcW w:w="3970"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资产组合计</w:t>
            </w:r>
          </w:p>
        </w:tc>
        <w:tc>
          <w:tcPr>
            <w:tcW w:w="58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1,565.59</w:t>
            </w:r>
          </w:p>
        </w:tc>
      </w:tr>
    </w:tbl>
    <w:p>
      <w:pPr>
        <w:pStyle w:val="BodyText"/>
        <w:spacing w:line="408" w:lineRule="auto" w:before="68"/>
        <w:ind w:right="1090" w:firstLine="420"/>
        <w:jc w:val="left"/>
      </w:pPr>
      <w:r>
        <w:rPr/>
        <w:t>固定资产具体包括电子设备和其他设备；无形资产具体包括自主研发软件产品、系统、软件著作权， 以上数据已经公允价值调表。</w:t>
      </w:r>
    </w:p>
    <w:p>
      <w:pPr>
        <w:pStyle w:val="BodyText"/>
        <w:spacing w:line="240" w:lineRule="auto"/>
        <w:ind w:left="573" w:right="1113"/>
        <w:jc w:val="left"/>
      </w:pPr>
      <w:r>
        <w:rPr/>
        <w:t>说明</w:t>
      </w:r>
      <w:r>
        <w:rPr>
          <w:rFonts w:ascii="Times New Roman" w:hAnsi="Times New Roman" w:cs="Times New Roman" w:eastAsia="Times New Roman" w:hint="default"/>
        </w:rPr>
        <w:t>4</w:t>
      </w:r>
      <w:r>
        <w:rPr/>
        <w:t>：华驰联创资产组信息如下（单位：万元）</w:t>
      </w:r>
    </w:p>
    <w:p>
      <w:pPr>
        <w:spacing w:line="240" w:lineRule="auto" w:before="4"/>
        <w:rPr>
          <w:rFonts w:ascii="宋体" w:hAnsi="宋体" w:cs="宋体" w:eastAsia="宋体" w:hint="default"/>
          <w:sz w:val="9"/>
          <w:szCs w:val="9"/>
        </w:rPr>
      </w:pPr>
    </w:p>
    <w:tbl>
      <w:tblPr>
        <w:tblW w:w="0" w:type="auto"/>
        <w:jc w:val="left"/>
        <w:tblInd w:w="151" w:type="dxa"/>
        <w:tblLayout w:type="fixed"/>
        <w:tblCellMar>
          <w:top w:w="0" w:type="dxa"/>
          <w:left w:w="0" w:type="dxa"/>
          <w:bottom w:w="0" w:type="dxa"/>
          <w:right w:w="0" w:type="dxa"/>
        </w:tblCellMar>
        <w:tblLook w:val="01E0"/>
      </w:tblPr>
      <w:tblGrid>
        <w:gridCol w:w="3970"/>
        <w:gridCol w:w="5812"/>
      </w:tblGrid>
      <w:tr>
        <w:trPr>
          <w:trHeight w:val="329" w:hRule="exact"/>
        </w:trPr>
        <w:tc>
          <w:tcPr>
            <w:tcW w:w="3970"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5812"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337" w:hRule="exact"/>
        </w:trPr>
        <w:tc>
          <w:tcPr>
            <w:tcW w:w="3970"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5812" w:type="dxa"/>
            <w:tcBorders>
              <w:top w:val="single" w:sz="6" w:space="0" w:color="BFBFBF"/>
              <w:left w:val="single" w:sz="2" w:space="0" w:color="000000"/>
              <w:bottom w:val="single" w:sz="2" w:space="0" w:color="000000"/>
              <w:right w:val="single" w:sz="2" w:space="0" w:color="000000"/>
            </w:tcBorders>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sz w:val="18"/>
              </w:rPr>
              <w:t>2.50</w:t>
            </w:r>
          </w:p>
        </w:tc>
      </w:tr>
      <w:tr>
        <w:trPr>
          <w:trHeight w:val="336" w:hRule="exact"/>
        </w:trPr>
        <w:tc>
          <w:tcPr>
            <w:tcW w:w="3970"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58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564.21</w:t>
            </w:r>
          </w:p>
        </w:tc>
      </w:tr>
      <w:tr>
        <w:trPr>
          <w:trHeight w:val="337" w:hRule="exact"/>
        </w:trPr>
        <w:tc>
          <w:tcPr>
            <w:tcW w:w="3970"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开发支出</w:t>
            </w:r>
          </w:p>
        </w:tc>
        <w:tc>
          <w:tcPr>
            <w:tcW w:w="5812" w:type="dxa"/>
            <w:tcBorders>
              <w:top w:val="single" w:sz="2" w:space="0" w:color="000000"/>
              <w:left w:val="single" w:sz="2" w:space="0" w:color="000000"/>
              <w:bottom w:val="single" w:sz="2" w:space="0" w:color="000000"/>
              <w:right w:val="single" w:sz="2" w:space="0" w:color="000000"/>
            </w:tcBorders>
          </w:tcPr>
          <w:p>
            <w:pPr/>
          </w:p>
        </w:tc>
      </w:tr>
      <w:tr>
        <w:trPr>
          <w:trHeight w:val="332" w:hRule="exact"/>
        </w:trPr>
        <w:tc>
          <w:tcPr>
            <w:tcW w:w="3970"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资产组合计</w:t>
            </w:r>
          </w:p>
        </w:tc>
        <w:tc>
          <w:tcPr>
            <w:tcW w:w="58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566.71</w:t>
            </w:r>
          </w:p>
        </w:tc>
      </w:tr>
    </w:tbl>
    <w:p>
      <w:pPr>
        <w:pStyle w:val="BodyText"/>
        <w:spacing w:line="408" w:lineRule="auto" w:before="68"/>
        <w:ind w:right="1113" w:firstLine="420"/>
        <w:jc w:val="left"/>
      </w:pPr>
      <w:r>
        <w:rPr>
          <w:spacing w:val="-1"/>
        </w:rPr>
        <w:t>固定资产具体包括电子设备和其他设备；无形资产具体主要为软件著作权，以上数据已经公允价值调</w:t>
      </w:r>
      <w:r>
        <w:rPr/>
        <w:t> 表。</w:t>
      </w:r>
    </w:p>
    <w:p>
      <w:pPr>
        <w:pStyle w:val="BodyText"/>
        <w:spacing w:line="386" w:lineRule="auto"/>
        <w:ind w:left="153" w:right="1113" w:firstLine="420"/>
        <w:jc w:val="left"/>
      </w:pPr>
      <w:r>
        <w:rPr/>
        <w:t>说明</w:t>
      </w:r>
      <w:r>
        <w:rPr>
          <w:rFonts w:ascii="Times New Roman" w:hAnsi="Times New Roman" w:cs="Times New Roman" w:eastAsia="Times New Roman" w:hint="default"/>
        </w:rPr>
        <w:t>5</w:t>
      </w:r>
      <w:r>
        <w:rPr/>
        <w:t>：通过未来可收回金额与包含商誉的资产组账面价值进行对比可知，截至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 司商誉未出现减值迹象。</w:t>
      </w:r>
    </w:p>
    <w:p>
      <w:pPr>
        <w:pStyle w:val="BodyText"/>
        <w:spacing w:line="240" w:lineRule="auto" w:before="65"/>
        <w:ind w:left="573" w:right="1113"/>
        <w:jc w:val="left"/>
      </w:pPr>
      <w:r>
        <w:rPr/>
        <w:t>（</w:t>
      </w:r>
      <w:r>
        <w:rPr>
          <w:rFonts w:ascii="Times New Roman" w:hAnsi="Times New Roman" w:cs="Times New Roman" w:eastAsia="Times New Roman" w:hint="default"/>
        </w:rPr>
        <w:t>1</w:t>
      </w:r>
      <w:r>
        <w:rPr/>
        <w:t>）本公司采用未来现金流量折现方法的主要参数</w:t>
      </w:r>
    </w:p>
    <w:p>
      <w:pPr>
        <w:spacing w:after="0" w:line="240" w:lineRule="auto"/>
        <w:jc w:val="left"/>
        <w:sectPr>
          <w:pgSz w:w="11910" w:h="16840"/>
          <w:pgMar w:header="877" w:footer="982" w:top="1100" w:bottom="1180" w:left="980" w:right="0"/>
        </w:sectPr>
      </w:pPr>
    </w:p>
    <w:p>
      <w:pPr>
        <w:spacing w:line="240" w:lineRule="auto" w:before="6"/>
        <w:rPr>
          <w:rFonts w:ascii="宋体" w:hAnsi="宋体" w:cs="宋体" w:eastAsia="宋体" w:hint="default"/>
          <w:sz w:val="24"/>
          <w:szCs w:val="24"/>
        </w:rPr>
      </w:pPr>
      <w:r>
        <w:rPr/>
        <w:pict>
          <v:shape style="position:absolute;margin-left:443.819702pt;margin-top:89.099998pt;width:94.75pt;height:47.8pt;mso-position-horizontal-relative:page;mso-position-vertical-relative:page;z-index:-1597216" type="#_x0000_t202" filled="false" stroked="false">
            <v:textbox inset="0,0,0,0">
              <w:txbxContent>
                <w:p>
                  <w:pPr>
                    <w:spacing w:line="240" w:lineRule="auto" w:before="5"/>
                    <w:rPr>
                      <w:rFonts w:ascii="宋体" w:hAnsi="宋体" w:cs="宋体" w:eastAsia="宋体"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51" w:type="dxa"/>
        <w:tblLayout w:type="fixed"/>
        <w:tblCellMar>
          <w:top w:w="0" w:type="dxa"/>
          <w:left w:w="0" w:type="dxa"/>
          <w:bottom w:w="0" w:type="dxa"/>
          <w:right w:w="0" w:type="dxa"/>
        </w:tblCellMar>
        <w:tblLook w:val="01E0"/>
      </w:tblPr>
      <w:tblGrid>
        <w:gridCol w:w="3694"/>
        <w:gridCol w:w="1122"/>
        <w:gridCol w:w="1110"/>
        <w:gridCol w:w="959"/>
        <w:gridCol w:w="958"/>
        <w:gridCol w:w="1798"/>
      </w:tblGrid>
      <w:tr>
        <w:trPr>
          <w:trHeight w:val="337" w:hRule="exact"/>
        </w:trPr>
        <w:tc>
          <w:tcPr>
            <w:tcW w:w="3694" w:type="dxa"/>
            <w:vMerge w:val="restart"/>
            <w:tcBorders>
              <w:top w:val="single" w:sz="2" w:space="0" w:color="000000"/>
              <w:left w:val="single" w:sz="2" w:space="0" w:color="000000"/>
              <w:right w:val="single" w:sz="2"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93"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5946" w:type="dxa"/>
            <w:gridSpan w:val="5"/>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关键参数（本次）</w:t>
            </w:r>
          </w:p>
        </w:tc>
      </w:tr>
      <w:tr>
        <w:trPr>
          <w:trHeight w:val="961" w:hRule="exact"/>
        </w:trPr>
        <w:tc>
          <w:tcPr>
            <w:tcW w:w="3694" w:type="dxa"/>
            <w:vMerge/>
            <w:tcBorders>
              <w:left w:val="single" w:sz="2" w:space="0" w:color="000000"/>
              <w:bottom w:val="single" w:sz="2" w:space="0" w:color="000000"/>
              <w:right w:val="single" w:sz="2" w:space="0" w:color="000000"/>
            </w:tcBorders>
            <w:shd w:val="clear" w:color="auto" w:fill="BFBFBF"/>
          </w:tcPr>
          <w:p>
            <w:pPr/>
          </w:p>
        </w:tc>
        <w:tc>
          <w:tcPr>
            <w:tcW w:w="1122"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预测期增长率</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10"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稳定期增长率</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59"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316" w:lineRule="auto" w:before="20"/>
              <w:ind w:left="27" w:right="24"/>
              <w:jc w:val="center"/>
              <w:rPr>
                <w:rFonts w:ascii="宋体" w:hAnsi="宋体" w:cs="宋体" w:eastAsia="宋体" w:hint="default"/>
                <w:sz w:val="18"/>
                <w:szCs w:val="18"/>
              </w:rPr>
            </w:pPr>
            <w:r>
              <w:rPr>
                <w:rFonts w:ascii="宋体" w:hAnsi="宋体" w:cs="宋体" w:eastAsia="宋体" w:hint="default"/>
                <w:sz w:val="18"/>
                <w:szCs w:val="18"/>
              </w:rPr>
              <w:t>平均息税前 净利润率</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58"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7"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折现率（</w:t>
            </w:r>
            <w:r>
              <w:rPr>
                <w:rFonts w:ascii="Times New Roman" w:hAnsi="Times New Roman" w:cs="Times New Roman" w:eastAsia="Times New Roman" w:hint="default"/>
                <w:spacing w:val="-5"/>
                <w:sz w:val="18"/>
                <w:szCs w:val="18"/>
              </w:rPr>
              <w:t>%</w:t>
            </w:r>
          </w:p>
        </w:tc>
        <w:tc>
          <w:tcPr>
            <w:tcW w:w="1798"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预测期（年）</w:t>
            </w:r>
          </w:p>
        </w:tc>
      </w:tr>
      <w:tr>
        <w:trPr>
          <w:trHeight w:val="337" w:hRule="exact"/>
        </w:trPr>
        <w:tc>
          <w:tcPr>
            <w:tcW w:w="3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北京迪科远望科技有限公司</w:t>
            </w:r>
          </w:p>
        </w:tc>
        <w:tc>
          <w:tcPr>
            <w:tcW w:w="1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4.59</w:t>
            </w:r>
          </w:p>
        </w:tc>
        <w:tc>
          <w:tcPr>
            <w:tcW w:w="1110" w:type="dxa"/>
            <w:tcBorders>
              <w:top w:val="single" w:sz="2" w:space="0" w:color="000000"/>
              <w:left w:val="single" w:sz="2" w:space="0" w:color="000000"/>
              <w:bottom w:val="single" w:sz="2" w:space="0" w:color="000000"/>
              <w:right w:val="single" w:sz="2" w:space="0" w:color="000000"/>
            </w:tcBorders>
          </w:tcPr>
          <w:p>
            <w:pPr/>
          </w:p>
        </w:tc>
        <w:tc>
          <w:tcPr>
            <w:tcW w:w="9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25.33</w:t>
            </w:r>
          </w:p>
        </w:tc>
        <w:tc>
          <w:tcPr>
            <w:tcW w:w="9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12.84</w:t>
            </w:r>
          </w:p>
        </w:tc>
        <w:tc>
          <w:tcPr>
            <w:tcW w:w="1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t>5</w:t>
            </w:r>
          </w:p>
        </w:tc>
      </w:tr>
      <w:tr>
        <w:trPr>
          <w:trHeight w:val="337" w:hRule="exact"/>
        </w:trPr>
        <w:tc>
          <w:tcPr>
            <w:tcW w:w="3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7" w:right="0"/>
              <w:jc w:val="left"/>
              <w:rPr>
                <w:rFonts w:ascii="宋体" w:hAnsi="宋体" w:cs="宋体" w:eastAsia="宋体" w:hint="default"/>
                <w:sz w:val="18"/>
                <w:szCs w:val="18"/>
              </w:rPr>
            </w:pPr>
            <w:r>
              <w:rPr>
                <w:rFonts w:ascii="宋体" w:hAnsi="宋体" w:cs="宋体" w:eastAsia="宋体" w:hint="default"/>
                <w:sz w:val="18"/>
                <w:szCs w:val="18"/>
              </w:rPr>
              <w:t>上海树维信息科技有限公司</w:t>
            </w:r>
          </w:p>
        </w:tc>
        <w:tc>
          <w:tcPr>
            <w:tcW w:w="1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8.05</w:t>
            </w:r>
          </w:p>
        </w:tc>
        <w:tc>
          <w:tcPr>
            <w:tcW w:w="1110" w:type="dxa"/>
            <w:tcBorders>
              <w:top w:val="single" w:sz="2" w:space="0" w:color="000000"/>
              <w:left w:val="single" w:sz="2" w:space="0" w:color="000000"/>
              <w:bottom w:val="single" w:sz="2" w:space="0" w:color="000000"/>
              <w:right w:val="single" w:sz="2" w:space="0" w:color="000000"/>
            </w:tcBorders>
          </w:tcPr>
          <w:p>
            <w:pPr/>
          </w:p>
        </w:tc>
        <w:tc>
          <w:tcPr>
            <w:tcW w:w="9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20.20</w:t>
            </w:r>
          </w:p>
        </w:tc>
        <w:tc>
          <w:tcPr>
            <w:tcW w:w="9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12.30</w:t>
            </w:r>
          </w:p>
        </w:tc>
        <w:tc>
          <w:tcPr>
            <w:tcW w:w="1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5</w:t>
            </w:r>
          </w:p>
        </w:tc>
      </w:tr>
      <w:tr>
        <w:trPr>
          <w:trHeight w:val="337" w:hRule="exact"/>
        </w:trPr>
        <w:tc>
          <w:tcPr>
            <w:tcW w:w="3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7" w:right="0"/>
              <w:jc w:val="left"/>
              <w:rPr>
                <w:rFonts w:ascii="宋体" w:hAnsi="宋体" w:cs="宋体" w:eastAsia="宋体" w:hint="default"/>
                <w:sz w:val="18"/>
                <w:szCs w:val="18"/>
              </w:rPr>
            </w:pPr>
            <w:r>
              <w:rPr>
                <w:rFonts w:ascii="宋体" w:hAnsi="宋体" w:cs="宋体" w:eastAsia="宋体" w:hint="default"/>
                <w:sz w:val="18"/>
                <w:szCs w:val="18"/>
              </w:rPr>
              <w:t>北京希嘉创智教育科技有限公司</w:t>
            </w:r>
          </w:p>
        </w:tc>
        <w:tc>
          <w:tcPr>
            <w:tcW w:w="1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5.87</w:t>
            </w:r>
          </w:p>
        </w:tc>
        <w:tc>
          <w:tcPr>
            <w:tcW w:w="1110" w:type="dxa"/>
            <w:tcBorders>
              <w:top w:val="single" w:sz="2" w:space="0" w:color="000000"/>
              <w:left w:val="single" w:sz="2" w:space="0" w:color="000000"/>
              <w:bottom w:val="single" w:sz="2" w:space="0" w:color="000000"/>
              <w:right w:val="single" w:sz="2" w:space="0" w:color="000000"/>
            </w:tcBorders>
          </w:tcPr>
          <w:p>
            <w:pPr/>
          </w:p>
        </w:tc>
        <w:tc>
          <w:tcPr>
            <w:tcW w:w="9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18.90</w:t>
            </w:r>
          </w:p>
        </w:tc>
        <w:tc>
          <w:tcPr>
            <w:tcW w:w="9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12.84</w:t>
            </w:r>
          </w:p>
        </w:tc>
        <w:tc>
          <w:tcPr>
            <w:tcW w:w="1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5</w:t>
            </w:r>
          </w:p>
        </w:tc>
      </w:tr>
      <w:tr>
        <w:trPr>
          <w:trHeight w:val="337" w:hRule="exact"/>
        </w:trPr>
        <w:tc>
          <w:tcPr>
            <w:tcW w:w="3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7" w:right="0"/>
              <w:jc w:val="left"/>
              <w:rPr>
                <w:rFonts w:ascii="宋体" w:hAnsi="宋体" w:cs="宋体" w:eastAsia="宋体" w:hint="default"/>
                <w:sz w:val="18"/>
                <w:szCs w:val="18"/>
              </w:rPr>
            </w:pPr>
            <w:r>
              <w:rPr>
                <w:rFonts w:ascii="宋体" w:hAnsi="宋体" w:cs="宋体" w:eastAsia="宋体" w:hint="default"/>
                <w:sz w:val="18"/>
                <w:szCs w:val="18"/>
              </w:rPr>
              <w:t>北京华驰联创科技有限公司</w:t>
            </w:r>
          </w:p>
        </w:tc>
        <w:tc>
          <w:tcPr>
            <w:tcW w:w="1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29.18</w:t>
            </w:r>
          </w:p>
        </w:tc>
        <w:tc>
          <w:tcPr>
            <w:tcW w:w="1110" w:type="dxa"/>
            <w:tcBorders>
              <w:top w:val="single" w:sz="2" w:space="0" w:color="000000"/>
              <w:left w:val="single" w:sz="2" w:space="0" w:color="000000"/>
              <w:bottom w:val="single" w:sz="2" w:space="0" w:color="000000"/>
              <w:right w:val="single" w:sz="2" w:space="0" w:color="000000"/>
            </w:tcBorders>
          </w:tcPr>
          <w:p>
            <w:pPr/>
          </w:p>
        </w:tc>
        <w:tc>
          <w:tcPr>
            <w:tcW w:w="9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22.75</w:t>
            </w:r>
          </w:p>
        </w:tc>
        <w:tc>
          <w:tcPr>
            <w:tcW w:w="9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12.84</w:t>
            </w:r>
          </w:p>
        </w:tc>
        <w:tc>
          <w:tcPr>
            <w:tcW w:w="1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5</w:t>
            </w:r>
          </w:p>
        </w:tc>
      </w:tr>
    </w:tbl>
    <w:p>
      <w:pPr>
        <w:spacing w:line="240" w:lineRule="auto" w:before="11"/>
        <w:rPr>
          <w:rFonts w:ascii="宋体" w:hAnsi="宋体" w:cs="宋体" w:eastAsia="宋体" w:hint="default"/>
          <w:sz w:val="23"/>
          <w:szCs w:val="23"/>
        </w:rPr>
      </w:pPr>
    </w:p>
    <w:tbl>
      <w:tblPr>
        <w:tblW w:w="0" w:type="auto"/>
        <w:jc w:val="left"/>
        <w:tblInd w:w="151" w:type="dxa"/>
        <w:tblLayout w:type="fixed"/>
        <w:tblCellMar>
          <w:top w:w="0" w:type="dxa"/>
          <w:left w:w="0" w:type="dxa"/>
          <w:bottom w:w="0" w:type="dxa"/>
          <w:right w:w="0" w:type="dxa"/>
        </w:tblCellMar>
        <w:tblLook w:val="01E0"/>
      </w:tblPr>
      <w:tblGrid>
        <w:gridCol w:w="3694"/>
        <w:gridCol w:w="1122"/>
        <w:gridCol w:w="1110"/>
        <w:gridCol w:w="959"/>
        <w:gridCol w:w="958"/>
        <w:gridCol w:w="1798"/>
      </w:tblGrid>
      <w:tr>
        <w:trPr>
          <w:trHeight w:val="337" w:hRule="exact"/>
        </w:trPr>
        <w:tc>
          <w:tcPr>
            <w:tcW w:w="3694" w:type="dxa"/>
            <w:vMerge w:val="restart"/>
            <w:tcBorders>
              <w:top w:val="single" w:sz="2" w:space="0" w:color="000000"/>
              <w:left w:val="single" w:sz="2" w:space="0" w:color="000000"/>
              <w:right w:val="single" w:sz="2"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93"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5946" w:type="dxa"/>
            <w:gridSpan w:val="5"/>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关键参数（前次）</w:t>
            </w:r>
          </w:p>
        </w:tc>
      </w:tr>
      <w:tr>
        <w:trPr>
          <w:trHeight w:val="961" w:hRule="exact"/>
        </w:trPr>
        <w:tc>
          <w:tcPr>
            <w:tcW w:w="3694" w:type="dxa"/>
            <w:vMerge/>
            <w:tcBorders>
              <w:left w:val="single" w:sz="2" w:space="0" w:color="000000"/>
              <w:bottom w:val="single" w:sz="2" w:space="0" w:color="000000"/>
              <w:right w:val="single" w:sz="2" w:space="0" w:color="000000"/>
            </w:tcBorders>
            <w:shd w:val="clear" w:color="auto" w:fill="BFBFBF"/>
          </w:tcPr>
          <w:p>
            <w:pPr/>
          </w:p>
        </w:tc>
        <w:tc>
          <w:tcPr>
            <w:tcW w:w="1122"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预测期增长率</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10"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稳定期增长率</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59"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316" w:lineRule="auto" w:before="21"/>
              <w:ind w:left="27" w:right="24"/>
              <w:jc w:val="center"/>
              <w:rPr>
                <w:rFonts w:ascii="宋体" w:hAnsi="宋体" w:cs="宋体" w:eastAsia="宋体" w:hint="default"/>
                <w:sz w:val="18"/>
                <w:szCs w:val="18"/>
              </w:rPr>
            </w:pPr>
            <w:r>
              <w:rPr>
                <w:rFonts w:ascii="宋体" w:hAnsi="宋体" w:cs="宋体" w:eastAsia="宋体" w:hint="default"/>
                <w:sz w:val="18"/>
                <w:szCs w:val="18"/>
              </w:rPr>
              <w:t>平均息税前 净利润率</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58"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7"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折现率（</w:t>
            </w:r>
            <w:r>
              <w:rPr>
                <w:rFonts w:ascii="Times New Roman" w:hAnsi="Times New Roman" w:cs="Times New Roman" w:eastAsia="Times New Roman" w:hint="default"/>
                <w:spacing w:val="-5"/>
                <w:sz w:val="18"/>
                <w:szCs w:val="18"/>
              </w:rPr>
              <w:t>%</w:t>
            </w:r>
          </w:p>
        </w:tc>
        <w:tc>
          <w:tcPr>
            <w:tcW w:w="1798"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预测期（年）</w:t>
            </w:r>
          </w:p>
        </w:tc>
      </w:tr>
      <w:tr>
        <w:trPr>
          <w:trHeight w:val="338" w:hRule="exact"/>
        </w:trPr>
        <w:tc>
          <w:tcPr>
            <w:tcW w:w="3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北京迪科远望科技有限公司</w:t>
            </w:r>
          </w:p>
        </w:tc>
        <w:tc>
          <w:tcPr>
            <w:tcW w:w="1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5.48</w:t>
            </w:r>
          </w:p>
        </w:tc>
        <w:tc>
          <w:tcPr>
            <w:tcW w:w="11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0</w:t>
            </w:r>
          </w:p>
        </w:tc>
        <w:tc>
          <w:tcPr>
            <w:tcW w:w="9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29.85</w:t>
            </w:r>
          </w:p>
        </w:tc>
        <w:tc>
          <w:tcPr>
            <w:tcW w:w="9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12.84</w:t>
            </w:r>
          </w:p>
        </w:tc>
        <w:tc>
          <w:tcPr>
            <w:tcW w:w="1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t>5</w:t>
            </w:r>
          </w:p>
        </w:tc>
      </w:tr>
      <w:tr>
        <w:trPr>
          <w:trHeight w:val="337" w:hRule="exact"/>
        </w:trPr>
        <w:tc>
          <w:tcPr>
            <w:tcW w:w="3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上海树维信息科技有限公司</w:t>
            </w:r>
          </w:p>
        </w:tc>
        <w:tc>
          <w:tcPr>
            <w:tcW w:w="1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t>7.53</w:t>
            </w:r>
          </w:p>
        </w:tc>
        <w:tc>
          <w:tcPr>
            <w:tcW w:w="11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0</w:t>
            </w:r>
          </w:p>
        </w:tc>
        <w:tc>
          <w:tcPr>
            <w:tcW w:w="9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22.65</w:t>
            </w:r>
          </w:p>
        </w:tc>
        <w:tc>
          <w:tcPr>
            <w:tcW w:w="9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12.30</w:t>
            </w:r>
          </w:p>
        </w:tc>
        <w:tc>
          <w:tcPr>
            <w:tcW w:w="1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t>5</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pict>
          <v:shape style="position:absolute;margin-left:443.819702pt;margin-top:-94.286026pt;width:94.75pt;height:47.7pt;mso-position-horizontal-relative:page;mso-position-vertical-relative:paragraph;z-index:-1597192" type="#_x0000_t202" filled="false" stroked="false">
            <v:textbox inset="0,0,0,0">
              <w:txbxContent>
                <w:p>
                  <w:pPr>
                    <w:spacing w:line="240" w:lineRule="auto" w:before="4"/>
                    <w:rPr>
                      <w:rFonts w:ascii="宋体" w:hAnsi="宋体" w:cs="宋体" w:eastAsia="宋体"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Times New Roman" w:hAnsi="Times New Roman" w:cs="Times New Roman" w:eastAsia="Times New Roman" w:hint="default"/>
        </w:rPr>
        <w:t>19</w:t>
      </w:r>
      <w:r>
        <w:rPr/>
        <w:t>、长期待摊费用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51"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397" w:hRule="exact"/>
        </w:trPr>
        <w:tc>
          <w:tcPr>
            <w:tcW w:w="159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7" w:hRule="exact"/>
        </w:trPr>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租入房屋改良支出</w:t>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970,519.53</w:t>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1,418,390.54</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697,227.85</w:t>
            </w:r>
          </w:p>
        </w:tc>
        <w:tc>
          <w:tcPr>
            <w:tcW w:w="159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1,691,682.22</w:t>
            </w:r>
          </w:p>
        </w:tc>
      </w:tr>
      <w:tr>
        <w:trPr>
          <w:trHeight w:val="397" w:hRule="exact"/>
        </w:trPr>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车辆租赁服务支出</w:t>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350,000.00</w:t>
            </w:r>
          </w:p>
        </w:tc>
        <w:tc>
          <w:tcPr>
            <w:tcW w:w="1595"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60,000.00</w:t>
            </w:r>
          </w:p>
        </w:tc>
        <w:tc>
          <w:tcPr>
            <w:tcW w:w="159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290,000.00</w:t>
            </w:r>
          </w:p>
        </w:tc>
      </w:tr>
      <w:tr>
        <w:trPr>
          <w:trHeight w:val="708" w:hRule="exact"/>
        </w:trPr>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25" w:right="121"/>
              <w:jc w:val="left"/>
              <w:rPr>
                <w:rFonts w:ascii="宋体" w:hAnsi="宋体" w:cs="宋体" w:eastAsia="宋体" w:hint="default"/>
                <w:sz w:val="18"/>
                <w:szCs w:val="18"/>
              </w:rPr>
            </w:pPr>
            <w:r>
              <w:rPr>
                <w:rFonts w:ascii="宋体" w:hAnsi="宋体" w:cs="宋体" w:eastAsia="宋体" w:hint="default"/>
                <w:sz w:val="18"/>
                <w:szCs w:val="18"/>
              </w:rPr>
              <w:t>法定披露及网站域 名邮箱等服务</w:t>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544,809.90</w:t>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788,147.97</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730,932.82</w:t>
            </w:r>
          </w:p>
        </w:tc>
        <w:tc>
          <w:tcPr>
            <w:tcW w:w="159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602,025.05</w:t>
            </w:r>
          </w:p>
        </w:tc>
      </w:tr>
      <w:tr>
        <w:trPr>
          <w:trHeight w:val="397" w:hRule="exact"/>
        </w:trPr>
        <w:tc>
          <w:tcPr>
            <w:tcW w:w="159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1,865,329.43</w:t>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2,206,538.51</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1,488,160.67</w:t>
            </w:r>
          </w:p>
        </w:tc>
        <w:tc>
          <w:tcPr>
            <w:tcW w:w="159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2,583,707.27</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20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51"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97" w:hRule="exact"/>
        </w:trPr>
        <w:tc>
          <w:tcPr>
            <w:tcW w:w="1912" w:type="dxa"/>
            <w:vMerge w:val="restart"/>
            <w:tcBorders>
              <w:top w:val="single" w:sz="2" w:space="0" w:color="000000"/>
              <w:left w:val="single" w:sz="2" w:space="0" w:color="000000"/>
              <w:right w:val="single" w:sz="2"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7" w:hRule="exact"/>
        </w:trPr>
        <w:tc>
          <w:tcPr>
            <w:tcW w:w="1912" w:type="dxa"/>
            <w:vMerge/>
            <w:tcBorders>
              <w:left w:val="single" w:sz="2" w:space="0" w:color="000000"/>
              <w:bottom w:val="single" w:sz="2" w:space="0" w:color="000000"/>
              <w:right w:val="single" w:sz="2" w:space="0" w:color="000000"/>
            </w:tcBorders>
            <w:shd w:val="clear" w:color="auto" w:fill="D3D3D3"/>
          </w:tcPr>
          <w:p>
            <w:pPr/>
          </w:p>
        </w:tc>
        <w:tc>
          <w:tcPr>
            <w:tcW w:w="1916"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3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3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396" w:hRule="exact"/>
        </w:trPr>
        <w:tc>
          <w:tcPr>
            <w:tcW w:w="191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107,302,229.76</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15,913,984.57</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87,562,030.65</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13,134,328.60</w:t>
            </w:r>
          </w:p>
        </w:tc>
      </w:tr>
      <w:tr>
        <w:trPr>
          <w:trHeight w:val="397" w:hRule="exact"/>
        </w:trPr>
        <w:tc>
          <w:tcPr>
            <w:tcW w:w="191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10,768,526.41</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1,615,278.96</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11,945,170.13</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1,791,775.52</w:t>
            </w:r>
          </w:p>
        </w:tc>
      </w:tr>
      <w:tr>
        <w:trPr>
          <w:trHeight w:val="397" w:hRule="exact"/>
        </w:trPr>
        <w:tc>
          <w:tcPr>
            <w:tcW w:w="1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12,820,416.66</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1,923,062.50</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17,452,833.33</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2,617,925.00</w:t>
            </w:r>
          </w:p>
        </w:tc>
      </w:tr>
      <w:tr>
        <w:trPr>
          <w:trHeight w:val="397" w:hRule="exact"/>
        </w:trPr>
        <w:tc>
          <w:tcPr>
            <w:tcW w:w="1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7,945,074.22</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1,191,761.13</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5,170,953.62</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775,643.04</w:t>
            </w:r>
          </w:p>
        </w:tc>
      </w:tr>
      <w:tr>
        <w:trPr>
          <w:trHeight w:val="355" w:hRule="exact"/>
        </w:trPr>
        <w:tc>
          <w:tcPr>
            <w:tcW w:w="1912"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计入其他综合收益的其</w:t>
            </w:r>
          </w:p>
        </w:tc>
        <w:tc>
          <w:tcPr>
            <w:tcW w:w="1916" w:type="dxa"/>
            <w:tcBorders>
              <w:top w:val="single" w:sz="2" w:space="0" w:color="000000"/>
              <w:left w:val="single" w:sz="2" w:space="0" w:color="000000"/>
              <w:bottom w:val="nil" w:sz="6" w:space="0" w:color="auto"/>
              <w:right w:val="single" w:sz="2" w:space="0" w:color="000000"/>
            </w:tcBorders>
          </w:tcPr>
          <w:p>
            <w:pPr/>
          </w:p>
        </w:tc>
        <w:tc>
          <w:tcPr>
            <w:tcW w:w="1914" w:type="dxa"/>
            <w:tcBorders>
              <w:top w:val="single" w:sz="2" w:space="0" w:color="000000"/>
              <w:left w:val="single" w:sz="2" w:space="0" w:color="000000"/>
              <w:bottom w:val="nil" w:sz="6" w:space="0" w:color="auto"/>
              <w:right w:val="single" w:sz="2" w:space="0" w:color="000000"/>
            </w:tcBorders>
          </w:tcPr>
          <w:p>
            <w:pPr/>
          </w:p>
        </w:tc>
        <w:tc>
          <w:tcPr>
            <w:tcW w:w="1914" w:type="dxa"/>
            <w:vMerge w:val="restart"/>
            <w:tcBorders>
              <w:top w:val="single" w:sz="2" w:space="0" w:color="000000"/>
              <w:left w:val="single" w:sz="2" w:space="0" w:color="000000"/>
              <w:right w:val="single" w:sz="2" w:space="0" w:color="000000"/>
            </w:tcBorders>
          </w:tcPr>
          <w:p>
            <w:pPr/>
          </w:p>
        </w:tc>
        <w:tc>
          <w:tcPr>
            <w:tcW w:w="1914" w:type="dxa"/>
            <w:vMerge w:val="restart"/>
            <w:tcBorders>
              <w:top w:val="single" w:sz="2" w:space="0" w:color="000000"/>
              <w:left w:val="single" w:sz="2" w:space="0" w:color="000000"/>
              <w:right w:val="single" w:sz="2" w:space="0" w:color="000000"/>
            </w:tcBorders>
          </w:tcPr>
          <w:p>
            <w:pPr/>
          </w:p>
        </w:tc>
      </w:tr>
      <w:tr>
        <w:trPr>
          <w:trHeight w:val="316" w:hRule="exact"/>
        </w:trPr>
        <w:tc>
          <w:tcPr>
            <w:tcW w:w="1912"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他权益工具公允价值变</w:t>
            </w:r>
          </w:p>
        </w:tc>
        <w:tc>
          <w:tcPr>
            <w:tcW w:w="1916" w:type="dxa"/>
            <w:tcBorders>
              <w:top w:val="nil" w:sz="6" w:space="0" w:color="auto"/>
              <w:left w:val="single" w:sz="2" w:space="0" w:color="000000"/>
              <w:bottom w:val="nil" w:sz="6" w:space="0" w:color="auto"/>
              <w:right w:val="single" w:sz="2"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2,768,953.07</w:t>
            </w:r>
          </w:p>
        </w:tc>
        <w:tc>
          <w:tcPr>
            <w:tcW w:w="1914" w:type="dxa"/>
            <w:tcBorders>
              <w:top w:val="nil" w:sz="6" w:space="0" w:color="auto"/>
              <w:left w:val="single" w:sz="2" w:space="0" w:color="000000"/>
              <w:bottom w:val="nil" w:sz="6" w:space="0" w:color="auto"/>
              <w:right w:val="single" w:sz="2"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415,342.96</w:t>
            </w:r>
          </w:p>
        </w:tc>
        <w:tc>
          <w:tcPr>
            <w:tcW w:w="1914" w:type="dxa"/>
            <w:vMerge/>
            <w:tcBorders>
              <w:left w:val="single" w:sz="2" w:space="0" w:color="000000"/>
              <w:right w:val="single" w:sz="2" w:space="0" w:color="000000"/>
            </w:tcBorders>
          </w:tcPr>
          <w:p>
            <w:pPr/>
          </w:p>
        </w:tc>
        <w:tc>
          <w:tcPr>
            <w:tcW w:w="1914" w:type="dxa"/>
            <w:vMerge/>
            <w:tcBorders>
              <w:left w:val="single" w:sz="2" w:space="0" w:color="000000"/>
              <w:right w:val="single" w:sz="2" w:space="0" w:color="000000"/>
            </w:tcBorders>
          </w:tcPr>
          <w:p>
            <w:pPr/>
          </w:p>
        </w:tc>
      </w:tr>
      <w:tr>
        <w:trPr>
          <w:trHeight w:val="350" w:hRule="exact"/>
        </w:trPr>
        <w:tc>
          <w:tcPr>
            <w:tcW w:w="1912"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6"/>
              <w:ind w:left="25" w:right="0"/>
              <w:jc w:val="left"/>
              <w:rPr>
                <w:rFonts w:ascii="宋体" w:hAnsi="宋体" w:cs="宋体" w:eastAsia="宋体" w:hint="default"/>
                <w:sz w:val="18"/>
                <w:szCs w:val="18"/>
              </w:rPr>
            </w:pPr>
            <w:r>
              <w:rPr>
                <w:rFonts w:ascii="宋体" w:hAnsi="宋体" w:cs="宋体" w:eastAsia="宋体" w:hint="default"/>
                <w:sz w:val="18"/>
                <w:szCs w:val="18"/>
              </w:rPr>
              <w:t>动</w:t>
            </w:r>
          </w:p>
        </w:tc>
        <w:tc>
          <w:tcPr>
            <w:tcW w:w="1916" w:type="dxa"/>
            <w:tcBorders>
              <w:top w:val="nil" w:sz="6" w:space="0" w:color="auto"/>
              <w:left w:val="single" w:sz="2" w:space="0" w:color="000000"/>
              <w:bottom w:val="single" w:sz="2" w:space="0" w:color="000000"/>
              <w:right w:val="single" w:sz="2" w:space="0" w:color="000000"/>
            </w:tcBorders>
          </w:tcPr>
          <w:p>
            <w:pPr/>
          </w:p>
        </w:tc>
        <w:tc>
          <w:tcPr>
            <w:tcW w:w="1914" w:type="dxa"/>
            <w:tcBorders>
              <w:top w:val="nil" w:sz="6" w:space="0" w:color="auto"/>
              <w:left w:val="single" w:sz="2" w:space="0" w:color="000000"/>
              <w:bottom w:val="single" w:sz="2" w:space="0" w:color="000000"/>
              <w:right w:val="single" w:sz="2" w:space="0" w:color="000000"/>
            </w:tcBorders>
          </w:tcPr>
          <w:p>
            <w:pPr/>
          </w:p>
        </w:tc>
        <w:tc>
          <w:tcPr>
            <w:tcW w:w="1914" w:type="dxa"/>
            <w:vMerge/>
            <w:tcBorders>
              <w:left w:val="single" w:sz="2" w:space="0" w:color="000000"/>
              <w:bottom w:val="single" w:sz="2" w:space="0" w:color="000000"/>
              <w:right w:val="single" w:sz="2" w:space="0" w:color="000000"/>
            </w:tcBorders>
          </w:tcPr>
          <w:p>
            <w:pPr/>
          </w:p>
        </w:tc>
        <w:tc>
          <w:tcPr>
            <w:tcW w:w="1914" w:type="dxa"/>
            <w:vMerge/>
            <w:tcBorders>
              <w:left w:val="single" w:sz="2" w:space="0" w:color="000000"/>
              <w:bottom w:val="single" w:sz="2" w:space="0" w:color="000000"/>
              <w:right w:val="single" w:sz="2" w:space="0" w:color="000000"/>
            </w:tcBorders>
          </w:tcPr>
          <w:p>
            <w:pPr/>
          </w:p>
        </w:tc>
      </w:tr>
    </w:tbl>
    <w:p>
      <w:pPr>
        <w:spacing w:after="0"/>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51"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97" w:hRule="exact"/>
        </w:trPr>
        <w:tc>
          <w:tcPr>
            <w:tcW w:w="191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left="762" w:right="0"/>
              <w:jc w:val="left"/>
              <w:rPr>
                <w:rFonts w:ascii="Times New Roman" w:hAnsi="Times New Roman" w:cs="Times New Roman" w:eastAsia="Times New Roman" w:hint="default"/>
                <w:sz w:val="18"/>
                <w:szCs w:val="18"/>
              </w:rPr>
            </w:pPr>
            <w:r>
              <w:rPr>
                <w:rFonts w:ascii="Times New Roman"/>
                <w:sz w:val="18"/>
              </w:rPr>
              <w:t>141,605,200.12</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left="848" w:right="0"/>
              <w:jc w:val="left"/>
              <w:rPr>
                <w:rFonts w:ascii="Times New Roman" w:hAnsi="Times New Roman" w:cs="Times New Roman" w:eastAsia="Times New Roman" w:hint="default"/>
                <w:sz w:val="18"/>
                <w:szCs w:val="18"/>
              </w:rPr>
            </w:pPr>
            <w:r>
              <w:rPr>
                <w:rFonts w:ascii="Times New Roman"/>
                <w:sz w:val="18"/>
              </w:rPr>
              <w:t>21,059,430.12</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122,130,987.73</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left="848" w:right="0"/>
              <w:jc w:val="left"/>
              <w:rPr>
                <w:rFonts w:ascii="Times New Roman" w:hAnsi="Times New Roman" w:cs="Times New Roman" w:eastAsia="Times New Roman" w:hint="default"/>
                <w:sz w:val="18"/>
                <w:szCs w:val="18"/>
              </w:rPr>
            </w:pPr>
            <w:r>
              <w:rPr>
                <w:rFonts w:ascii="Times New Roman"/>
                <w:sz w:val="18"/>
              </w:rPr>
              <w:t>18,319,672.16</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09" w:hRule="exact"/>
        </w:trPr>
        <w:tc>
          <w:tcPr>
            <w:tcW w:w="191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2"/>
              <w:ind w:left="416" w:right="53"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2"/>
              <w:ind w:left="324" w:right="53"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2"/>
              <w:ind w:left="414" w:right="53"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2"/>
              <w:ind w:left="324" w:right="53"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7" w:hRule="exact"/>
        </w:trPr>
        <w:tc>
          <w:tcPr>
            <w:tcW w:w="191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2" w:space="0" w:color="000000"/>
              <w:left w:val="single" w:sz="2" w:space="0" w:color="000000"/>
              <w:bottom w:val="single" w:sz="2" w:space="0" w:color="000000"/>
              <w:right w:val="single" w:sz="2" w:space="0" w:color="000000"/>
            </w:tcBorders>
          </w:tcPr>
          <w:p>
            <w:pP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left="848" w:right="0"/>
              <w:jc w:val="left"/>
              <w:rPr>
                <w:rFonts w:ascii="Times New Roman" w:hAnsi="Times New Roman" w:cs="Times New Roman" w:eastAsia="Times New Roman" w:hint="default"/>
                <w:sz w:val="18"/>
                <w:szCs w:val="18"/>
              </w:rPr>
            </w:pPr>
            <w:r>
              <w:rPr>
                <w:rFonts w:ascii="Times New Roman"/>
                <w:sz w:val="18"/>
              </w:rPr>
              <w:t>21,059,430.12</w:t>
            </w:r>
          </w:p>
        </w:tc>
        <w:tc>
          <w:tcPr>
            <w:tcW w:w="1914" w:type="dxa"/>
            <w:tcBorders>
              <w:top w:val="single" w:sz="2" w:space="0" w:color="000000"/>
              <w:left w:val="single" w:sz="2" w:space="0" w:color="000000"/>
              <w:bottom w:val="single" w:sz="2" w:space="0" w:color="000000"/>
              <w:right w:val="single" w:sz="2" w:space="0" w:color="000000"/>
            </w:tcBorders>
          </w:tcPr>
          <w:p>
            <w:pP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left="848" w:right="0"/>
              <w:jc w:val="left"/>
              <w:rPr>
                <w:rFonts w:ascii="Times New Roman" w:hAnsi="Times New Roman" w:cs="Times New Roman" w:eastAsia="Times New Roman" w:hint="default"/>
                <w:sz w:val="18"/>
                <w:szCs w:val="18"/>
              </w:rPr>
            </w:pPr>
            <w:r>
              <w:rPr>
                <w:rFonts w:ascii="Times New Roman"/>
                <w:sz w:val="18"/>
              </w:rPr>
              <w:t>18,102,924.65</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13"/>
        <w:jc w:val="left"/>
        <w:rPr>
          <w:b w:val="0"/>
          <w:bCs w:val="0"/>
        </w:rPr>
      </w:pPr>
      <w:r>
        <w:rPr>
          <w:rFonts w:ascii="Times New Roman" w:hAnsi="Times New Roman" w:cs="Times New Roman" w:eastAsia="Times New Roman" w:hint="default"/>
        </w:rPr>
        <w:t>21</w:t>
      </w:r>
      <w:r>
        <w:rPr/>
        <w:t>、其他非流动资产</w:t>
      </w:r>
      <w:r>
        <w:rPr>
          <w:b w:val="0"/>
          <w:bCs w:val="0"/>
        </w:rPr>
      </w:r>
    </w:p>
    <w:p>
      <w:pPr>
        <w:spacing w:line="240" w:lineRule="auto" w:before="8"/>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240" w:lineRule="auto" w:before="10"/>
        <w:rPr>
          <w:rFonts w:ascii="宋体" w:hAnsi="宋体" w:cs="宋体" w:eastAsia="宋体" w:hint="default"/>
          <w:sz w:val="20"/>
          <w:szCs w:val="20"/>
        </w:rPr>
      </w:pPr>
    </w:p>
    <w:p>
      <w:pPr>
        <w:spacing w:before="0"/>
        <w:ind w:left="153"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5"/>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3187"/>
        <w:gridCol w:w="3193"/>
        <w:gridCol w:w="3188"/>
      </w:tblGrid>
      <w:tr>
        <w:trPr>
          <w:trHeight w:val="396"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郑州大数据产业园房产</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24,384,000.00</w:t>
            </w:r>
          </w:p>
        </w:tc>
        <w:tc>
          <w:tcPr>
            <w:tcW w:w="3188" w:type="dxa"/>
            <w:tcBorders>
              <w:top w:val="single" w:sz="2" w:space="0" w:color="000000"/>
              <w:left w:val="single" w:sz="2" w:space="0" w:color="000000"/>
              <w:bottom w:val="single" w:sz="2" w:space="0" w:color="000000"/>
              <w:right w:val="single" w:sz="2" w:space="0" w:color="000000"/>
            </w:tcBorders>
          </w:tcPr>
          <w:p>
            <w:pP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24,384,000.00</w:t>
            </w:r>
          </w:p>
        </w:tc>
        <w:tc>
          <w:tcPr>
            <w:tcW w:w="3188" w:type="dxa"/>
            <w:tcBorders>
              <w:top w:val="single" w:sz="2" w:space="0" w:color="000000"/>
              <w:left w:val="single" w:sz="2" w:space="0" w:color="000000"/>
              <w:bottom w:val="single" w:sz="2" w:space="0" w:color="000000"/>
              <w:right w:val="single" w:sz="2" w:space="0" w:color="000000"/>
            </w:tcBorders>
          </w:tcPr>
          <w:p>
            <w:pP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0"/>
          <w:szCs w:val="20"/>
        </w:rPr>
      </w:pPr>
    </w:p>
    <w:p>
      <w:pPr>
        <w:spacing w:line="451" w:lineRule="auto" w:before="0"/>
        <w:ind w:left="154" w:right="1113" w:firstLine="0"/>
        <w:jc w:val="left"/>
        <w:rPr>
          <w:rFonts w:ascii="宋体" w:hAnsi="宋体" w:cs="宋体" w:eastAsia="宋体" w:hint="default"/>
          <w:sz w:val="18"/>
          <w:szCs w:val="18"/>
        </w:rPr>
      </w:pPr>
      <w:r>
        <w:rPr>
          <w:rFonts w:ascii="宋体" w:hAnsi="宋体" w:cs="宋体" w:eastAsia="宋体" w:hint="default"/>
          <w:spacing w:val="-2"/>
          <w:sz w:val="18"/>
          <w:szCs w:val="18"/>
        </w:rPr>
        <w:t>郑州大数据产业园房产为华夏海纳法人李明对公司的投资赔偿（详见附注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衍生金融资产</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），该房产为预售房，尚未达到预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定可使用状态。</w:t>
      </w:r>
    </w:p>
    <w:p>
      <w:pPr>
        <w:spacing w:line="240" w:lineRule="auto" w:before="8"/>
        <w:rPr>
          <w:rFonts w:ascii="宋体" w:hAnsi="宋体" w:cs="宋体" w:eastAsia="宋体" w:hint="default"/>
          <w:sz w:val="20"/>
          <w:szCs w:val="20"/>
        </w:rPr>
      </w:pPr>
    </w:p>
    <w:p>
      <w:pPr>
        <w:pStyle w:val="Heading3"/>
        <w:spacing w:line="240" w:lineRule="auto"/>
        <w:ind w:right="1113"/>
        <w:jc w:val="left"/>
        <w:rPr>
          <w:b w:val="0"/>
          <w:bCs w:val="0"/>
        </w:rPr>
      </w:pPr>
      <w:r>
        <w:rPr>
          <w:rFonts w:ascii="Times New Roman" w:hAnsi="Times New Roman" w:cs="Times New Roman" w:eastAsia="Times New Roman" w:hint="default"/>
        </w:rPr>
        <w:t>22</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11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3187"/>
        <w:gridCol w:w="3193"/>
        <w:gridCol w:w="3188"/>
      </w:tblGrid>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10,000,000.00</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88,000,000.00</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50,000,000.00</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60,000,000.00</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178,000,000.00</w:t>
            </w:r>
          </w:p>
        </w:tc>
      </w:tr>
    </w:tbl>
    <w:p>
      <w:pPr>
        <w:spacing w:before="51"/>
        <w:ind w:left="154" w:right="1113"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0"/>
        <w:rPr>
          <w:rFonts w:ascii="宋体" w:hAnsi="宋体" w:cs="宋体" w:eastAsia="宋体" w:hint="default"/>
          <w:sz w:val="12"/>
          <w:szCs w:val="12"/>
        </w:rPr>
      </w:pPr>
    </w:p>
    <w:p>
      <w:pPr>
        <w:pStyle w:val="BodyText"/>
        <w:spacing w:line="240" w:lineRule="auto" w:before="0"/>
        <w:ind w:left="574" w:right="993"/>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日，公司与交通银行股份有限公司河南省分行签订了编码为</w:t>
      </w:r>
      <w:r>
        <w:rPr>
          <w:rFonts w:ascii="Times New Roman" w:hAnsi="Times New Roman" w:cs="Times New Roman" w:eastAsia="Times New Roman" w:hint="default"/>
        </w:rPr>
        <w:t>“Z1905LN15637372”</w:t>
      </w:r>
      <w:r>
        <w:rPr/>
        <w:t>的流</w:t>
      </w:r>
    </w:p>
    <w:p>
      <w:pPr>
        <w:spacing w:after="0" w:line="240"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386" w:lineRule="auto" w:before="35"/>
        <w:ind w:left="574" w:right="1113" w:hanging="420"/>
        <w:jc w:val="left"/>
      </w:pPr>
      <w:r>
        <w:rPr/>
        <w:t>动资金借款合同，贷款金额</w:t>
      </w:r>
      <w:r>
        <w:rPr>
          <w:rFonts w:ascii="Times New Roman" w:hAnsi="Times New Roman" w:cs="Times New Roman" w:eastAsia="Times New Roman" w:hint="default"/>
        </w:rPr>
        <w:t>5,000</w:t>
      </w:r>
      <w:r>
        <w:rPr/>
        <w:t>万元，借款期限自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日，贷款利率为</w:t>
      </w:r>
      <w:r>
        <w:rPr>
          <w:rFonts w:ascii="Times New Roman" w:hAnsi="Times New Roman" w:cs="Times New Roman" w:eastAsia="Times New Roman" w:hint="default"/>
        </w:rPr>
        <w:t>4.35% </w:t>
      </w:r>
      <w:r>
        <w:rPr>
          <w:rFonts w:ascii="Times New Roman" w:hAnsi="Times New Roman" w:cs="Times New Roman" w:eastAsia="Times New Roman" w:hint="default"/>
          <w:spacing w:val="6"/>
        </w:rPr>
        <w:t>2</w:t>
      </w:r>
      <w:r>
        <w:rPr>
          <w:spacing w:val="6"/>
        </w:rPr>
        <w:t>、</w:t>
      </w: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8</w:t>
      </w:r>
      <w:r>
        <w:rPr>
          <w:spacing w:val="6"/>
        </w:rPr>
        <w:t>月</w:t>
      </w:r>
      <w:r>
        <w:rPr>
          <w:rFonts w:ascii="Times New Roman" w:hAnsi="Times New Roman" w:cs="Times New Roman" w:eastAsia="Times New Roman" w:hint="default"/>
          <w:spacing w:val="6"/>
        </w:rPr>
        <w:t>2</w:t>
      </w:r>
      <w:r>
        <w:rPr>
          <w:spacing w:val="6"/>
        </w:rPr>
        <w:t>日，公司子公司上海树维与上海浦东发展银行股份有限公司南汇支行签订了编码为</w:t>
      </w:r>
      <w:r>
        <w:rPr/>
      </w:r>
    </w:p>
    <w:p>
      <w:pPr>
        <w:pStyle w:val="BodyText"/>
        <w:spacing w:line="386" w:lineRule="auto" w:before="35"/>
        <w:ind w:right="1127"/>
        <w:jc w:val="both"/>
      </w:pPr>
      <w:r>
        <w:rPr>
          <w:rFonts w:ascii="Times New Roman" w:hAnsi="Times New Roman" w:cs="Times New Roman" w:eastAsia="Times New Roman" w:hint="default"/>
        </w:rPr>
        <w:t>“9810201928024”</w:t>
      </w:r>
      <w:r>
        <w:rPr/>
        <w:t>的流动资金借款合同，贷款额度</w:t>
      </w:r>
      <w:r>
        <w:rPr>
          <w:rFonts w:ascii="Times New Roman" w:hAnsi="Times New Roman" w:cs="Times New Roman" w:eastAsia="Times New Roman" w:hint="default"/>
        </w:rPr>
        <w:t>1,000</w:t>
      </w:r>
      <w:r>
        <w:rPr/>
        <w:t>万元，授信期限自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w:t>
      </w:r>
      <w:r>
        <w:rPr>
          <w:spacing w:val="-74"/>
        </w:rPr>
        <w:t> </w:t>
      </w:r>
      <w:r>
        <w:rPr>
          <w:spacing w:val="3"/>
        </w:rPr>
        <w:t>贷款利率为</w:t>
      </w:r>
      <w:r>
        <w:rPr>
          <w:rFonts w:ascii="Times New Roman" w:hAnsi="Times New Roman" w:cs="Times New Roman" w:eastAsia="Times New Roman" w:hint="default"/>
          <w:spacing w:val="3"/>
        </w:rPr>
        <w:t>5.2200%</w:t>
      </w:r>
      <w:r>
        <w:rPr>
          <w:spacing w:val="3"/>
        </w:rPr>
        <w:t>；该项贷款由公司提供连带责任担保并签订了编号为</w:t>
      </w:r>
      <w:r>
        <w:rPr>
          <w:rFonts w:ascii="Times New Roman" w:hAnsi="Times New Roman" w:cs="Times New Roman" w:eastAsia="Times New Roman" w:hint="default"/>
          <w:spacing w:val="3"/>
        </w:rPr>
        <w:t>YB9810201900000013</w:t>
      </w:r>
      <w:r>
        <w:rPr>
          <w:spacing w:val="3"/>
        </w:rPr>
        <w:t>的保证合</w:t>
      </w:r>
      <w:r>
        <w:rPr>
          <w:spacing w:val="-101"/>
        </w:rPr>
        <w:t> </w:t>
      </w:r>
      <w:r>
        <w:rPr>
          <w:spacing w:val="-101"/>
        </w:rPr>
      </w:r>
      <w:r>
        <w:rPr/>
        <w:t>同。</w:t>
      </w:r>
    </w:p>
    <w:p>
      <w:pPr>
        <w:spacing w:line="240" w:lineRule="auto" w:before="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23</w:t>
      </w:r>
      <w:r>
        <w:rPr/>
        <w:t>、应付票据</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3187"/>
        <w:gridCol w:w="3193"/>
        <w:gridCol w:w="3188"/>
      </w:tblGrid>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11,949,594.40</w:t>
            </w:r>
          </w:p>
        </w:tc>
        <w:tc>
          <w:tcPr>
            <w:tcW w:w="3188" w:type="dxa"/>
            <w:tcBorders>
              <w:top w:val="single" w:sz="2" w:space="0" w:color="000000"/>
              <w:left w:val="single" w:sz="2" w:space="0" w:color="000000"/>
              <w:bottom w:val="single" w:sz="2" w:space="0" w:color="000000"/>
              <w:right w:val="single" w:sz="2" w:space="0" w:color="000000"/>
            </w:tcBorders>
          </w:tcPr>
          <w:p>
            <w:pP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40,904,925.31</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46,928,368.15</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52,854,519.71</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46,928,368.15</w:t>
            </w:r>
          </w:p>
        </w:tc>
      </w:tr>
    </w:tbl>
    <w:p>
      <w:pPr>
        <w:pStyle w:val="BodyText"/>
        <w:spacing w:line="240" w:lineRule="auto" w:before="26"/>
        <w:ind w:right="1113"/>
        <w:jc w:val="left"/>
      </w:pPr>
      <w:r>
        <w:rPr/>
        <w:t>本期末已到期未支付的应付票据总额为</w:t>
      </w:r>
      <w:r>
        <w:rPr>
          <w:spacing w:val="-5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3"/>
        </w:rPr>
        <w:t> </w:t>
      </w:r>
      <w:r>
        <w:rPr/>
        <w:t>元。</w:t>
      </w:r>
    </w:p>
    <w:p>
      <w:pPr>
        <w:spacing w:line="240" w:lineRule="auto" w:before="7"/>
        <w:rPr>
          <w:rFonts w:ascii="宋体" w:hAnsi="宋体" w:cs="宋体" w:eastAsia="宋体" w:hint="default"/>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24</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13"/>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3187"/>
        <w:gridCol w:w="3193"/>
        <w:gridCol w:w="3188"/>
      </w:tblGrid>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6"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应付经营货款</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159,509,304.75</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161,854,467.13</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应付外包劳务费</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8,809,932.47</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6,796,510.14</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168,319,237.22</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168,650,977.27</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3187"/>
        <w:gridCol w:w="3193"/>
        <w:gridCol w:w="3188"/>
      </w:tblGrid>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781"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96"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丹东热工仪表有限公司</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4,155,891.19</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尚未到结算期</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荣成市宇翔实业有限公司</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3,099,425.10</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尚未到结算期</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云南省通信产业服务有限公司</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1,359,791.00</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尚未到结算期</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天津神州浩天科技有限公司</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1,169,137.93</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尚未到结算期</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9,784,245.22</w:t>
            </w:r>
          </w:p>
        </w:tc>
        <w:tc>
          <w:tcPr>
            <w:tcW w:w="318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1113"/>
        <w:jc w:val="left"/>
        <w:rPr>
          <w:b w:val="0"/>
          <w:bCs w:val="0"/>
        </w:rPr>
      </w:pPr>
      <w:r>
        <w:rPr>
          <w:rFonts w:ascii="Times New Roman" w:hAnsi="Times New Roman" w:cs="Times New Roman" w:eastAsia="Times New Roman" w:hint="default"/>
        </w:rPr>
        <w:t>25</w:t>
      </w:r>
      <w:r>
        <w:rPr/>
        <w:t>、预收款项</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240" w:lineRule="auto" w:before="10"/>
        <w:rPr>
          <w:rFonts w:ascii="宋体" w:hAnsi="宋体" w:cs="宋体" w:eastAsia="宋体" w:hint="default"/>
          <w:sz w:val="20"/>
          <w:szCs w:val="20"/>
        </w:rPr>
      </w:pPr>
    </w:p>
    <w:p>
      <w:pPr>
        <w:spacing w:before="0"/>
        <w:ind w:left="153"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111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3187"/>
        <w:gridCol w:w="3193"/>
        <w:gridCol w:w="3188"/>
      </w:tblGrid>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6"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115,042,194.75</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95,169,282.10</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115,042,194.75</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95,169,282.10</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51" w:type="dxa"/>
        <w:tblLayout w:type="fixed"/>
        <w:tblCellMar>
          <w:top w:w="0" w:type="dxa"/>
          <w:left w:w="0" w:type="dxa"/>
          <w:bottom w:w="0" w:type="dxa"/>
          <w:right w:w="0" w:type="dxa"/>
        </w:tblCellMar>
        <w:tblLook w:val="01E0"/>
      </w:tblPr>
      <w:tblGrid>
        <w:gridCol w:w="3187"/>
        <w:gridCol w:w="3193"/>
        <w:gridCol w:w="3188"/>
      </w:tblGrid>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781"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南京工业大学浦江学院</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806,973.60</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396"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福州市建设发展集团有限公司</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500,000.00</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1,306,973.60</w:t>
            </w:r>
          </w:p>
        </w:tc>
        <w:tc>
          <w:tcPr>
            <w:tcW w:w="318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26</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51"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97" w:hRule="exact"/>
        </w:trPr>
        <w:tc>
          <w:tcPr>
            <w:tcW w:w="191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59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7" w:hRule="exact"/>
        </w:trPr>
        <w:tc>
          <w:tcPr>
            <w:tcW w:w="191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14,489,159.55</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279,234,693.83</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273,401,179.88</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20,322,673.50</w:t>
            </w:r>
          </w:p>
        </w:tc>
      </w:tr>
      <w:tr>
        <w:trPr>
          <w:trHeight w:val="708" w:hRule="exact"/>
        </w:trPr>
        <w:tc>
          <w:tcPr>
            <w:tcW w:w="191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00" w:lineRule="auto" w:before="51"/>
              <w:ind w:left="25"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401,124.81</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19,415,159.86</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19,332,497.27</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483,787.40</w:t>
            </w:r>
          </w:p>
        </w:tc>
      </w:tr>
      <w:tr>
        <w:trPr>
          <w:trHeight w:val="397" w:hRule="exact"/>
        </w:trPr>
        <w:tc>
          <w:tcPr>
            <w:tcW w:w="191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14,890,284.36</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298,649,853.69</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292,733,677.15</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20,806,460.90</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51"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97" w:hRule="exact"/>
        </w:trPr>
        <w:tc>
          <w:tcPr>
            <w:tcW w:w="191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59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09" w:hRule="exact"/>
        </w:trPr>
        <w:tc>
          <w:tcPr>
            <w:tcW w:w="191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00" w:lineRule="auto" w:before="51"/>
              <w:ind w:left="25" w:right="23"/>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2" w:right="0"/>
              <w:jc w:val="left"/>
              <w:rPr>
                <w:rFonts w:ascii="Times New Roman" w:hAnsi="Times New Roman" w:cs="Times New Roman" w:eastAsia="Times New Roman" w:hint="default"/>
                <w:sz w:val="18"/>
                <w:szCs w:val="18"/>
              </w:rPr>
            </w:pPr>
            <w:r>
              <w:rPr>
                <w:rFonts w:ascii="Times New Roman"/>
                <w:sz w:val="18"/>
              </w:rPr>
              <w:t>14,090,892.28</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8" w:right="0"/>
              <w:jc w:val="left"/>
              <w:rPr>
                <w:rFonts w:ascii="Times New Roman" w:hAnsi="Times New Roman" w:cs="Times New Roman" w:eastAsia="Times New Roman" w:hint="default"/>
                <w:sz w:val="18"/>
                <w:szCs w:val="18"/>
              </w:rPr>
            </w:pPr>
            <w:r>
              <w:rPr>
                <w:rFonts w:ascii="Times New Roman"/>
                <w:sz w:val="18"/>
              </w:rPr>
              <w:t>249,359,055.44</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8" w:right="0"/>
              <w:jc w:val="left"/>
              <w:rPr>
                <w:rFonts w:ascii="Times New Roman" w:hAnsi="Times New Roman" w:cs="Times New Roman" w:eastAsia="Times New Roman" w:hint="default"/>
                <w:sz w:val="18"/>
                <w:szCs w:val="18"/>
              </w:rPr>
            </w:pPr>
            <w:r>
              <w:rPr>
                <w:rFonts w:ascii="Times New Roman"/>
                <w:sz w:val="18"/>
              </w:rPr>
              <w:t>243,658,940.49</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8" w:right="0"/>
              <w:jc w:val="left"/>
              <w:rPr>
                <w:rFonts w:ascii="Times New Roman" w:hAnsi="Times New Roman" w:cs="Times New Roman" w:eastAsia="Times New Roman" w:hint="default"/>
                <w:sz w:val="18"/>
                <w:szCs w:val="18"/>
              </w:rPr>
            </w:pPr>
            <w:r>
              <w:rPr>
                <w:rFonts w:ascii="Times New Roman"/>
                <w:sz w:val="18"/>
              </w:rPr>
              <w:t>19,791,007.23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51"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97" w:hRule="exact"/>
        </w:trPr>
        <w:tc>
          <w:tcPr>
            <w:tcW w:w="191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2" w:space="0" w:color="000000"/>
              <w:left w:val="single" w:sz="2" w:space="0" w:color="000000"/>
              <w:bottom w:val="single" w:sz="2" w:space="0" w:color="000000"/>
              <w:right w:val="single" w:sz="2" w:space="0" w:color="000000"/>
            </w:tcBorders>
          </w:tcPr>
          <w:p>
            <w:pP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4,738,294.57</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4,737,483.57</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811.00</w:t>
            </w:r>
          </w:p>
        </w:tc>
      </w:tr>
      <w:tr>
        <w:trPr>
          <w:trHeight w:val="397" w:hRule="exact"/>
        </w:trPr>
        <w:tc>
          <w:tcPr>
            <w:tcW w:w="191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216,988.58</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10,607,680.17</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10,495,801.73</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328,867.02</w:t>
            </w:r>
          </w:p>
        </w:tc>
      </w:tr>
      <w:tr>
        <w:trPr>
          <w:trHeight w:val="396" w:hRule="exact"/>
        </w:trPr>
        <w:tc>
          <w:tcPr>
            <w:tcW w:w="191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79"/>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198,019.42</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9,331,415.48</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9,234,929.19</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294,505.71</w:t>
            </w:r>
          </w:p>
        </w:tc>
      </w:tr>
      <w:tr>
        <w:trPr>
          <w:trHeight w:val="397" w:hRule="exact"/>
        </w:trPr>
        <w:tc>
          <w:tcPr>
            <w:tcW w:w="191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right="79"/>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2,759.00</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236,386.02</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229,437.83</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9,707.19</w:t>
            </w:r>
          </w:p>
        </w:tc>
      </w:tr>
      <w:tr>
        <w:trPr>
          <w:trHeight w:val="397" w:hRule="exact"/>
        </w:trPr>
        <w:tc>
          <w:tcPr>
            <w:tcW w:w="191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79"/>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16,210.16</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1,039,878.67</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1,031,434.71</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24,654.12</w:t>
            </w:r>
          </w:p>
        </w:tc>
      </w:tr>
      <w:tr>
        <w:trPr>
          <w:trHeight w:val="397" w:hRule="exact"/>
        </w:trPr>
        <w:tc>
          <w:tcPr>
            <w:tcW w:w="191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11,759.16</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11,379,613.52</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11,366,949.08</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24,423.60</w:t>
            </w:r>
          </w:p>
        </w:tc>
      </w:tr>
      <w:tr>
        <w:trPr>
          <w:trHeight w:val="709" w:hRule="exact"/>
        </w:trPr>
        <w:tc>
          <w:tcPr>
            <w:tcW w:w="191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00" w:lineRule="auto" w:before="51"/>
              <w:ind w:left="25" w:right="23"/>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169,519.53</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3,150,050.13</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3,142,005.01</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177,564.65</w:t>
            </w:r>
          </w:p>
        </w:tc>
      </w:tr>
      <w:tr>
        <w:trPr>
          <w:trHeight w:val="397" w:hRule="exact"/>
        </w:trPr>
        <w:tc>
          <w:tcPr>
            <w:tcW w:w="191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14,489,159.55</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279,234,693.83</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273,401,179.88</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20,322,673.50</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51"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97" w:hRule="exact"/>
        </w:trPr>
        <w:tc>
          <w:tcPr>
            <w:tcW w:w="191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59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7" w:hRule="exact"/>
        </w:trPr>
        <w:tc>
          <w:tcPr>
            <w:tcW w:w="191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386,598.90</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18,664,340.26</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18,588,305.56</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462,633.60</w:t>
            </w:r>
          </w:p>
        </w:tc>
      </w:tr>
      <w:tr>
        <w:trPr>
          <w:trHeight w:val="397" w:hRule="exact"/>
        </w:trPr>
        <w:tc>
          <w:tcPr>
            <w:tcW w:w="191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14,525.91</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750,819.60</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744,191.71</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21,153.80</w:t>
            </w:r>
          </w:p>
        </w:tc>
      </w:tr>
      <w:tr>
        <w:trPr>
          <w:trHeight w:val="397" w:hRule="exact"/>
        </w:trPr>
        <w:tc>
          <w:tcPr>
            <w:tcW w:w="191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401,124.81</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19,415,159.86</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19,332,497.27</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483,787.40</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27</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51" w:type="dxa"/>
        <w:tblLayout w:type="fixed"/>
        <w:tblCellMar>
          <w:top w:w="0" w:type="dxa"/>
          <w:left w:w="0" w:type="dxa"/>
          <w:bottom w:w="0" w:type="dxa"/>
          <w:right w:w="0" w:type="dxa"/>
        </w:tblCellMar>
        <w:tblLook w:val="01E0"/>
      </w:tblPr>
      <w:tblGrid>
        <w:gridCol w:w="3187"/>
        <w:gridCol w:w="3193"/>
        <w:gridCol w:w="3188"/>
      </w:tblGrid>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21,631,153.28</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31,979,636.18</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15,497,015.99</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10,857,348.63</w:t>
            </w:r>
          </w:p>
        </w:tc>
      </w:tr>
      <w:tr>
        <w:trPr>
          <w:trHeight w:val="396"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1,751,720.23</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749,855.71</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1,527,321.00</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2,200,256.00</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368,754.50</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346,572.61</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665,800.87</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918,921.11</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440,534.14</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612,614.07</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38,783.52</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38,637.30</w:t>
            </w:r>
          </w:p>
        </w:tc>
      </w:tr>
      <w:tr>
        <w:trPr>
          <w:trHeight w:val="396"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80,373.55</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60,521.86</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175,735.30</w:t>
            </w:r>
          </w:p>
        </w:tc>
        <w:tc>
          <w:tcPr>
            <w:tcW w:w="3188" w:type="dxa"/>
            <w:tcBorders>
              <w:top w:val="single" w:sz="2" w:space="0" w:color="000000"/>
              <w:left w:val="single" w:sz="2" w:space="0" w:color="000000"/>
              <w:bottom w:val="single" w:sz="2" w:space="0" w:color="000000"/>
              <w:right w:val="single" w:sz="2" w:space="0" w:color="000000"/>
            </w:tcBorders>
          </w:tcPr>
          <w:p>
            <w:pP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42,177,192.38</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47,764,363.47</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28</w:t>
      </w:r>
      <w:r>
        <w:rPr/>
        <w:t>、其他应付款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51" w:type="dxa"/>
        <w:tblLayout w:type="fixed"/>
        <w:tblCellMar>
          <w:top w:w="0" w:type="dxa"/>
          <w:left w:w="0" w:type="dxa"/>
          <w:bottom w:w="0" w:type="dxa"/>
          <w:right w:w="0" w:type="dxa"/>
        </w:tblCellMar>
        <w:tblLook w:val="01E0"/>
      </w:tblPr>
      <w:tblGrid>
        <w:gridCol w:w="3187"/>
        <w:gridCol w:w="3193"/>
        <w:gridCol w:w="3188"/>
      </w:tblGrid>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38,583,320.05</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8,165,131.37</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38,583,320.05</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8,165,131.37</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51" w:type="dxa"/>
        <w:tblLayout w:type="fixed"/>
        <w:tblCellMar>
          <w:top w:w="0" w:type="dxa"/>
          <w:left w:w="0" w:type="dxa"/>
          <w:bottom w:w="0" w:type="dxa"/>
          <w:right w:w="0" w:type="dxa"/>
        </w:tblCellMar>
        <w:tblLook w:val="01E0"/>
      </w:tblPr>
      <w:tblGrid>
        <w:gridCol w:w="3187"/>
        <w:gridCol w:w="3193"/>
        <w:gridCol w:w="3188"/>
      </w:tblGrid>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待支付股权购买款</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24,600,000.00</w:t>
            </w:r>
          </w:p>
        </w:tc>
        <w:tc>
          <w:tcPr>
            <w:tcW w:w="3188" w:type="dxa"/>
            <w:tcBorders>
              <w:top w:val="single" w:sz="2" w:space="0" w:color="000000"/>
              <w:left w:val="single" w:sz="2" w:space="0" w:color="000000"/>
              <w:bottom w:val="single" w:sz="2" w:space="0" w:color="000000"/>
              <w:right w:val="single" w:sz="2" w:space="0" w:color="000000"/>
            </w:tcBorders>
          </w:tcPr>
          <w:p>
            <w:pP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应付保证金</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1,945,950.28</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2,262,263.52</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应付代垫款项</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11,697,662.13</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5,205,264.44</w:t>
            </w:r>
          </w:p>
        </w:tc>
      </w:tr>
      <w:tr>
        <w:trPr>
          <w:trHeight w:val="396"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339,707.64</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697,603.41</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38,583,320.05</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8,165,131.37</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2</w:t>
      </w:r>
      <w:r>
        <w:rPr/>
        <w:t>）账龄超过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年的重要其他应付款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51" w:type="dxa"/>
        <w:tblLayout w:type="fixed"/>
        <w:tblCellMar>
          <w:top w:w="0" w:type="dxa"/>
          <w:left w:w="0" w:type="dxa"/>
          <w:bottom w:w="0" w:type="dxa"/>
          <w:right w:w="0" w:type="dxa"/>
        </w:tblCellMar>
        <w:tblLook w:val="01E0"/>
      </w:tblPr>
      <w:tblGrid>
        <w:gridCol w:w="3187"/>
        <w:gridCol w:w="3193"/>
        <w:gridCol w:w="3188"/>
      </w:tblGrid>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781"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尚卫国</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2,936,657.16</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未到偿还期</w:t>
            </w:r>
          </w:p>
        </w:tc>
      </w:tr>
      <w:tr>
        <w:trPr>
          <w:trHeight w:val="396"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安徽新开普智能技术有限公司</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1,587,920.00</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尚未到结转期</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4,524,577.16</w:t>
            </w:r>
          </w:p>
        </w:tc>
        <w:tc>
          <w:tcPr>
            <w:tcW w:w="318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29</w:t>
      </w:r>
      <w:r>
        <w:rPr/>
        <w:t>、一年内到期的非流动负债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3187"/>
        <w:gridCol w:w="3193"/>
        <w:gridCol w:w="3188"/>
      </w:tblGrid>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6"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14,611,500.00</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25,278,400.00</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14,611,500.00</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25,278,400.00</w:t>
            </w: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240" w:lineRule="auto" w:before="0"/>
        <w:ind w:right="1113"/>
        <w:jc w:val="left"/>
        <w:rPr>
          <w:rFonts w:ascii="Times New Roman" w:hAnsi="Times New Roman" w:cs="Times New Roman" w:eastAsia="Times New Roman" w:hint="default"/>
        </w:rPr>
      </w:pPr>
      <w:r>
        <w:rPr/>
        <w:t>详见附注</w:t>
      </w:r>
      <w:r>
        <w:rPr>
          <w:rFonts w:ascii="Times New Roman" w:hAnsi="Times New Roman" w:cs="Times New Roman" w:eastAsia="Times New Roman" w:hint="default"/>
        </w:rPr>
        <w:t>“</w:t>
      </w:r>
      <w:r>
        <w:rPr/>
        <w:t>长期借款</w:t>
      </w:r>
      <w:r>
        <w:rPr>
          <w:rFonts w:ascii="Times New Roman" w:hAnsi="Times New Roman" w:cs="Times New Roman" w:eastAsia="Times New Roman" w:hint="default"/>
        </w:rPr>
        <w:t>”</w:t>
      </w:r>
    </w:p>
    <w:p>
      <w:pPr>
        <w:spacing w:after="0" w:line="240" w:lineRule="auto"/>
        <w:jc w:val="left"/>
        <w:rPr>
          <w:rFonts w:ascii="Times New Roman" w:hAnsi="Times New Roman" w:cs="Times New Roman" w:eastAsia="Times New Roman" w:hint="default"/>
        </w:rPr>
        <w:sectPr>
          <w:pgSz w:w="11910" w:h="16840"/>
          <w:pgMar w:header="877" w:footer="982" w:top="1100" w:bottom="1180" w:left="980" w:right="0"/>
        </w:sectPr>
      </w:pPr>
    </w:p>
    <w:p>
      <w:pPr>
        <w:spacing w:line="240" w:lineRule="auto" w:before="7"/>
        <w:rPr>
          <w:rFonts w:ascii="Times New Roman" w:hAnsi="Times New Roman" w:cs="Times New Roman" w:eastAsia="Times New Roman" w:hint="default"/>
          <w:sz w:val="23"/>
          <w:szCs w:val="23"/>
        </w:rPr>
      </w:pPr>
    </w:p>
    <w:p>
      <w:pPr>
        <w:pStyle w:val="Heading3"/>
        <w:spacing w:line="240" w:lineRule="auto" w:before="35"/>
        <w:ind w:right="1113"/>
        <w:jc w:val="left"/>
        <w:rPr>
          <w:b w:val="0"/>
          <w:bCs w:val="0"/>
        </w:rPr>
      </w:pPr>
      <w:r>
        <w:rPr>
          <w:rFonts w:ascii="Times New Roman" w:hAnsi="Times New Roman" w:cs="Times New Roman" w:eastAsia="Times New Roman" w:hint="default"/>
        </w:rPr>
        <w:t>30</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13"/>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3187"/>
        <w:gridCol w:w="3193"/>
        <w:gridCol w:w="3188"/>
      </w:tblGrid>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29,260,000.00</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43,871,500.00</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29,260,000.00</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43,871,500.00</w:t>
            </w: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spacing w:line="240" w:lineRule="auto" w:before="11"/>
        <w:rPr>
          <w:rFonts w:ascii="宋体" w:hAnsi="宋体" w:cs="宋体" w:eastAsia="宋体" w:hint="default"/>
          <w:sz w:val="18"/>
          <w:szCs w:val="18"/>
        </w:rPr>
      </w:pPr>
    </w:p>
    <w:p>
      <w:pPr>
        <w:pStyle w:val="BodyText"/>
        <w:spacing w:line="386" w:lineRule="auto" w:before="0"/>
        <w:ind w:right="1129" w:firstLine="420"/>
        <w:jc w:val="both"/>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27</w:t>
      </w:r>
      <w:r>
        <w:rPr>
          <w:spacing w:val="-3"/>
        </w:rPr>
        <w:t>日，公司以子公司上海树维信息科技有限公司</w:t>
      </w:r>
      <w:r>
        <w:rPr>
          <w:rFonts w:ascii="Times New Roman" w:hAnsi="Times New Roman" w:cs="Times New Roman" w:eastAsia="Times New Roman" w:hint="default"/>
          <w:spacing w:val="-3"/>
        </w:rPr>
        <w:t>100%</w:t>
      </w:r>
      <w:r>
        <w:rPr>
          <w:spacing w:val="-3"/>
        </w:rPr>
        <w:t>股权作为质押与招商银行郑州分行</w:t>
      </w:r>
      <w:r>
        <w:rPr/>
        <w:t> </w:t>
      </w:r>
      <w:r>
        <w:rPr>
          <w:spacing w:val="-1"/>
        </w:rPr>
        <w:t>签订了编号为</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GS3706</w:t>
      </w:r>
      <w:r>
        <w:rPr>
          <w:spacing w:val="-1"/>
        </w:rPr>
        <w:t>并购字第</w:t>
      </w:r>
      <w:r>
        <w:rPr>
          <w:rFonts w:ascii="Times New Roman" w:hAnsi="Times New Roman" w:cs="Times New Roman" w:eastAsia="Times New Roman" w:hint="default"/>
          <w:spacing w:val="-1"/>
        </w:rPr>
        <w:t>001</w:t>
      </w:r>
      <w:r>
        <w:rPr>
          <w:spacing w:val="-1"/>
        </w:rPr>
        <w:t>号</w:t>
      </w:r>
      <w:r>
        <w:rPr>
          <w:rFonts w:ascii="Times New Roman" w:hAnsi="Times New Roman" w:cs="Times New Roman" w:eastAsia="Times New Roman" w:hint="default"/>
          <w:spacing w:val="-1"/>
        </w:rPr>
        <w:t>”</w:t>
      </w:r>
      <w:r>
        <w:rPr>
          <w:spacing w:val="-1"/>
        </w:rPr>
        <w:t>的并购贷款合同，借款金额为</w:t>
      </w:r>
      <w:r>
        <w:rPr>
          <w:rFonts w:ascii="Times New Roman" w:hAnsi="Times New Roman" w:cs="Times New Roman" w:eastAsia="Times New Roman" w:hint="default"/>
          <w:spacing w:val="-1"/>
        </w:rPr>
        <w:t>1,735</w:t>
      </w:r>
      <w:r>
        <w:rPr>
          <w:spacing w:val="-1"/>
        </w:rPr>
        <w:t>万元整，借款期限自</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日，借款利率基准利率上浮</w:t>
      </w:r>
      <w:r>
        <w:rPr>
          <w:rFonts w:ascii="Times New Roman" w:hAnsi="Times New Roman" w:cs="Times New Roman" w:eastAsia="Times New Roman" w:hint="default"/>
        </w:rPr>
        <w:t>5.00%</w:t>
      </w:r>
      <w:r>
        <w:rPr/>
        <w:t>，每</w:t>
      </w:r>
      <w:r>
        <w:rPr>
          <w:rFonts w:ascii="Times New Roman" w:hAnsi="Times New Roman" w:cs="Times New Roman" w:eastAsia="Times New Roman" w:hint="default"/>
        </w:rPr>
        <w:t>6</w:t>
      </w:r>
      <w:r>
        <w:rPr/>
        <w:t>个月还款一次，其中第六期</w:t>
      </w:r>
      <w:r>
        <w:rPr>
          <w:rFonts w:ascii="Times New Roman" w:hAnsi="Times New Roman" w:cs="Times New Roman" w:eastAsia="Times New Roman" w:hint="default"/>
        </w:rPr>
        <w:t>289.15</w:t>
      </w:r>
      <w:r>
        <w:rPr/>
        <w:t>万元将 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日到期，转入一年内到期的非流动负债。</w:t>
      </w:r>
    </w:p>
    <w:p>
      <w:pPr>
        <w:pStyle w:val="BodyText"/>
        <w:spacing w:line="386" w:lineRule="auto" w:before="35"/>
        <w:ind w:right="1020" w:firstLine="42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日，公司以子公司北京迪科远望科技有限公司</w:t>
      </w:r>
      <w:r>
        <w:rPr>
          <w:rFonts w:ascii="Times New Roman" w:hAnsi="Times New Roman" w:cs="Times New Roman" w:eastAsia="Times New Roman" w:hint="default"/>
        </w:rPr>
        <w:t>100%</w:t>
      </w:r>
      <w:r>
        <w:rPr/>
        <w:t>股权作为质押与中国工商银行股份 有限公司郑州南阳路支行（以下简称</w:t>
      </w:r>
      <w:r>
        <w:rPr>
          <w:rFonts w:ascii="Times New Roman" w:hAnsi="Times New Roman" w:cs="Times New Roman" w:eastAsia="Times New Roman" w:hint="default"/>
        </w:rPr>
        <w:t>“</w:t>
      </w:r>
      <w:r>
        <w:rPr/>
        <w:t>工商银行南阳路支行</w:t>
      </w:r>
      <w:r>
        <w:rPr>
          <w:rFonts w:ascii="Times New Roman" w:hAnsi="Times New Roman" w:cs="Times New Roman" w:eastAsia="Times New Roman" w:hint="default"/>
        </w:rPr>
        <w:t>”</w:t>
      </w:r>
      <w:r>
        <w:rPr/>
        <w:t>）签订了编号为</w:t>
      </w:r>
      <w:r>
        <w:rPr>
          <w:rFonts w:ascii="Times New Roman" w:hAnsi="Times New Roman" w:cs="Times New Roman" w:eastAsia="Times New Roman" w:hint="default"/>
        </w:rPr>
        <w:t>“2016</w:t>
      </w:r>
      <w:r>
        <w:rPr/>
        <w:t>年郑工银南阳路并（借） 字第</w:t>
      </w:r>
      <w:r>
        <w:rPr>
          <w:rFonts w:ascii="Times New Roman" w:hAnsi="Times New Roman" w:cs="Times New Roman" w:eastAsia="Times New Roman" w:hint="default"/>
        </w:rPr>
        <w:t>001</w:t>
      </w:r>
      <w:r>
        <w:rPr/>
        <w:t>号</w:t>
      </w:r>
      <w:r>
        <w:rPr>
          <w:rFonts w:ascii="Times New Roman" w:hAnsi="Times New Roman" w:cs="Times New Roman" w:eastAsia="Times New Roman" w:hint="default"/>
        </w:rPr>
        <w:t>”</w:t>
      </w:r>
      <w:r>
        <w:rPr/>
        <w:t>的并购借款合同，金额</w:t>
      </w:r>
      <w:r>
        <w:rPr>
          <w:rFonts w:ascii="Times New Roman" w:hAnsi="Times New Roman" w:cs="Times New Roman" w:eastAsia="Times New Roman" w:hint="default"/>
        </w:rPr>
        <w:t>9,800.00</w:t>
      </w:r>
      <w:r>
        <w:rPr/>
        <w:t>万元，借款期限</w:t>
      </w:r>
      <w:r>
        <w:rPr>
          <w:rFonts w:ascii="Times New Roman" w:hAnsi="Times New Roman" w:cs="Times New Roman" w:eastAsia="Times New Roman" w:hint="default"/>
        </w:rPr>
        <w:t>84</w:t>
      </w:r>
      <w:r>
        <w:rPr/>
        <w:t>个月，借款期限自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日至</w:t>
      </w:r>
      <w:r>
        <w:rPr>
          <w:rFonts w:ascii="Times New Roman" w:hAnsi="Times New Roman" w:cs="Times New Roman" w:eastAsia="Times New Roman" w:hint="default"/>
        </w:rPr>
        <w:t>2023</w:t>
      </w:r>
      <w:r>
        <w:rPr/>
        <w:t>年</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t>月</w:t>
      </w:r>
      <w:r>
        <w:rPr>
          <w:rFonts w:ascii="Times New Roman" w:hAnsi="Times New Roman" w:cs="Times New Roman" w:eastAsia="Times New Roman" w:hint="default"/>
        </w:rPr>
        <w:t>12</w:t>
      </w:r>
      <w:r>
        <w:rPr/>
        <w:t>日，利率为基准利率，同时第一大股东及法人代表杨维国对此借款提供保证担保；</w:t>
      </w:r>
    </w:p>
    <w:p>
      <w:pPr>
        <w:pStyle w:val="BodyText"/>
        <w:spacing w:line="386" w:lineRule="auto" w:before="35"/>
        <w:ind w:right="993" w:firstLine="420"/>
        <w:jc w:val="left"/>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14</w:t>
      </w:r>
      <w:r>
        <w:rPr>
          <w:spacing w:val="-1"/>
        </w:rPr>
        <w:t>日，双方签订补充协议，首次提款</w:t>
      </w:r>
      <w:r>
        <w:rPr>
          <w:rFonts w:ascii="Times New Roman" w:hAnsi="Times New Roman" w:cs="Times New Roman" w:eastAsia="Times New Roman" w:hint="default"/>
          <w:spacing w:val="-1"/>
        </w:rPr>
        <w:t>8,200.00</w:t>
      </w:r>
      <w:r>
        <w:rPr>
          <w:spacing w:val="-1"/>
        </w:rPr>
        <w:t>万元，约定自首次提款日起每</w:t>
      </w:r>
      <w:r>
        <w:rPr>
          <w:rFonts w:ascii="Times New Roman" w:hAnsi="Times New Roman" w:cs="Times New Roman" w:eastAsia="Times New Roman" w:hint="default"/>
          <w:spacing w:val="-1"/>
        </w:rPr>
        <w:t>6</w:t>
      </w:r>
      <w:r>
        <w:rPr>
          <w:spacing w:val="-1"/>
        </w:rPr>
        <w:t>个月还款一次，</w:t>
      </w:r>
      <w:r>
        <w:rPr/>
        <w:t> 其中第八期</w:t>
      </w:r>
      <w:r>
        <w:rPr>
          <w:rFonts w:ascii="Times New Roman" w:hAnsi="Times New Roman" w:cs="Times New Roman" w:eastAsia="Times New Roman" w:hint="default"/>
        </w:rPr>
        <w:t>586.00</w:t>
      </w:r>
      <w:r>
        <w:rPr/>
        <w:t>万元将于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日到期，第九期</w:t>
      </w:r>
      <w:r>
        <w:rPr>
          <w:rFonts w:ascii="Times New Roman" w:hAnsi="Times New Roman" w:cs="Times New Roman" w:eastAsia="Times New Roman" w:hint="default"/>
        </w:rPr>
        <w:t>586.00</w:t>
      </w:r>
      <w:r>
        <w:rPr/>
        <w:t>万元将于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日到期，共计</w:t>
      </w:r>
      <w:r>
        <w:rPr>
          <w:rFonts w:ascii="Times New Roman" w:hAnsi="Times New Roman" w:cs="Times New Roman" w:eastAsia="Times New Roman" w:hint="default"/>
        </w:rPr>
        <w:t>1,172.00 </w:t>
      </w:r>
      <w:r>
        <w:rPr/>
        <w:t>万元转入一年内到期的非流动负债。</w:t>
      </w:r>
    </w:p>
    <w:p>
      <w:pPr>
        <w:pStyle w:val="BodyText"/>
        <w:spacing w:line="386" w:lineRule="auto" w:before="65"/>
        <w:ind w:right="1113" w:firstLine="420"/>
        <w:jc w:val="left"/>
      </w:pPr>
      <w:r>
        <w:rPr>
          <w:rFonts w:ascii="Times New Roman" w:hAnsi="Times New Roman" w:cs="Times New Roman" w:eastAsia="Times New Roman" w:hint="default"/>
        </w:rPr>
        <w:t>3</w:t>
      </w:r>
      <w:r>
        <w:rPr/>
        <w:t>、综上所述，共计</w:t>
      </w:r>
      <w:r>
        <w:rPr>
          <w:rFonts w:ascii="Times New Roman" w:hAnsi="Times New Roman" w:cs="Times New Roman" w:eastAsia="Times New Roman" w:hint="default"/>
        </w:rPr>
        <w:t>1,461.15</w:t>
      </w:r>
      <w:r>
        <w:rPr/>
        <w:t>万元的一年内到期的长期借款转入一年内到期的非流动负债，详见</w:t>
      </w:r>
      <w:r>
        <w:rPr>
          <w:rFonts w:ascii="Times New Roman" w:hAnsi="Times New Roman" w:cs="Times New Roman" w:eastAsia="Times New Roman" w:hint="default"/>
        </w:rPr>
        <w:t>“</w:t>
      </w:r>
      <w:r>
        <w:rPr/>
        <w:t>一年</w:t>
      </w:r>
      <w:r>
        <w:rPr>
          <w:spacing w:val="2"/>
        </w:rPr>
        <w:t> </w:t>
      </w:r>
      <w:r>
        <w:rPr/>
        <w:t>内到期的非流动负债</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19"/>
          <w:szCs w:val="19"/>
        </w:rPr>
      </w:pPr>
    </w:p>
    <w:p>
      <w:pPr>
        <w:pStyle w:val="Heading3"/>
        <w:spacing w:line="240" w:lineRule="auto"/>
        <w:ind w:right="1113"/>
        <w:jc w:val="left"/>
        <w:rPr>
          <w:b w:val="0"/>
          <w:bCs w:val="0"/>
        </w:rPr>
      </w:pPr>
      <w:r>
        <w:rPr>
          <w:rFonts w:ascii="Times New Roman" w:hAnsi="Times New Roman" w:cs="Times New Roman" w:eastAsia="Times New Roman" w:hint="default"/>
        </w:rPr>
        <w:t>31</w:t>
      </w:r>
      <w:r>
        <w:rPr/>
        <w:t>、递延收益</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51"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397" w:hRule="exact"/>
        </w:trPr>
        <w:tc>
          <w:tcPr>
            <w:tcW w:w="159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43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97" w:hRule="exact"/>
        </w:trPr>
        <w:tc>
          <w:tcPr>
            <w:tcW w:w="159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17,452,833.33</w:t>
            </w:r>
          </w:p>
        </w:tc>
        <w:tc>
          <w:tcPr>
            <w:tcW w:w="1595"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4,632,416.67</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12,820,416.66</w:t>
            </w:r>
          </w:p>
        </w:tc>
        <w:tc>
          <w:tcPr>
            <w:tcW w:w="1595" w:type="dxa"/>
            <w:tcBorders>
              <w:top w:val="single" w:sz="2" w:space="0" w:color="000000"/>
              <w:left w:val="single" w:sz="2" w:space="0" w:color="000000"/>
              <w:bottom w:val="single" w:sz="2" w:space="0" w:color="000000"/>
              <w:right w:val="single" w:sz="2" w:space="0" w:color="000000"/>
            </w:tcBorders>
          </w:tcPr>
          <w:p>
            <w:pPr/>
          </w:p>
        </w:tc>
      </w:tr>
      <w:tr>
        <w:trPr>
          <w:trHeight w:val="397" w:hRule="exact"/>
        </w:trPr>
        <w:tc>
          <w:tcPr>
            <w:tcW w:w="159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17,452,833.33</w:t>
            </w:r>
          </w:p>
        </w:tc>
        <w:tc>
          <w:tcPr>
            <w:tcW w:w="1595"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4,632,416.67</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12,820,416.66</w:t>
            </w:r>
          </w:p>
        </w:tc>
        <w:tc>
          <w:tcPr>
            <w:tcW w:w="1595"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line="240" w:lineRule="auto" w:before="6"/>
        <w:rPr>
          <w:rFonts w:ascii="宋体" w:hAnsi="宋体" w:cs="宋体" w:eastAsia="宋体" w:hint="default"/>
          <w:sz w:val="11"/>
          <w:szCs w:val="11"/>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1276"/>
        <w:gridCol w:w="1134"/>
        <w:gridCol w:w="862"/>
        <w:gridCol w:w="1010"/>
        <w:gridCol w:w="1009"/>
        <w:gridCol w:w="1010"/>
        <w:gridCol w:w="1010"/>
        <w:gridCol w:w="1248"/>
        <w:gridCol w:w="1009"/>
      </w:tblGrid>
      <w:tr>
        <w:trPr>
          <w:trHeight w:val="1021" w:hRule="exact"/>
        </w:trPr>
        <w:tc>
          <w:tcPr>
            <w:tcW w:w="1276"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4"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13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6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6"/>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01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51" w:right="53"/>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09"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1" w:right="50"/>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1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50"/>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09"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51" w:right="27"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spacing w:after="0" w:line="300"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51" w:type="dxa"/>
        <w:tblLayout w:type="fixed"/>
        <w:tblCellMar>
          <w:top w:w="0" w:type="dxa"/>
          <w:left w:w="0" w:type="dxa"/>
          <w:bottom w:w="0" w:type="dxa"/>
          <w:right w:w="0" w:type="dxa"/>
        </w:tblCellMar>
        <w:tblLook w:val="01E0"/>
      </w:tblPr>
      <w:tblGrid>
        <w:gridCol w:w="1276"/>
        <w:gridCol w:w="1134"/>
        <w:gridCol w:w="862"/>
        <w:gridCol w:w="1010"/>
        <w:gridCol w:w="1009"/>
        <w:gridCol w:w="1010"/>
        <w:gridCol w:w="1010"/>
        <w:gridCol w:w="1248"/>
        <w:gridCol w:w="1009"/>
      </w:tblGrid>
      <w:tr>
        <w:trPr>
          <w:trHeight w:val="1021" w:hRule="exact"/>
        </w:trPr>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309" w:lineRule="auto" w:before="51"/>
              <w:ind w:left="25" w:right="24"/>
              <w:jc w:val="left"/>
              <w:rPr>
                <w:rFonts w:ascii="宋体" w:hAnsi="宋体" w:cs="宋体" w:eastAsia="宋体" w:hint="default"/>
                <w:sz w:val="18"/>
                <w:szCs w:val="18"/>
              </w:rPr>
            </w:pPr>
            <w:r>
              <w:rPr>
                <w:rFonts w:ascii="宋体" w:hAnsi="宋体" w:cs="宋体" w:eastAsia="宋体" w:hint="default"/>
                <w:sz w:val="18"/>
                <w:szCs w:val="18"/>
              </w:rPr>
              <w:t>智能卡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支 付与识别产品 产业化应用</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66,666.67</w:t>
            </w:r>
          </w:p>
        </w:tc>
        <w:tc>
          <w:tcPr>
            <w:tcW w:w="862" w:type="dxa"/>
            <w:tcBorders>
              <w:top w:val="single" w:sz="2" w:space="0" w:color="000000"/>
              <w:left w:val="single" w:sz="2" w:space="0" w:color="000000"/>
              <w:bottom w:val="single" w:sz="2" w:space="0" w:color="000000"/>
              <w:right w:val="single" w:sz="2" w:space="0" w:color="000000"/>
            </w:tcBorders>
          </w:tcPr>
          <w:p>
            <w:pPr/>
          </w:p>
        </w:tc>
        <w:tc>
          <w:tcPr>
            <w:tcW w:w="1010" w:type="dxa"/>
            <w:tcBorders>
              <w:top w:val="single" w:sz="2" w:space="0" w:color="000000"/>
              <w:left w:val="single" w:sz="2" w:space="0" w:color="000000"/>
              <w:bottom w:val="single" w:sz="2" w:space="0" w:color="000000"/>
              <w:right w:val="single" w:sz="2" w:space="0" w:color="000000"/>
            </w:tcBorders>
          </w:tcPr>
          <w:p>
            <w:pPr/>
          </w:p>
        </w:tc>
        <w:tc>
          <w:tcPr>
            <w:tcW w:w="10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66,666.67</w:t>
            </w:r>
          </w:p>
        </w:tc>
        <w:tc>
          <w:tcPr>
            <w:tcW w:w="1010" w:type="dxa"/>
            <w:tcBorders>
              <w:top w:val="single" w:sz="2" w:space="0" w:color="000000"/>
              <w:left w:val="single" w:sz="2" w:space="0" w:color="000000"/>
              <w:bottom w:val="single" w:sz="2" w:space="0" w:color="000000"/>
              <w:right w:val="single" w:sz="2" w:space="0" w:color="000000"/>
            </w:tcBorders>
          </w:tcPr>
          <w:p>
            <w:pPr/>
          </w:p>
        </w:tc>
        <w:tc>
          <w:tcPr>
            <w:tcW w:w="1010" w:type="dxa"/>
            <w:tcBorders>
              <w:top w:val="single" w:sz="2" w:space="0" w:color="000000"/>
              <w:left w:val="single" w:sz="2" w:space="0" w:color="000000"/>
              <w:bottom w:val="single" w:sz="2" w:space="0" w:color="000000"/>
              <w:right w:val="single" w:sz="2" w:space="0" w:color="000000"/>
            </w:tcBorders>
          </w:tcPr>
          <w:p>
            <w:pPr/>
          </w:p>
        </w:tc>
        <w:tc>
          <w:tcPr>
            <w:tcW w:w="1248" w:type="dxa"/>
            <w:tcBorders>
              <w:top w:val="single" w:sz="2" w:space="0" w:color="000000"/>
              <w:left w:val="single" w:sz="2" w:space="0" w:color="000000"/>
              <w:bottom w:val="single" w:sz="2" w:space="0" w:color="000000"/>
              <w:right w:val="single" w:sz="2" w:space="0" w:color="000000"/>
            </w:tcBorders>
          </w:tcPr>
          <w:p>
            <w:pPr/>
          </w:p>
        </w:tc>
        <w:tc>
          <w:tcPr>
            <w:tcW w:w="10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3" w:hRule="exact"/>
        </w:trPr>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312" w:lineRule="auto" w:before="51"/>
              <w:ind w:left="25" w:right="74"/>
              <w:jc w:val="left"/>
              <w:rPr>
                <w:rFonts w:ascii="宋体" w:hAnsi="宋体" w:cs="宋体" w:eastAsia="宋体" w:hint="default"/>
                <w:sz w:val="18"/>
                <w:szCs w:val="18"/>
              </w:rPr>
            </w:pPr>
            <w:r>
              <w:rPr>
                <w:rFonts w:ascii="宋体" w:hAnsi="宋体" w:cs="宋体" w:eastAsia="宋体" w:hint="default"/>
                <w:sz w:val="18"/>
                <w:szCs w:val="18"/>
              </w:rPr>
              <w:t>基于金融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 的移动支付信 息化服务平台 与终端项目</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494,500.00</w:t>
            </w:r>
          </w:p>
        </w:tc>
        <w:tc>
          <w:tcPr>
            <w:tcW w:w="862" w:type="dxa"/>
            <w:tcBorders>
              <w:top w:val="single" w:sz="2" w:space="0" w:color="000000"/>
              <w:left w:val="single" w:sz="2" w:space="0" w:color="000000"/>
              <w:bottom w:val="single" w:sz="2" w:space="0" w:color="000000"/>
              <w:right w:val="single" w:sz="2" w:space="0" w:color="000000"/>
            </w:tcBorders>
          </w:tcPr>
          <w:p>
            <w:pPr/>
          </w:p>
        </w:tc>
        <w:tc>
          <w:tcPr>
            <w:tcW w:w="1010" w:type="dxa"/>
            <w:tcBorders>
              <w:top w:val="single" w:sz="2" w:space="0" w:color="000000"/>
              <w:left w:val="single" w:sz="2" w:space="0" w:color="000000"/>
              <w:bottom w:val="single" w:sz="2" w:space="0" w:color="000000"/>
              <w:right w:val="single" w:sz="2" w:space="0" w:color="000000"/>
            </w:tcBorders>
          </w:tcPr>
          <w:p>
            <w:pPr/>
          </w:p>
        </w:tc>
        <w:tc>
          <w:tcPr>
            <w:tcW w:w="10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494,500.00</w:t>
            </w:r>
          </w:p>
        </w:tc>
        <w:tc>
          <w:tcPr>
            <w:tcW w:w="1010" w:type="dxa"/>
            <w:tcBorders>
              <w:top w:val="single" w:sz="2" w:space="0" w:color="000000"/>
              <w:left w:val="single" w:sz="2" w:space="0" w:color="000000"/>
              <w:bottom w:val="single" w:sz="2" w:space="0" w:color="000000"/>
              <w:right w:val="single" w:sz="2" w:space="0" w:color="000000"/>
            </w:tcBorders>
          </w:tcPr>
          <w:p>
            <w:pPr/>
          </w:p>
        </w:tc>
        <w:tc>
          <w:tcPr>
            <w:tcW w:w="1010" w:type="dxa"/>
            <w:tcBorders>
              <w:top w:val="single" w:sz="2" w:space="0" w:color="000000"/>
              <w:left w:val="single" w:sz="2" w:space="0" w:color="000000"/>
              <w:bottom w:val="single" w:sz="2" w:space="0" w:color="000000"/>
              <w:right w:val="single" w:sz="2" w:space="0" w:color="000000"/>
            </w:tcBorders>
          </w:tcPr>
          <w:p>
            <w:pPr/>
          </w:p>
        </w:tc>
        <w:tc>
          <w:tcPr>
            <w:tcW w:w="1248" w:type="dxa"/>
            <w:tcBorders>
              <w:top w:val="single" w:sz="2" w:space="0" w:color="000000"/>
              <w:left w:val="single" w:sz="2" w:space="0" w:color="000000"/>
              <w:bottom w:val="single" w:sz="2" w:space="0" w:color="000000"/>
              <w:right w:val="single" w:sz="2" w:space="0" w:color="000000"/>
            </w:tcBorders>
          </w:tcPr>
          <w:p>
            <w:pPr/>
          </w:p>
        </w:tc>
        <w:tc>
          <w:tcPr>
            <w:tcW w:w="10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60" w:hRule="exact"/>
        </w:trPr>
        <w:tc>
          <w:tcPr>
            <w:tcW w:w="1276"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套金融</w:t>
            </w:r>
          </w:p>
        </w:tc>
        <w:tc>
          <w:tcPr>
            <w:tcW w:w="1134" w:type="dxa"/>
            <w:tcBorders>
              <w:top w:val="single" w:sz="2" w:space="0" w:color="000000"/>
              <w:left w:val="single" w:sz="2" w:space="0" w:color="000000"/>
              <w:bottom w:val="nil" w:sz="6" w:space="0" w:color="auto"/>
              <w:right w:val="single" w:sz="2" w:space="0" w:color="000000"/>
            </w:tcBorders>
          </w:tcPr>
          <w:p>
            <w:pPr/>
          </w:p>
        </w:tc>
        <w:tc>
          <w:tcPr>
            <w:tcW w:w="862" w:type="dxa"/>
            <w:vMerge w:val="restart"/>
            <w:tcBorders>
              <w:top w:val="single" w:sz="2" w:space="0" w:color="000000"/>
              <w:left w:val="single" w:sz="2" w:space="0" w:color="000000"/>
              <w:right w:val="single" w:sz="2" w:space="0" w:color="000000"/>
            </w:tcBorders>
          </w:tcPr>
          <w:p>
            <w:pPr/>
          </w:p>
        </w:tc>
        <w:tc>
          <w:tcPr>
            <w:tcW w:w="1010" w:type="dxa"/>
            <w:vMerge w:val="restart"/>
            <w:tcBorders>
              <w:top w:val="single" w:sz="2" w:space="0" w:color="000000"/>
              <w:left w:val="single" w:sz="2" w:space="0" w:color="000000"/>
              <w:right w:val="single" w:sz="2" w:space="0" w:color="000000"/>
            </w:tcBorders>
          </w:tcPr>
          <w:p>
            <w:pPr/>
          </w:p>
        </w:tc>
        <w:tc>
          <w:tcPr>
            <w:tcW w:w="1009" w:type="dxa"/>
            <w:tcBorders>
              <w:top w:val="single" w:sz="2" w:space="0" w:color="000000"/>
              <w:left w:val="single" w:sz="2" w:space="0" w:color="000000"/>
              <w:bottom w:val="nil" w:sz="6" w:space="0" w:color="auto"/>
              <w:right w:val="single" w:sz="2" w:space="0" w:color="000000"/>
            </w:tcBorders>
          </w:tcPr>
          <w:p>
            <w:pPr/>
          </w:p>
        </w:tc>
        <w:tc>
          <w:tcPr>
            <w:tcW w:w="1010" w:type="dxa"/>
            <w:vMerge w:val="restart"/>
            <w:tcBorders>
              <w:top w:val="single" w:sz="2" w:space="0" w:color="000000"/>
              <w:left w:val="single" w:sz="2" w:space="0" w:color="000000"/>
              <w:right w:val="single" w:sz="2" w:space="0" w:color="000000"/>
            </w:tcBorders>
          </w:tcPr>
          <w:p>
            <w:pPr/>
          </w:p>
        </w:tc>
        <w:tc>
          <w:tcPr>
            <w:tcW w:w="1010" w:type="dxa"/>
            <w:vMerge w:val="restart"/>
            <w:tcBorders>
              <w:top w:val="single" w:sz="2" w:space="0" w:color="000000"/>
              <w:left w:val="single" w:sz="2" w:space="0" w:color="000000"/>
              <w:right w:val="single" w:sz="2" w:space="0" w:color="000000"/>
            </w:tcBorders>
          </w:tcPr>
          <w:p>
            <w:pPr/>
          </w:p>
        </w:tc>
        <w:tc>
          <w:tcPr>
            <w:tcW w:w="1248" w:type="dxa"/>
            <w:tcBorders>
              <w:top w:val="single" w:sz="2" w:space="0" w:color="000000"/>
              <w:left w:val="single" w:sz="2" w:space="0" w:color="000000"/>
              <w:bottom w:val="nil" w:sz="6" w:space="0" w:color="auto"/>
              <w:right w:val="single" w:sz="2" w:space="0" w:color="000000"/>
            </w:tcBorders>
          </w:tcPr>
          <w:p>
            <w:pPr/>
          </w:p>
        </w:tc>
        <w:tc>
          <w:tcPr>
            <w:tcW w:w="1009" w:type="dxa"/>
            <w:tcBorders>
              <w:top w:val="single" w:sz="2" w:space="0" w:color="000000"/>
              <w:left w:val="single" w:sz="2" w:space="0" w:color="000000"/>
              <w:bottom w:val="nil" w:sz="6" w:space="0" w:color="auto"/>
              <w:right w:val="single" w:sz="2" w:space="0" w:color="000000"/>
            </w:tcBorders>
          </w:tcPr>
          <w:p>
            <w:pPr/>
          </w:p>
        </w:tc>
      </w:tr>
      <w:tr>
        <w:trPr>
          <w:trHeight w:val="311" w:hRule="exact"/>
        </w:trPr>
        <w:tc>
          <w:tcPr>
            <w:tcW w:w="1276"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5" w:right="0"/>
              <w:jc w:val="left"/>
              <w:rPr>
                <w:rFonts w:ascii="宋体" w:hAnsi="宋体" w:cs="宋体" w:eastAsia="宋体" w:hint="default"/>
                <w:sz w:val="18"/>
                <w:szCs w:val="18"/>
              </w:rPr>
            </w:pPr>
            <w:r>
              <w:rPr>
                <w:rFonts w:ascii="宋体" w:hAnsi="宋体" w:cs="宋体" w:eastAsia="宋体" w:hint="default"/>
                <w:sz w:val="18"/>
                <w:szCs w:val="18"/>
              </w:rPr>
              <w:t>支付系统及</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w:t>
            </w:r>
          </w:p>
        </w:tc>
        <w:tc>
          <w:tcPr>
            <w:tcW w:w="1134" w:type="dxa"/>
            <w:tcBorders>
              <w:top w:val="nil" w:sz="6" w:space="0" w:color="auto"/>
              <w:left w:val="single" w:sz="2" w:space="0" w:color="000000"/>
              <w:bottom w:val="nil" w:sz="6" w:space="0" w:color="auto"/>
              <w:right w:val="single" w:sz="2" w:space="0" w:color="000000"/>
            </w:tcBorders>
          </w:tcPr>
          <w:p>
            <w:pPr/>
          </w:p>
        </w:tc>
        <w:tc>
          <w:tcPr>
            <w:tcW w:w="862" w:type="dxa"/>
            <w:vMerge/>
            <w:tcBorders>
              <w:left w:val="single" w:sz="2" w:space="0" w:color="000000"/>
              <w:right w:val="single" w:sz="2" w:space="0" w:color="000000"/>
            </w:tcBorders>
          </w:tcPr>
          <w:p>
            <w:pPr/>
          </w:p>
        </w:tc>
        <w:tc>
          <w:tcPr>
            <w:tcW w:w="1010" w:type="dxa"/>
            <w:vMerge/>
            <w:tcBorders>
              <w:left w:val="single" w:sz="2" w:space="0" w:color="000000"/>
              <w:right w:val="single" w:sz="2" w:space="0" w:color="000000"/>
            </w:tcBorders>
          </w:tcPr>
          <w:p>
            <w:pPr/>
          </w:p>
        </w:tc>
        <w:tc>
          <w:tcPr>
            <w:tcW w:w="1009" w:type="dxa"/>
            <w:tcBorders>
              <w:top w:val="nil" w:sz="6" w:space="0" w:color="auto"/>
              <w:left w:val="single" w:sz="2" w:space="0" w:color="000000"/>
              <w:bottom w:val="nil" w:sz="6" w:space="0" w:color="auto"/>
              <w:right w:val="single" w:sz="2" w:space="0" w:color="000000"/>
            </w:tcBorders>
          </w:tcPr>
          <w:p>
            <w:pPr/>
          </w:p>
        </w:tc>
        <w:tc>
          <w:tcPr>
            <w:tcW w:w="1010" w:type="dxa"/>
            <w:vMerge/>
            <w:tcBorders>
              <w:left w:val="single" w:sz="2" w:space="0" w:color="000000"/>
              <w:right w:val="single" w:sz="2" w:space="0" w:color="000000"/>
            </w:tcBorders>
          </w:tcPr>
          <w:p>
            <w:pPr/>
          </w:p>
        </w:tc>
        <w:tc>
          <w:tcPr>
            <w:tcW w:w="1010" w:type="dxa"/>
            <w:vMerge/>
            <w:tcBorders>
              <w:left w:val="single" w:sz="2" w:space="0" w:color="000000"/>
              <w:right w:val="single" w:sz="2" w:space="0" w:color="000000"/>
            </w:tcBorders>
          </w:tcPr>
          <w:p>
            <w:pPr/>
          </w:p>
        </w:tc>
        <w:tc>
          <w:tcPr>
            <w:tcW w:w="1248" w:type="dxa"/>
            <w:tcBorders>
              <w:top w:val="nil" w:sz="6" w:space="0" w:color="auto"/>
              <w:left w:val="single" w:sz="2" w:space="0" w:color="000000"/>
              <w:bottom w:val="nil" w:sz="6" w:space="0" w:color="auto"/>
              <w:right w:val="single" w:sz="2" w:space="0" w:color="000000"/>
            </w:tcBorders>
          </w:tcPr>
          <w:p>
            <w:pPr/>
          </w:p>
        </w:tc>
        <w:tc>
          <w:tcPr>
            <w:tcW w:w="1009" w:type="dxa"/>
            <w:tcBorders>
              <w:top w:val="nil" w:sz="6" w:space="0" w:color="auto"/>
              <w:left w:val="single" w:sz="2" w:space="0" w:color="000000"/>
              <w:bottom w:val="nil" w:sz="6" w:space="0" w:color="auto"/>
              <w:right w:val="single" w:sz="2" w:space="0" w:color="000000"/>
            </w:tcBorders>
          </w:tcPr>
          <w:p>
            <w:pPr/>
          </w:p>
        </w:tc>
      </w:tr>
      <w:tr>
        <w:trPr>
          <w:trHeight w:val="307" w:hRule="exact"/>
        </w:trPr>
        <w:tc>
          <w:tcPr>
            <w:tcW w:w="1276"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5" w:right="0"/>
              <w:jc w:val="left"/>
              <w:rPr>
                <w:rFonts w:ascii="宋体" w:hAnsi="宋体" w:cs="宋体" w:eastAsia="宋体" w:hint="default"/>
                <w:sz w:val="18"/>
                <w:szCs w:val="18"/>
              </w:rPr>
            </w:pPr>
            <w:r>
              <w:rPr>
                <w:rFonts w:ascii="宋体" w:hAnsi="宋体" w:cs="宋体" w:eastAsia="宋体" w:hint="default"/>
                <w:sz w:val="18"/>
                <w:szCs w:val="18"/>
              </w:rPr>
              <w:t>台终端项目</w:t>
            </w:r>
          </w:p>
        </w:tc>
        <w:tc>
          <w:tcPr>
            <w:tcW w:w="1134" w:type="dxa"/>
            <w:tcBorders>
              <w:top w:val="nil" w:sz="6" w:space="0" w:color="auto"/>
              <w:left w:val="single" w:sz="2" w:space="0" w:color="000000"/>
              <w:bottom w:val="nil" w:sz="6" w:space="0" w:color="auto"/>
              <w:right w:val="single" w:sz="2" w:space="0" w:color="000000"/>
            </w:tcBorders>
          </w:tcPr>
          <w:p>
            <w:pPr/>
          </w:p>
        </w:tc>
        <w:tc>
          <w:tcPr>
            <w:tcW w:w="862" w:type="dxa"/>
            <w:vMerge/>
            <w:tcBorders>
              <w:left w:val="single" w:sz="2" w:space="0" w:color="000000"/>
              <w:right w:val="single" w:sz="2" w:space="0" w:color="000000"/>
            </w:tcBorders>
          </w:tcPr>
          <w:p>
            <w:pPr/>
          </w:p>
        </w:tc>
        <w:tc>
          <w:tcPr>
            <w:tcW w:w="1010" w:type="dxa"/>
            <w:vMerge/>
            <w:tcBorders>
              <w:left w:val="single" w:sz="2" w:space="0" w:color="000000"/>
              <w:right w:val="single" w:sz="2" w:space="0" w:color="000000"/>
            </w:tcBorders>
          </w:tcPr>
          <w:p>
            <w:pPr/>
          </w:p>
        </w:tc>
        <w:tc>
          <w:tcPr>
            <w:tcW w:w="1009" w:type="dxa"/>
            <w:tcBorders>
              <w:top w:val="nil" w:sz="6" w:space="0" w:color="auto"/>
              <w:left w:val="single" w:sz="2" w:space="0" w:color="000000"/>
              <w:bottom w:val="nil" w:sz="6" w:space="0" w:color="auto"/>
              <w:right w:val="single" w:sz="2" w:space="0" w:color="000000"/>
            </w:tcBorders>
          </w:tcPr>
          <w:p>
            <w:pPr/>
          </w:p>
        </w:tc>
        <w:tc>
          <w:tcPr>
            <w:tcW w:w="1010" w:type="dxa"/>
            <w:vMerge/>
            <w:tcBorders>
              <w:left w:val="single" w:sz="2" w:space="0" w:color="000000"/>
              <w:right w:val="single" w:sz="2" w:space="0" w:color="000000"/>
            </w:tcBorders>
          </w:tcPr>
          <w:p>
            <w:pPr/>
          </w:p>
        </w:tc>
        <w:tc>
          <w:tcPr>
            <w:tcW w:w="1010" w:type="dxa"/>
            <w:vMerge/>
            <w:tcBorders>
              <w:left w:val="single" w:sz="2" w:space="0" w:color="000000"/>
              <w:right w:val="single" w:sz="2" w:space="0" w:color="000000"/>
            </w:tcBorders>
          </w:tcPr>
          <w:p>
            <w:pPr/>
          </w:p>
        </w:tc>
        <w:tc>
          <w:tcPr>
            <w:tcW w:w="1248" w:type="dxa"/>
            <w:tcBorders>
              <w:top w:val="nil" w:sz="6" w:space="0" w:color="auto"/>
              <w:left w:val="single" w:sz="2" w:space="0" w:color="000000"/>
              <w:bottom w:val="nil" w:sz="6" w:space="0" w:color="auto"/>
              <w:right w:val="single" w:sz="2" w:space="0" w:color="000000"/>
            </w:tcBorders>
          </w:tcPr>
          <w:p>
            <w:pPr/>
          </w:p>
        </w:tc>
        <w:tc>
          <w:tcPr>
            <w:tcW w:w="1009" w:type="dxa"/>
            <w:tcBorders>
              <w:top w:val="nil" w:sz="6" w:space="0" w:color="auto"/>
              <w:left w:val="single" w:sz="2" w:space="0" w:color="000000"/>
              <w:bottom w:val="nil" w:sz="6" w:space="0" w:color="auto"/>
              <w:right w:val="single" w:sz="2" w:space="0" w:color="000000"/>
            </w:tcBorders>
          </w:tcPr>
          <w:p>
            <w:pPr/>
          </w:p>
        </w:tc>
      </w:tr>
      <w:tr>
        <w:trPr>
          <w:trHeight w:val="317" w:hRule="exact"/>
        </w:trPr>
        <w:tc>
          <w:tcPr>
            <w:tcW w:w="1276"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年度郑</w:t>
            </w:r>
          </w:p>
        </w:tc>
        <w:tc>
          <w:tcPr>
            <w:tcW w:w="1134" w:type="dxa"/>
            <w:tcBorders>
              <w:top w:val="nil" w:sz="6" w:space="0" w:color="auto"/>
              <w:left w:val="single" w:sz="2" w:space="0" w:color="000000"/>
              <w:bottom w:val="nil" w:sz="6" w:space="0" w:color="auto"/>
              <w:right w:val="single" w:sz="2" w:space="0" w:color="000000"/>
            </w:tcBorders>
          </w:tcPr>
          <w:p>
            <w:pPr/>
          </w:p>
        </w:tc>
        <w:tc>
          <w:tcPr>
            <w:tcW w:w="862" w:type="dxa"/>
            <w:vMerge/>
            <w:tcBorders>
              <w:left w:val="single" w:sz="2" w:space="0" w:color="000000"/>
              <w:right w:val="single" w:sz="2" w:space="0" w:color="000000"/>
            </w:tcBorders>
          </w:tcPr>
          <w:p>
            <w:pPr/>
          </w:p>
        </w:tc>
        <w:tc>
          <w:tcPr>
            <w:tcW w:w="1010" w:type="dxa"/>
            <w:vMerge/>
            <w:tcBorders>
              <w:left w:val="single" w:sz="2" w:space="0" w:color="000000"/>
              <w:right w:val="single" w:sz="2" w:space="0" w:color="000000"/>
            </w:tcBorders>
          </w:tcPr>
          <w:p>
            <w:pPr/>
          </w:p>
        </w:tc>
        <w:tc>
          <w:tcPr>
            <w:tcW w:w="1009" w:type="dxa"/>
            <w:tcBorders>
              <w:top w:val="nil" w:sz="6" w:space="0" w:color="auto"/>
              <w:left w:val="single" w:sz="2" w:space="0" w:color="000000"/>
              <w:bottom w:val="nil" w:sz="6" w:space="0" w:color="auto"/>
              <w:right w:val="single" w:sz="2" w:space="0" w:color="000000"/>
            </w:tcBorders>
          </w:tcPr>
          <w:p>
            <w:pPr/>
          </w:p>
        </w:tc>
        <w:tc>
          <w:tcPr>
            <w:tcW w:w="1010" w:type="dxa"/>
            <w:vMerge/>
            <w:tcBorders>
              <w:left w:val="single" w:sz="2" w:space="0" w:color="000000"/>
              <w:right w:val="single" w:sz="2" w:space="0" w:color="000000"/>
            </w:tcBorders>
          </w:tcPr>
          <w:p>
            <w:pPr/>
          </w:p>
        </w:tc>
        <w:tc>
          <w:tcPr>
            <w:tcW w:w="1010" w:type="dxa"/>
            <w:vMerge/>
            <w:tcBorders>
              <w:left w:val="single" w:sz="2" w:space="0" w:color="000000"/>
              <w:right w:val="single" w:sz="2" w:space="0" w:color="000000"/>
            </w:tcBorders>
          </w:tcPr>
          <w:p>
            <w:pPr/>
          </w:p>
        </w:tc>
        <w:tc>
          <w:tcPr>
            <w:tcW w:w="1248" w:type="dxa"/>
            <w:tcBorders>
              <w:top w:val="nil" w:sz="6" w:space="0" w:color="auto"/>
              <w:left w:val="single" w:sz="2" w:space="0" w:color="000000"/>
              <w:bottom w:val="nil" w:sz="6" w:space="0" w:color="auto"/>
              <w:right w:val="single" w:sz="2" w:space="0" w:color="000000"/>
            </w:tcBorders>
          </w:tcPr>
          <w:p>
            <w:pPr/>
          </w:p>
        </w:tc>
        <w:tc>
          <w:tcPr>
            <w:tcW w:w="1009" w:type="dxa"/>
            <w:tcBorders>
              <w:top w:val="nil" w:sz="6" w:space="0" w:color="auto"/>
              <w:left w:val="single" w:sz="2" w:space="0" w:color="000000"/>
              <w:bottom w:val="nil" w:sz="6" w:space="0" w:color="auto"/>
              <w:right w:val="single" w:sz="2" w:space="0" w:color="000000"/>
            </w:tcBorders>
          </w:tcPr>
          <w:p>
            <w:pPr/>
          </w:p>
        </w:tc>
      </w:tr>
      <w:tr>
        <w:trPr>
          <w:trHeight w:val="619" w:hRule="exact"/>
        </w:trPr>
        <w:tc>
          <w:tcPr>
            <w:tcW w:w="1276" w:type="dxa"/>
            <w:tcBorders>
              <w:top w:val="nil" w:sz="6" w:space="0" w:color="auto"/>
              <w:left w:val="single" w:sz="2" w:space="0" w:color="000000"/>
              <w:bottom w:val="nil" w:sz="6" w:space="0" w:color="auto"/>
              <w:right w:val="single" w:sz="2" w:space="0" w:color="000000"/>
            </w:tcBorders>
          </w:tcPr>
          <w:p>
            <w:pPr>
              <w:pStyle w:val="TableParagraph"/>
              <w:spacing w:line="316" w:lineRule="auto" w:before="5"/>
              <w:ind w:left="25" w:right="163"/>
              <w:jc w:val="left"/>
              <w:rPr>
                <w:rFonts w:ascii="宋体" w:hAnsi="宋体" w:cs="宋体" w:eastAsia="宋体" w:hint="default"/>
                <w:sz w:val="18"/>
                <w:szCs w:val="18"/>
              </w:rPr>
            </w:pPr>
            <w:r>
              <w:rPr>
                <w:rFonts w:ascii="宋体" w:hAnsi="宋体" w:cs="宋体" w:eastAsia="宋体" w:hint="default"/>
                <w:sz w:val="18"/>
                <w:szCs w:val="18"/>
              </w:rPr>
              <w:t>州市信息化发 展专项资金）</w:t>
            </w:r>
          </w:p>
        </w:tc>
        <w:tc>
          <w:tcPr>
            <w:tcW w:w="1134" w:type="dxa"/>
            <w:tcBorders>
              <w:top w:val="nil" w:sz="6" w:space="0" w:color="auto"/>
              <w:left w:val="single" w:sz="2" w:space="0" w:color="000000"/>
              <w:bottom w:val="nil" w:sz="6" w:space="0" w:color="auto"/>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628,333.33</w:t>
            </w:r>
          </w:p>
        </w:tc>
        <w:tc>
          <w:tcPr>
            <w:tcW w:w="862" w:type="dxa"/>
            <w:vMerge/>
            <w:tcBorders>
              <w:left w:val="single" w:sz="2" w:space="0" w:color="000000"/>
              <w:right w:val="single" w:sz="2" w:space="0" w:color="000000"/>
            </w:tcBorders>
          </w:tcPr>
          <w:p>
            <w:pPr/>
          </w:p>
        </w:tc>
        <w:tc>
          <w:tcPr>
            <w:tcW w:w="1010" w:type="dxa"/>
            <w:vMerge/>
            <w:tcBorders>
              <w:left w:val="single" w:sz="2" w:space="0" w:color="000000"/>
              <w:right w:val="single" w:sz="2" w:space="0" w:color="000000"/>
            </w:tcBorders>
          </w:tcPr>
          <w:p>
            <w:pPr/>
          </w:p>
        </w:tc>
        <w:tc>
          <w:tcPr>
            <w:tcW w:w="1009" w:type="dxa"/>
            <w:tcBorders>
              <w:top w:val="nil" w:sz="6" w:space="0" w:color="auto"/>
              <w:left w:val="single" w:sz="2" w:space="0" w:color="000000"/>
              <w:bottom w:val="nil" w:sz="6" w:space="0" w:color="auto"/>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260,000.00</w:t>
            </w:r>
          </w:p>
        </w:tc>
        <w:tc>
          <w:tcPr>
            <w:tcW w:w="1010" w:type="dxa"/>
            <w:vMerge/>
            <w:tcBorders>
              <w:left w:val="single" w:sz="2" w:space="0" w:color="000000"/>
              <w:right w:val="single" w:sz="2" w:space="0" w:color="000000"/>
            </w:tcBorders>
          </w:tcPr>
          <w:p>
            <w:pPr/>
          </w:p>
        </w:tc>
        <w:tc>
          <w:tcPr>
            <w:tcW w:w="1010" w:type="dxa"/>
            <w:vMerge/>
            <w:tcBorders>
              <w:left w:val="single" w:sz="2" w:space="0" w:color="000000"/>
              <w:right w:val="single" w:sz="2" w:space="0" w:color="000000"/>
            </w:tcBorders>
          </w:tcPr>
          <w:p>
            <w:pPr/>
          </w:p>
        </w:tc>
        <w:tc>
          <w:tcPr>
            <w:tcW w:w="1248" w:type="dxa"/>
            <w:tcBorders>
              <w:top w:val="nil" w:sz="6" w:space="0" w:color="auto"/>
              <w:left w:val="single" w:sz="2" w:space="0" w:color="000000"/>
              <w:bottom w:val="nil" w:sz="6" w:space="0" w:color="auto"/>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368,333.33</w:t>
            </w:r>
          </w:p>
        </w:tc>
        <w:tc>
          <w:tcPr>
            <w:tcW w:w="1009" w:type="dxa"/>
            <w:tcBorders>
              <w:top w:val="nil" w:sz="6" w:space="0" w:color="auto"/>
              <w:left w:val="single" w:sz="2" w:space="0" w:color="000000"/>
              <w:bottom w:val="nil" w:sz="6" w:space="0" w:color="auto"/>
              <w:right w:val="single" w:sz="2"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2" w:hRule="exact"/>
        </w:trPr>
        <w:tc>
          <w:tcPr>
            <w:tcW w:w="1276"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（郑州市信息</w:t>
            </w:r>
          </w:p>
        </w:tc>
        <w:tc>
          <w:tcPr>
            <w:tcW w:w="1134" w:type="dxa"/>
            <w:tcBorders>
              <w:top w:val="nil" w:sz="6" w:space="0" w:color="auto"/>
              <w:left w:val="single" w:sz="2" w:space="0" w:color="000000"/>
              <w:bottom w:val="nil" w:sz="6" w:space="0" w:color="auto"/>
              <w:right w:val="single" w:sz="2" w:space="0" w:color="000000"/>
            </w:tcBorders>
          </w:tcPr>
          <w:p>
            <w:pPr/>
          </w:p>
        </w:tc>
        <w:tc>
          <w:tcPr>
            <w:tcW w:w="862" w:type="dxa"/>
            <w:vMerge/>
            <w:tcBorders>
              <w:left w:val="single" w:sz="2" w:space="0" w:color="000000"/>
              <w:right w:val="single" w:sz="2" w:space="0" w:color="000000"/>
            </w:tcBorders>
          </w:tcPr>
          <w:p>
            <w:pPr/>
          </w:p>
        </w:tc>
        <w:tc>
          <w:tcPr>
            <w:tcW w:w="1010" w:type="dxa"/>
            <w:vMerge/>
            <w:tcBorders>
              <w:left w:val="single" w:sz="2" w:space="0" w:color="000000"/>
              <w:right w:val="single" w:sz="2" w:space="0" w:color="000000"/>
            </w:tcBorders>
          </w:tcPr>
          <w:p>
            <w:pPr/>
          </w:p>
        </w:tc>
        <w:tc>
          <w:tcPr>
            <w:tcW w:w="1009" w:type="dxa"/>
            <w:tcBorders>
              <w:top w:val="nil" w:sz="6" w:space="0" w:color="auto"/>
              <w:left w:val="single" w:sz="2" w:space="0" w:color="000000"/>
              <w:bottom w:val="nil" w:sz="6" w:space="0" w:color="auto"/>
              <w:right w:val="single" w:sz="2" w:space="0" w:color="000000"/>
            </w:tcBorders>
          </w:tcPr>
          <w:p>
            <w:pPr/>
          </w:p>
        </w:tc>
        <w:tc>
          <w:tcPr>
            <w:tcW w:w="1010" w:type="dxa"/>
            <w:vMerge/>
            <w:tcBorders>
              <w:left w:val="single" w:sz="2" w:space="0" w:color="000000"/>
              <w:right w:val="single" w:sz="2" w:space="0" w:color="000000"/>
            </w:tcBorders>
          </w:tcPr>
          <w:p>
            <w:pPr/>
          </w:p>
        </w:tc>
        <w:tc>
          <w:tcPr>
            <w:tcW w:w="1010" w:type="dxa"/>
            <w:vMerge/>
            <w:tcBorders>
              <w:left w:val="single" w:sz="2" w:space="0" w:color="000000"/>
              <w:right w:val="single" w:sz="2" w:space="0" w:color="000000"/>
            </w:tcBorders>
          </w:tcPr>
          <w:p>
            <w:pPr/>
          </w:p>
        </w:tc>
        <w:tc>
          <w:tcPr>
            <w:tcW w:w="1248" w:type="dxa"/>
            <w:tcBorders>
              <w:top w:val="nil" w:sz="6" w:space="0" w:color="auto"/>
              <w:left w:val="single" w:sz="2" w:space="0" w:color="000000"/>
              <w:bottom w:val="nil" w:sz="6" w:space="0" w:color="auto"/>
              <w:right w:val="single" w:sz="2" w:space="0" w:color="000000"/>
            </w:tcBorders>
          </w:tcPr>
          <w:p>
            <w:pPr/>
          </w:p>
        </w:tc>
        <w:tc>
          <w:tcPr>
            <w:tcW w:w="1009"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1276"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化发展专项资</w:t>
            </w:r>
          </w:p>
        </w:tc>
        <w:tc>
          <w:tcPr>
            <w:tcW w:w="1134" w:type="dxa"/>
            <w:tcBorders>
              <w:top w:val="nil" w:sz="6" w:space="0" w:color="auto"/>
              <w:left w:val="single" w:sz="2" w:space="0" w:color="000000"/>
              <w:bottom w:val="nil" w:sz="6" w:space="0" w:color="auto"/>
              <w:right w:val="single" w:sz="2" w:space="0" w:color="000000"/>
            </w:tcBorders>
          </w:tcPr>
          <w:p>
            <w:pPr/>
          </w:p>
        </w:tc>
        <w:tc>
          <w:tcPr>
            <w:tcW w:w="862" w:type="dxa"/>
            <w:vMerge/>
            <w:tcBorders>
              <w:left w:val="single" w:sz="2" w:space="0" w:color="000000"/>
              <w:right w:val="single" w:sz="2" w:space="0" w:color="000000"/>
            </w:tcBorders>
          </w:tcPr>
          <w:p>
            <w:pPr/>
          </w:p>
        </w:tc>
        <w:tc>
          <w:tcPr>
            <w:tcW w:w="1010" w:type="dxa"/>
            <w:vMerge/>
            <w:tcBorders>
              <w:left w:val="single" w:sz="2" w:space="0" w:color="000000"/>
              <w:right w:val="single" w:sz="2" w:space="0" w:color="000000"/>
            </w:tcBorders>
          </w:tcPr>
          <w:p>
            <w:pPr/>
          </w:p>
        </w:tc>
        <w:tc>
          <w:tcPr>
            <w:tcW w:w="1009" w:type="dxa"/>
            <w:tcBorders>
              <w:top w:val="nil" w:sz="6" w:space="0" w:color="auto"/>
              <w:left w:val="single" w:sz="2" w:space="0" w:color="000000"/>
              <w:bottom w:val="nil" w:sz="6" w:space="0" w:color="auto"/>
              <w:right w:val="single" w:sz="2" w:space="0" w:color="000000"/>
            </w:tcBorders>
          </w:tcPr>
          <w:p>
            <w:pPr/>
          </w:p>
        </w:tc>
        <w:tc>
          <w:tcPr>
            <w:tcW w:w="1010" w:type="dxa"/>
            <w:vMerge/>
            <w:tcBorders>
              <w:left w:val="single" w:sz="2" w:space="0" w:color="000000"/>
              <w:right w:val="single" w:sz="2" w:space="0" w:color="000000"/>
            </w:tcBorders>
          </w:tcPr>
          <w:p>
            <w:pPr/>
          </w:p>
        </w:tc>
        <w:tc>
          <w:tcPr>
            <w:tcW w:w="1010" w:type="dxa"/>
            <w:vMerge/>
            <w:tcBorders>
              <w:left w:val="single" w:sz="2" w:space="0" w:color="000000"/>
              <w:right w:val="single" w:sz="2" w:space="0" w:color="000000"/>
            </w:tcBorders>
          </w:tcPr>
          <w:p>
            <w:pPr/>
          </w:p>
        </w:tc>
        <w:tc>
          <w:tcPr>
            <w:tcW w:w="1248" w:type="dxa"/>
            <w:tcBorders>
              <w:top w:val="nil" w:sz="6" w:space="0" w:color="auto"/>
              <w:left w:val="single" w:sz="2" w:space="0" w:color="000000"/>
              <w:bottom w:val="nil" w:sz="6" w:space="0" w:color="auto"/>
              <w:right w:val="single" w:sz="2" w:space="0" w:color="000000"/>
            </w:tcBorders>
          </w:tcPr>
          <w:p>
            <w:pPr/>
          </w:p>
        </w:tc>
        <w:tc>
          <w:tcPr>
            <w:tcW w:w="1009" w:type="dxa"/>
            <w:tcBorders>
              <w:top w:val="nil" w:sz="6" w:space="0" w:color="auto"/>
              <w:left w:val="single" w:sz="2" w:space="0" w:color="000000"/>
              <w:bottom w:val="nil" w:sz="6" w:space="0" w:color="auto"/>
              <w:right w:val="single" w:sz="2" w:space="0" w:color="000000"/>
            </w:tcBorders>
          </w:tcPr>
          <w:p>
            <w:pPr/>
          </w:p>
        </w:tc>
      </w:tr>
      <w:tr>
        <w:trPr>
          <w:trHeight w:val="318" w:hRule="exact"/>
        </w:trPr>
        <w:tc>
          <w:tcPr>
            <w:tcW w:w="1276"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金</w:t>
            </w:r>
            <w:r>
              <w:rPr>
                <w:rFonts w:ascii="Times New Roman" w:hAnsi="Times New Roman" w:cs="Times New Roman" w:eastAsia="Times New Roman" w:hint="default"/>
                <w:sz w:val="18"/>
                <w:szCs w:val="18"/>
              </w:rPr>
              <w:t>"</w:t>
            </w:r>
            <w:r>
              <w:rPr>
                <w:rFonts w:ascii="宋体" w:hAnsi="宋体" w:cs="宋体" w:eastAsia="宋体" w:hint="default"/>
                <w:sz w:val="18"/>
                <w:szCs w:val="18"/>
              </w:rPr>
              <w:t>金融支付系</w:t>
            </w:r>
          </w:p>
        </w:tc>
        <w:tc>
          <w:tcPr>
            <w:tcW w:w="1134" w:type="dxa"/>
            <w:tcBorders>
              <w:top w:val="nil" w:sz="6" w:space="0" w:color="auto"/>
              <w:left w:val="single" w:sz="2" w:space="0" w:color="000000"/>
              <w:bottom w:val="nil" w:sz="6" w:space="0" w:color="auto"/>
              <w:right w:val="single" w:sz="2" w:space="0" w:color="000000"/>
            </w:tcBorders>
          </w:tcPr>
          <w:p>
            <w:pPr/>
          </w:p>
        </w:tc>
        <w:tc>
          <w:tcPr>
            <w:tcW w:w="862" w:type="dxa"/>
            <w:vMerge/>
            <w:tcBorders>
              <w:left w:val="single" w:sz="2" w:space="0" w:color="000000"/>
              <w:right w:val="single" w:sz="2" w:space="0" w:color="000000"/>
            </w:tcBorders>
          </w:tcPr>
          <w:p>
            <w:pPr/>
          </w:p>
        </w:tc>
        <w:tc>
          <w:tcPr>
            <w:tcW w:w="1010" w:type="dxa"/>
            <w:vMerge/>
            <w:tcBorders>
              <w:left w:val="single" w:sz="2" w:space="0" w:color="000000"/>
              <w:right w:val="single" w:sz="2" w:space="0" w:color="000000"/>
            </w:tcBorders>
          </w:tcPr>
          <w:p>
            <w:pPr/>
          </w:p>
        </w:tc>
        <w:tc>
          <w:tcPr>
            <w:tcW w:w="1009" w:type="dxa"/>
            <w:tcBorders>
              <w:top w:val="nil" w:sz="6" w:space="0" w:color="auto"/>
              <w:left w:val="single" w:sz="2" w:space="0" w:color="000000"/>
              <w:bottom w:val="nil" w:sz="6" w:space="0" w:color="auto"/>
              <w:right w:val="single" w:sz="2" w:space="0" w:color="000000"/>
            </w:tcBorders>
          </w:tcPr>
          <w:p>
            <w:pPr/>
          </w:p>
        </w:tc>
        <w:tc>
          <w:tcPr>
            <w:tcW w:w="1010" w:type="dxa"/>
            <w:vMerge/>
            <w:tcBorders>
              <w:left w:val="single" w:sz="2" w:space="0" w:color="000000"/>
              <w:right w:val="single" w:sz="2" w:space="0" w:color="000000"/>
            </w:tcBorders>
          </w:tcPr>
          <w:p>
            <w:pPr/>
          </w:p>
        </w:tc>
        <w:tc>
          <w:tcPr>
            <w:tcW w:w="1010" w:type="dxa"/>
            <w:vMerge/>
            <w:tcBorders>
              <w:left w:val="single" w:sz="2" w:space="0" w:color="000000"/>
              <w:right w:val="single" w:sz="2" w:space="0" w:color="000000"/>
            </w:tcBorders>
          </w:tcPr>
          <w:p>
            <w:pPr/>
          </w:p>
        </w:tc>
        <w:tc>
          <w:tcPr>
            <w:tcW w:w="1248" w:type="dxa"/>
            <w:tcBorders>
              <w:top w:val="nil" w:sz="6" w:space="0" w:color="auto"/>
              <w:left w:val="single" w:sz="2" w:space="0" w:color="000000"/>
              <w:bottom w:val="nil" w:sz="6" w:space="0" w:color="auto"/>
              <w:right w:val="single" w:sz="2" w:space="0" w:color="000000"/>
            </w:tcBorders>
          </w:tcPr>
          <w:p>
            <w:pPr/>
          </w:p>
        </w:tc>
        <w:tc>
          <w:tcPr>
            <w:tcW w:w="1009" w:type="dxa"/>
            <w:tcBorders>
              <w:top w:val="nil" w:sz="6" w:space="0" w:color="auto"/>
              <w:left w:val="single" w:sz="2" w:space="0" w:color="000000"/>
              <w:bottom w:val="nil" w:sz="6" w:space="0" w:color="auto"/>
              <w:right w:val="single" w:sz="2" w:space="0" w:color="000000"/>
            </w:tcBorders>
          </w:tcPr>
          <w:p>
            <w:pPr/>
          </w:p>
        </w:tc>
      </w:tr>
      <w:tr>
        <w:trPr>
          <w:trHeight w:val="348" w:hRule="exact"/>
        </w:trPr>
        <w:tc>
          <w:tcPr>
            <w:tcW w:w="1276"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6"/>
              <w:ind w:left="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统及终端项目</w:t>
            </w:r>
            <w:r>
              <w:rPr>
                <w:rFonts w:ascii="Times New Roman" w:hAnsi="Times New Roman" w:cs="Times New Roman" w:eastAsia="Times New Roman" w:hint="default"/>
                <w:sz w:val="18"/>
                <w:szCs w:val="18"/>
              </w:rPr>
              <w:t>"</w:t>
            </w:r>
          </w:p>
        </w:tc>
        <w:tc>
          <w:tcPr>
            <w:tcW w:w="1134" w:type="dxa"/>
            <w:tcBorders>
              <w:top w:val="nil" w:sz="6" w:space="0" w:color="auto"/>
              <w:left w:val="single" w:sz="2" w:space="0" w:color="000000"/>
              <w:bottom w:val="single" w:sz="2" w:space="0" w:color="000000"/>
              <w:right w:val="single" w:sz="2" w:space="0" w:color="000000"/>
            </w:tcBorders>
          </w:tcPr>
          <w:p>
            <w:pPr/>
          </w:p>
        </w:tc>
        <w:tc>
          <w:tcPr>
            <w:tcW w:w="862" w:type="dxa"/>
            <w:vMerge/>
            <w:tcBorders>
              <w:left w:val="single" w:sz="2" w:space="0" w:color="000000"/>
              <w:bottom w:val="single" w:sz="2" w:space="0" w:color="000000"/>
              <w:right w:val="single" w:sz="2" w:space="0" w:color="000000"/>
            </w:tcBorders>
          </w:tcPr>
          <w:p>
            <w:pPr/>
          </w:p>
        </w:tc>
        <w:tc>
          <w:tcPr>
            <w:tcW w:w="1010" w:type="dxa"/>
            <w:vMerge/>
            <w:tcBorders>
              <w:left w:val="single" w:sz="2" w:space="0" w:color="000000"/>
              <w:bottom w:val="single" w:sz="2" w:space="0" w:color="000000"/>
              <w:right w:val="single" w:sz="2" w:space="0" w:color="000000"/>
            </w:tcBorders>
          </w:tcPr>
          <w:p>
            <w:pPr/>
          </w:p>
        </w:tc>
        <w:tc>
          <w:tcPr>
            <w:tcW w:w="1009" w:type="dxa"/>
            <w:tcBorders>
              <w:top w:val="nil" w:sz="6" w:space="0" w:color="auto"/>
              <w:left w:val="single" w:sz="2" w:space="0" w:color="000000"/>
              <w:bottom w:val="single" w:sz="2" w:space="0" w:color="000000"/>
              <w:right w:val="single" w:sz="2" w:space="0" w:color="000000"/>
            </w:tcBorders>
          </w:tcPr>
          <w:p>
            <w:pPr/>
          </w:p>
        </w:tc>
        <w:tc>
          <w:tcPr>
            <w:tcW w:w="1010" w:type="dxa"/>
            <w:vMerge/>
            <w:tcBorders>
              <w:left w:val="single" w:sz="2" w:space="0" w:color="000000"/>
              <w:bottom w:val="single" w:sz="2" w:space="0" w:color="000000"/>
              <w:right w:val="single" w:sz="2" w:space="0" w:color="000000"/>
            </w:tcBorders>
          </w:tcPr>
          <w:p>
            <w:pPr/>
          </w:p>
        </w:tc>
        <w:tc>
          <w:tcPr>
            <w:tcW w:w="1010" w:type="dxa"/>
            <w:vMerge/>
            <w:tcBorders>
              <w:left w:val="single" w:sz="2" w:space="0" w:color="000000"/>
              <w:bottom w:val="single" w:sz="2" w:space="0" w:color="000000"/>
              <w:right w:val="single" w:sz="2" w:space="0" w:color="000000"/>
            </w:tcBorders>
          </w:tcPr>
          <w:p>
            <w:pPr/>
          </w:p>
        </w:tc>
        <w:tc>
          <w:tcPr>
            <w:tcW w:w="1248" w:type="dxa"/>
            <w:tcBorders>
              <w:top w:val="nil" w:sz="6" w:space="0" w:color="auto"/>
              <w:left w:val="single" w:sz="2" w:space="0" w:color="000000"/>
              <w:bottom w:val="single" w:sz="2" w:space="0" w:color="000000"/>
              <w:right w:val="single" w:sz="2" w:space="0" w:color="000000"/>
            </w:tcBorders>
          </w:tcPr>
          <w:p>
            <w:pPr/>
          </w:p>
        </w:tc>
        <w:tc>
          <w:tcPr>
            <w:tcW w:w="1009" w:type="dxa"/>
            <w:tcBorders>
              <w:top w:val="nil" w:sz="6" w:space="0" w:color="auto"/>
              <w:left w:val="single" w:sz="2" w:space="0" w:color="000000"/>
              <w:bottom w:val="single" w:sz="2" w:space="0" w:color="000000"/>
              <w:right w:val="single" w:sz="2" w:space="0" w:color="000000"/>
            </w:tcBorders>
          </w:tcPr>
          <w:p>
            <w:pPr/>
          </w:p>
        </w:tc>
      </w:tr>
      <w:tr>
        <w:trPr>
          <w:trHeight w:val="361" w:hRule="exact"/>
        </w:trPr>
        <w:tc>
          <w:tcPr>
            <w:tcW w:w="1276"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基于金融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p>
        </w:tc>
        <w:tc>
          <w:tcPr>
            <w:tcW w:w="1134" w:type="dxa"/>
            <w:tcBorders>
              <w:top w:val="single" w:sz="2" w:space="0" w:color="000000"/>
              <w:left w:val="single" w:sz="2" w:space="0" w:color="000000"/>
              <w:bottom w:val="nil" w:sz="6" w:space="0" w:color="auto"/>
              <w:right w:val="single" w:sz="2" w:space="0" w:color="000000"/>
            </w:tcBorders>
          </w:tcPr>
          <w:p>
            <w:pPr/>
          </w:p>
        </w:tc>
        <w:tc>
          <w:tcPr>
            <w:tcW w:w="862" w:type="dxa"/>
            <w:vMerge w:val="restart"/>
            <w:tcBorders>
              <w:top w:val="single" w:sz="2" w:space="0" w:color="000000"/>
              <w:left w:val="single" w:sz="2" w:space="0" w:color="000000"/>
              <w:right w:val="single" w:sz="2" w:space="0" w:color="000000"/>
            </w:tcBorders>
          </w:tcPr>
          <w:p>
            <w:pPr/>
          </w:p>
        </w:tc>
        <w:tc>
          <w:tcPr>
            <w:tcW w:w="1010" w:type="dxa"/>
            <w:vMerge w:val="restart"/>
            <w:tcBorders>
              <w:top w:val="single" w:sz="2" w:space="0" w:color="000000"/>
              <w:left w:val="single" w:sz="2" w:space="0" w:color="000000"/>
              <w:right w:val="single" w:sz="2" w:space="0" w:color="000000"/>
            </w:tcBorders>
          </w:tcPr>
          <w:p>
            <w:pPr/>
          </w:p>
        </w:tc>
        <w:tc>
          <w:tcPr>
            <w:tcW w:w="1009" w:type="dxa"/>
            <w:tcBorders>
              <w:top w:val="single" w:sz="2" w:space="0" w:color="000000"/>
              <w:left w:val="single" w:sz="2" w:space="0" w:color="000000"/>
              <w:bottom w:val="nil" w:sz="6" w:space="0" w:color="auto"/>
              <w:right w:val="single" w:sz="2" w:space="0" w:color="000000"/>
            </w:tcBorders>
          </w:tcPr>
          <w:p>
            <w:pPr/>
          </w:p>
        </w:tc>
        <w:tc>
          <w:tcPr>
            <w:tcW w:w="1010" w:type="dxa"/>
            <w:vMerge w:val="restart"/>
            <w:tcBorders>
              <w:top w:val="single" w:sz="2" w:space="0" w:color="000000"/>
              <w:left w:val="single" w:sz="2" w:space="0" w:color="000000"/>
              <w:right w:val="single" w:sz="2" w:space="0" w:color="000000"/>
            </w:tcBorders>
          </w:tcPr>
          <w:p>
            <w:pPr/>
          </w:p>
        </w:tc>
        <w:tc>
          <w:tcPr>
            <w:tcW w:w="1010" w:type="dxa"/>
            <w:vMerge w:val="restart"/>
            <w:tcBorders>
              <w:top w:val="single" w:sz="2" w:space="0" w:color="000000"/>
              <w:left w:val="single" w:sz="2" w:space="0" w:color="000000"/>
              <w:right w:val="single" w:sz="2" w:space="0" w:color="000000"/>
            </w:tcBorders>
          </w:tcPr>
          <w:p>
            <w:pPr/>
          </w:p>
        </w:tc>
        <w:tc>
          <w:tcPr>
            <w:tcW w:w="1248" w:type="dxa"/>
            <w:tcBorders>
              <w:top w:val="single" w:sz="2" w:space="0" w:color="000000"/>
              <w:left w:val="single" w:sz="2" w:space="0" w:color="000000"/>
              <w:bottom w:val="nil" w:sz="6" w:space="0" w:color="auto"/>
              <w:right w:val="single" w:sz="2" w:space="0" w:color="000000"/>
            </w:tcBorders>
          </w:tcPr>
          <w:p>
            <w:pPr/>
          </w:p>
        </w:tc>
        <w:tc>
          <w:tcPr>
            <w:tcW w:w="1009" w:type="dxa"/>
            <w:tcBorders>
              <w:top w:val="single" w:sz="2" w:space="0" w:color="000000"/>
              <w:left w:val="single" w:sz="2" w:space="0" w:color="000000"/>
              <w:bottom w:val="nil" w:sz="6" w:space="0" w:color="auto"/>
              <w:right w:val="single" w:sz="2" w:space="0" w:color="000000"/>
            </w:tcBorders>
          </w:tcPr>
          <w:p>
            <w:pPr/>
          </w:p>
        </w:tc>
      </w:tr>
      <w:tr>
        <w:trPr>
          <w:trHeight w:val="306" w:hRule="exact"/>
        </w:trPr>
        <w:tc>
          <w:tcPr>
            <w:tcW w:w="1276"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5" w:right="0"/>
              <w:jc w:val="left"/>
              <w:rPr>
                <w:rFonts w:ascii="宋体" w:hAnsi="宋体" w:cs="宋体" w:eastAsia="宋体" w:hint="default"/>
                <w:sz w:val="18"/>
                <w:szCs w:val="18"/>
              </w:rPr>
            </w:pPr>
            <w:r>
              <w:rPr>
                <w:rFonts w:ascii="宋体" w:hAnsi="宋体" w:cs="宋体" w:eastAsia="宋体" w:hint="default"/>
                <w:sz w:val="18"/>
                <w:szCs w:val="18"/>
              </w:rPr>
              <w:t>智能终端产业</w:t>
            </w:r>
          </w:p>
        </w:tc>
        <w:tc>
          <w:tcPr>
            <w:tcW w:w="1134" w:type="dxa"/>
            <w:tcBorders>
              <w:top w:val="nil" w:sz="6" w:space="0" w:color="auto"/>
              <w:left w:val="single" w:sz="2" w:space="0" w:color="000000"/>
              <w:bottom w:val="nil" w:sz="6" w:space="0" w:color="auto"/>
              <w:right w:val="single" w:sz="2" w:space="0" w:color="000000"/>
            </w:tcBorders>
          </w:tcPr>
          <w:p>
            <w:pPr/>
          </w:p>
        </w:tc>
        <w:tc>
          <w:tcPr>
            <w:tcW w:w="862" w:type="dxa"/>
            <w:vMerge/>
            <w:tcBorders>
              <w:left w:val="single" w:sz="2" w:space="0" w:color="000000"/>
              <w:right w:val="single" w:sz="2" w:space="0" w:color="000000"/>
            </w:tcBorders>
          </w:tcPr>
          <w:p>
            <w:pPr/>
          </w:p>
        </w:tc>
        <w:tc>
          <w:tcPr>
            <w:tcW w:w="1010" w:type="dxa"/>
            <w:vMerge/>
            <w:tcBorders>
              <w:left w:val="single" w:sz="2" w:space="0" w:color="000000"/>
              <w:right w:val="single" w:sz="2" w:space="0" w:color="000000"/>
            </w:tcBorders>
          </w:tcPr>
          <w:p>
            <w:pPr/>
          </w:p>
        </w:tc>
        <w:tc>
          <w:tcPr>
            <w:tcW w:w="1009" w:type="dxa"/>
            <w:tcBorders>
              <w:top w:val="nil" w:sz="6" w:space="0" w:color="auto"/>
              <w:left w:val="single" w:sz="2" w:space="0" w:color="000000"/>
              <w:bottom w:val="nil" w:sz="6" w:space="0" w:color="auto"/>
              <w:right w:val="single" w:sz="2" w:space="0" w:color="000000"/>
            </w:tcBorders>
          </w:tcPr>
          <w:p>
            <w:pPr/>
          </w:p>
        </w:tc>
        <w:tc>
          <w:tcPr>
            <w:tcW w:w="1010" w:type="dxa"/>
            <w:vMerge/>
            <w:tcBorders>
              <w:left w:val="single" w:sz="2" w:space="0" w:color="000000"/>
              <w:right w:val="single" w:sz="2" w:space="0" w:color="000000"/>
            </w:tcBorders>
          </w:tcPr>
          <w:p>
            <w:pPr/>
          </w:p>
        </w:tc>
        <w:tc>
          <w:tcPr>
            <w:tcW w:w="1010" w:type="dxa"/>
            <w:vMerge/>
            <w:tcBorders>
              <w:left w:val="single" w:sz="2" w:space="0" w:color="000000"/>
              <w:right w:val="single" w:sz="2" w:space="0" w:color="000000"/>
            </w:tcBorders>
          </w:tcPr>
          <w:p>
            <w:pPr/>
          </w:p>
        </w:tc>
        <w:tc>
          <w:tcPr>
            <w:tcW w:w="1248" w:type="dxa"/>
            <w:tcBorders>
              <w:top w:val="nil" w:sz="6" w:space="0" w:color="auto"/>
              <w:left w:val="single" w:sz="2" w:space="0" w:color="000000"/>
              <w:bottom w:val="nil" w:sz="6" w:space="0" w:color="auto"/>
              <w:right w:val="single" w:sz="2" w:space="0" w:color="000000"/>
            </w:tcBorders>
          </w:tcPr>
          <w:p>
            <w:pPr/>
          </w:p>
        </w:tc>
        <w:tc>
          <w:tcPr>
            <w:tcW w:w="1009" w:type="dxa"/>
            <w:tcBorders>
              <w:top w:val="nil" w:sz="6" w:space="0" w:color="auto"/>
              <w:left w:val="single" w:sz="2" w:space="0" w:color="000000"/>
              <w:bottom w:val="nil" w:sz="6" w:space="0" w:color="auto"/>
              <w:right w:val="single" w:sz="2" w:space="0" w:color="000000"/>
            </w:tcBorders>
          </w:tcPr>
          <w:p>
            <w:pPr/>
          </w:p>
        </w:tc>
      </w:tr>
      <w:tr>
        <w:trPr>
          <w:trHeight w:val="624" w:hRule="exact"/>
        </w:trPr>
        <w:tc>
          <w:tcPr>
            <w:tcW w:w="1276" w:type="dxa"/>
            <w:tcBorders>
              <w:top w:val="nil" w:sz="6" w:space="0" w:color="auto"/>
              <w:left w:val="single" w:sz="2" w:space="0" w:color="000000"/>
              <w:bottom w:val="nil" w:sz="6" w:space="0" w:color="auto"/>
              <w:right w:val="single" w:sz="2" w:space="0" w:color="000000"/>
            </w:tcBorders>
          </w:tcPr>
          <w:p>
            <w:pPr>
              <w:pStyle w:val="TableParagraph"/>
              <w:spacing w:line="300" w:lineRule="auto" w:before="10"/>
              <w:ind w:left="25" w:right="163"/>
              <w:jc w:val="left"/>
              <w:rPr>
                <w:rFonts w:ascii="宋体" w:hAnsi="宋体" w:cs="宋体" w:eastAsia="宋体" w:hint="default"/>
                <w:sz w:val="18"/>
                <w:szCs w:val="18"/>
              </w:rPr>
            </w:pPr>
            <w:r>
              <w:rPr>
                <w:rFonts w:ascii="宋体" w:hAnsi="宋体" w:cs="宋体" w:eastAsia="宋体" w:hint="default"/>
                <w:sz w:val="18"/>
                <w:szCs w:val="18"/>
              </w:rPr>
              <w:t>化项目（</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年省先进制造</w:t>
            </w:r>
          </w:p>
        </w:tc>
        <w:tc>
          <w:tcPr>
            <w:tcW w:w="1134" w:type="dxa"/>
            <w:tcBorders>
              <w:top w:val="nil" w:sz="6" w:space="0" w:color="auto"/>
              <w:left w:val="single" w:sz="2" w:space="0" w:color="000000"/>
              <w:bottom w:val="nil" w:sz="6" w:space="0" w:color="auto"/>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2,975,000.00</w:t>
            </w:r>
          </w:p>
        </w:tc>
        <w:tc>
          <w:tcPr>
            <w:tcW w:w="862" w:type="dxa"/>
            <w:vMerge/>
            <w:tcBorders>
              <w:left w:val="single" w:sz="2" w:space="0" w:color="000000"/>
              <w:right w:val="single" w:sz="2" w:space="0" w:color="000000"/>
            </w:tcBorders>
          </w:tcPr>
          <w:p>
            <w:pPr/>
          </w:p>
        </w:tc>
        <w:tc>
          <w:tcPr>
            <w:tcW w:w="1010" w:type="dxa"/>
            <w:vMerge/>
            <w:tcBorders>
              <w:left w:val="single" w:sz="2" w:space="0" w:color="000000"/>
              <w:right w:val="single" w:sz="2" w:space="0" w:color="000000"/>
            </w:tcBorders>
          </w:tcPr>
          <w:p>
            <w:pPr/>
          </w:p>
        </w:tc>
        <w:tc>
          <w:tcPr>
            <w:tcW w:w="1009" w:type="dxa"/>
            <w:tcBorders>
              <w:top w:val="nil" w:sz="6" w:space="0" w:color="auto"/>
              <w:left w:val="single" w:sz="2" w:space="0" w:color="000000"/>
              <w:bottom w:val="nil" w:sz="6" w:space="0" w:color="auto"/>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446,250.00</w:t>
            </w:r>
          </w:p>
        </w:tc>
        <w:tc>
          <w:tcPr>
            <w:tcW w:w="1010" w:type="dxa"/>
            <w:vMerge/>
            <w:tcBorders>
              <w:left w:val="single" w:sz="2" w:space="0" w:color="000000"/>
              <w:right w:val="single" w:sz="2" w:space="0" w:color="000000"/>
            </w:tcBorders>
          </w:tcPr>
          <w:p>
            <w:pPr/>
          </w:p>
        </w:tc>
        <w:tc>
          <w:tcPr>
            <w:tcW w:w="1010" w:type="dxa"/>
            <w:vMerge/>
            <w:tcBorders>
              <w:left w:val="single" w:sz="2" w:space="0" w:color="000000"/>
              <w:right w:val="single" w:sz="2" w:space="0" w:color="000000"/>
            </w:tcBorders>
          </w:tcPr>
          <w:p>
            <w:pPr/>
          </w:p>
        </w:tc>
        <w:tc>
          <w:tcPr>
            <w:tcW w:w="1248" w:type="dxa"/>
            <w:tcBorders>
              <w:top w:val="nil" w:sz="6" w:space="0" w:color="auto"/>
              <w:left w:val="single" w:sz="2" w:space="0" w:color="000000"/>
              <w:bottom w:val="nil" w:sz="6" w:space="0" w:color="auto"/>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2,528,750.00</w:t>
            </w:r>
          </w:p>
        </w:tc>
        <w:tc>
          <w:tcPr>
            <w:tcW w:w="1009" w:type="dxa"/>
            <w:tcBorders>
              <w:top w:val="nil" w:sz="6" w:space="0" w:color="auto"/>
              <w:left w:val="single" w:sz="2" w:space="0" w:color="000000"/>
              <w:bottom w:val="nil" w:sz="6" w:space="0" w:color="auto"/>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3" w:hRule="exact"/>
        </w:trPr>
        <w:tc>
          <w:tcPr>
            <w:tcW w:w="1276"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业专项引导资</w:t>
            </w:r>
          </w:p>
        </w:tc>
        <w:tc>
          <w:tcPr>
            <w:tcW w:w="1134" w:type="dxa"/>
            <w:tcBorders>
              <w:top w:val="nil" w:sz="6" w:space="0" w:color="auto"/>
              <w:left w:val="single" w:sz="2" w:space="0" w:color="000000"/>
              <w:bottom w:val="nil" w:sz="6" w:space="0" w:color="auto"/>
              <w:right w:val="single" w:sz="2" w:space="0" w:color="000000"/>
            </w:tcBorders>
          </w:tcPr>
          <w:p>
            <w:pPr/>
          </w:p>
        </w:tc>
        <w:tc>
          <w:tcPr>
            <w:tcW w:w="862" w:type="dxa"/>
            <w:vMerge/>
            <w:tcBorders>
              <w:left w:val="single" w:sz="2" w:space="0" w:color="000000"/>
              <w:right w:val="single" w:sz="2" w:space="0" w:color="000000"/>
            </w:tcBorders>
          </w:tcPr>
          <w:p>
            <w:pPr/>
          </w:p>
        </w:tc>
        <w:tc>
          <w:tcPr>
            <w:tcW w:w="1010" w:type="dxa"/>
            <w:vMerge/>
            <w:tcBorders>
              <w:left w:val="single" w:sz="2" w:space="0" w:color="000000"/>
              <w:right w:val="single" w:sz="2" w:space="0" w:color="000000"/>
            </w:tcBorders>
          </w:tcPr>
          <w:p>
            <w:pPr/>
          </w:p>
        </w:tc>
        <w:tc>
          <w:tcPr>
            <w:tcW w:w="1009" w:type="dxa"/>
            <w:tcBorders>
              <w:top w:val="nil" w:sz="6" w:space="0" w:color="auto"/>
              <w:left w:val="single" w:sz="2" w:space="0" w:color="000000"/>
              <w:bottom w:val="nil" w:sz="6" w:space="0" w:color="auto"/>
              <w:right w:val="single" w:sz="2" w:space="0" w:color="000000"/>
            </w:tcBorders>
          </w:tcPr>
          <w:p>
            <w:pPr/>
          </w:p>
        </w:tc>
        <w:tc>
          <w:tcPr>
            <w:tcW w:w="1010" w:type="dxa"/>
            <w:vMerge/>
            <w:tcBorders>
              <w:left w:val="single" w:sz="2" w:space="0" w:color="000000"/>
              <w:right w:val="single" w:sz="2" w:space="0" w:color="000000"/>
            </w:tcBorders>
          </w:tcPr>
          <w:p>
            <w:pPr/>
          </w:p>
        </w:tc>
        <w:tc>
          <w:tcPr>
            <w:tcW w:w="1010" w:type="dxa"/>
            <w:vMerge/>
            <w:tcBorders>
              <w:left w:val="single" w:sz="2" w:space="0" w:color="000000"/>
              <w:right w:val="single" w:sz="2" w:space="0" w:color="000000"/>
            </w:tcBorders>
          </w:tcPr>
          <w:p>
            <w:pPr/>
          </w:p>
        </w:tc>
        <w:tc>
          <w:tcPr>
            <w:tcW w:w="1248" w:type="dxa"/>
            <w:tcBorders>
              <w:top w:val="nil" w:sz="6" w:space="0" w:color="auto"/>
              <w:left w:val="single" w:sz="2" w:space="0" w:color="000000"/>
              <w:bottom w:val="nil" w:sz="6" w:space="0" w:color="auto"/>
              <w:right w:val="single" w:sz="2" w:space="0" w:color="000000"/>
            </w:tcBorders>
          </w:tcPr>
          <w:p>
            <w:pPr/>
          </w:p>
        </w:tc>
        <w:tc>
          <w:tcPr>
            <w:tcW w:w="1009" w:type="dxa"/>
            <w:tcBorders>
              <w:top w:val="nil" w:sz="6" w:space="0" w:color="auto"/>
              <w:left w:val="single" w:sz="2" w:space="0" w:color="000000"/>
              <w:bottom w:val="nil" w:sz="6" w:space="0" w:color="auto"/>
              <w:right w:val="single" w:sz="2" w:space="0" w:color="000000"/>
            </w:tcBorders>
          </w:tcPr>
          <w:p>
            <w:pPr/>
          </w:p>
        </w:tc>
      </w:tr>
      <w:tr>
        <w:trPr>
          <w:trHeight w:val="353" w:hRule="exact"/>
        </w:trPr>
        <w:tc>
          <w:tcPr>
            <w:tcW w:w="1276"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134" w:type="dxa"/>
            <w:tcBorders>
              <w:top w:val="nil" w:sz="6" w:space="0" w:color="auto"/>
              <w:left w:val="single" w:sz="2" w:space="0" w:color="000000"/>
              <w:bottom w:val="single" w:sz="2" w:space="0" w:color="000000"/>
              <w:right w:val="single" w:sz="2" w:space="0" w:color="000000"/>
            </w:tcBorders>
          </w:tcPr>
          <w:p>
            <w:pPr/>
          </w:p>
        </w:tc>
        <w:tc>
          <w:tcPr>
            <w:tcW w:w="862" w:type="dxa"/>
            <w:vMerge/>
            <w:tcBorders>
              <w:left w:val="single" w:sz="2" w:space="0" w:color="000000"/>
              <w:bottom w:val="single" w:sz="2" w:space="0" w:color="000000"/>
              <w:right w:val="single" w:sz="2" w:space="0" w:color="000000"/>
            </w:tcBorders>
          </w:tcPr>
          <w:p>
            <w:pPr/>
          </w:p>
        </w:tc>
        <w:tc>
          <w:tcPr>
            <w:tcW w:w="1010" w:type="dxa"/>
            <w:vMerge/>
            <w:tcBorders>
              <w:left w:val="single" w:sz="2" w:space="0" w:color="000000"/>
              <w:bottom w:val="single" w:sz="2" w:space="0" w:color="000000"/>
              <w:right w:val="single" w:sz="2" w:space="0" w:color="000000"/>
            </w:tcBorders>
          </w:tcPr>
          <w:p>
            <w:pPr/>
          </w:p>
        </w:tc>
        <w:tc>
          <w:tcPr>
            <w:tcW w:w="1009" w:type="dxa"/>
            <w:tcBorders>
              <w:top w:val="nil" w:sz="6" w:space="0" w:color="auto"/>
              <w:left w:val="single" w:sz="2" w:space="0" w:color="000000"/>
              <w:bottom w:val="single" w:sz="2" w:space="0" w:color="000000"/>
              <w:right w:val="single" w:sz="2" w:space="0" w:color="000000"/>
            </w:tcBorders>
          </w:tcPr>
          <w:p>
            <w:pPr/>
          </w:p>
        </w:tc>
        <w:tc>
          <w:tcPr>
            <w:tcW w:w="1010" w:type="dxa"/>
            <w:vMerge/>
            <w:tcBorders>
              <w:left w:val="single" w:sz="2" w:space="0" w:color="000000"/>
              <w:bottom w:val="single" w:sz="2" w:space="0" w:color="000000"/>
              <w:right w:val="single" w:sz="2" w:space="0" w:color="000000"/>
            </w:tcBorders>
          </w:tcPr>
          <w:p>
            <w:pPr/>
          </w:p>
        </w:tc>
        <w:tc>
          <w:tcPr>
            <w:tcW w:w="1010" w:type="dxa"/>
            <w:vMerge/>
            <w:tcBorders>
              <w:left w:val="single" w:sz="2" w:space="0" w:color="000000"/>
              <w:bottom w:val="single" w:sz="2" w:space="0" w:color="000000"/>
              <w:right w:val="single" w:sz="2" w:space="0" w:color="000000"/>
            </w:tcBorders>
          </w:tcPr>
          <w:p>
            <w:pPr/>
          </w:p>
        </w:tc>
        <w:tc>
          <w:tcPr>
            <w:tcW w:w="1248" w:type="dxa"/>
            <w:tcBorders>
              <w:top w:val="nil" w:sz="6" w:space="0" w:color="auto"/>
              <w:left w:val="single" w:sz="2" w:space="0" w:color="000000"/>
              <w:bottom w:val="single" w:sz="2" w:space="0" w:color="000000"/>
              <w:right w:val="single" w:sz="2" w:space="0" w:color="000000"/>
            </w:tcBorders>
          </w:tcPr>
          <w:p>
            <w:pPr/>
          </w:p>
        </w:tc>
        <w:tc>
          <w:tcPr>
            <w:tcW w:w="1009" w:type="dxa"/>
            <w:tcBorders>
              <w:top w:val="nil" w:sz="6" w:space="0" w:color="auto"/>
              <w:left w:val="single" w:sz="2" w:space="0" w:color="000000"/>
              <w:bottom w:val="single" w:sz="2" w:space="0" w:color="000000"/>
              <w:right w:val="single" w:sz="2" w:space="0" w:color="000000"/>
            </w:tcBorders>
          </w:tcPr>
          <w:p>
            <w:pPr/>
          </w:p>
        </w:tc>
      </w:tr>
      <w:tr>
        <w:trPr>
          <w:trHeight w:val="355" w:hRule="exact"/>
        </w:trPr>
        <w:tc>
          <w:tcPr>
            <w:tcW w:w="1276"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重大科技专项</w:t>
            </w:r>
          </w:p>
        </w:tc>
        <w:tc>
          <w:tcPr>
            <w:tcW w:w="1134" w:type="dxa"/>
            <w:tcBorders>
              <w:top w:val="single" w:sz="2" w:space="0" w:color="000000"/>
              <w:left w:val="single" w:sz="2" w:space="0" w:color="000000"/>
              <w:bottom w:val="nil" w:sz="6" w:space="0" w:color="auto"/>
              <w:right w:val="single" w:sz="2" w:space="0" w:color="000000"/>
            </w:tcBorders>
          </w:tcPr>
          <w:p>
            <w:pPr/>
          </w:p>
        </w:tc>
        <w:tc>
          <w:tcPr>
            <w:tcW w:w="862" w:type="dxa"/>
            <w:vMerge w:val="restart"/>
            <w:tcBorders>
              <w:top w:val="single" w:sz="2" w:space="0" w:color="000000"/>
              <w:left w:val="single" w:sz="2" w:space="0" w:color="000000"/>
              <w:right w:val="single" w:sz="2" w:space="0" w:color="000000"/>
            </w:tcBorders>
          </w:tcPr>
          <w:p>
            <w:pPr/>
          </w:p>
        </w:tc>
        <w:tc>
          <w:tcPr>
            <w:tcW w:w="1010" w:type="dxa"/>
            <w:vMerge w:val="restart"/>
            <w:tcBorders>
              <w:top w:val="single" w:sz="2" w:space="0" w:color="000000"/>
              <w:left w:val="single" w:sz="2" w:space="0" w:color="000000"/>
              <w:right w:val="single" w:sz="2" w:space="0" w:color="000000"/>
            </w:tcBorders>
          </w:tcPr>
          <w:p>
            <w:pPr/>
          </w:p>
        </w:tc>
        <w:tc>
          <w:tcPr>
            <w:tcW w:w="1009" w:type="dxa"/>
            <w:tcBorders>
              <w:top w:val="single" w:sz="2" w:space="0" w:color="000000"/>
              <w:left w:val="single" w:sz="2" w:space="0" w:color="000000"/>
              <w:bottom w:val="nil" w:sz="6" w:space="0" w:color="auto"/>
              <w:right w:val="single" w:sz="2" w:space="0" w:color="000000"/>
            </w:tcBorders>
          </w:tcPr>
          <w:p>
            <w:pPr/>
          </w:p>
        </w:tc>
        <w:tc>
          <w:tcPr>
            <w:tcW w:w="1010" w:type="dxa"/>
            <w:vMerge w:val="restart"/>
            <w:tcBorders>
              <w:top w:val="single" w:sz="2" w:space="0" w:color="000000"/>
              <w:left w:val="single" w:sz="2" w:space="0" w:color="000000"/>
              <w:right w:val="single" w:sz="2" w:space="0" w:color="000000"/>
            </w:tcBorders>
          </w:tcPr>
          <w:p>
            <w:pPr/>
          </w:p>
        </w:tc>
        <w:tc>
          <w:tcPr>
            <w:tcW w:w="1010" w:type="dxa"/>
            <w:vMerge w:val="restart"/>
            <w:tcBorders>
              <w:top w:val="single" w:sz="2" w:space="0" w:color="000000"/>
              <w:left w:val="single" w:sz="2" w:space="0" w:color="000000"/>
              <w:right w:val="single" w:sz="2" w:space="0" w:color="000000"/>
            </w:tcBorders>
          </w:tcPr>
          <w:p>
            <w:pPr/>
          </w:p>
        </w:tc>
        <w:tc>
          <w:tcPr>
            <w:tcW w:w="1248" w:type="dxa"/>
            <w:tcBorders>
              <w:top w:val="single" w:sz="2" w:space="0" w:color="000000"/>
              <w:left w:val="single" w:sz="2" w:space="0" w:color="000000"/>
              <w:bottom w:val="nil" w:sz="6" w:space="0" w:color="auto"/>
              <w:right w:val="single" w:sz="2" w:space="0" w:color="000000"/>
            </w:tcBorders>
          </w:tcPr>
          <w:p>
            <w:pPr/>
          </w:p>
        </w:tc>
        <w:tc>
          <w:tcPr>
            <w:tcW w:w="1009" w:type="dxa"/>
            <w:tcBorders>
              <w:top w:val="single" w:sz="2" w:space="0" w:color="000000"/>
              <w:left w:val="single" w:sz="2" w:space="0" w:color="000000"/>
              <w:bottom w:val="nil" w:sz="6" w:space="0" w:color="auto"/>
              <w:right w:val="single" w:sz="2" w:space="0" w:color="000000"/>
            </w:tcBorders>
          </w:tcPr>
          <w:p>
            <w:pPr/>
          </w:p>
        </w:tc>
      </w:tr>
      <w:tr>
        <w:trPr>
          <w:trHeight w:val="316" w:hRule="exact"/>
        </w:trPr>
        <w:tc>
          <w:tcPr>
            <w:tcW w:w="1276"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基于电信运营</w:t>
            </w:r>
          </w:p>
        </w:tc>
        <w:tc>
          <w:tcPr>
            <w:tcW w:w="1134" w:type="dxa"/>
            <w:tcBorders>
              <w:top w:val="nil" w:sz="6" w:space="0" w:color="auto"/>
              <w:left w:val="single" w:sz="2" w:space="0" w:color="000000"/>
              <w:bottom w:val="nil" w:sz="6" w:space="0" w:color="auto"/>
              <w:right w:val="single" w:sz="2"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862" w:type="dxa"/>
            <w:vMerge/>
            <w:tcBorders>
              <w:left w:val="single" w:sz="2" w:space="0" w:color="000000"/>
              <w:right w:val="single" w:sz="2" w:space="0" w:color="000000"/>
            </w:tcBorders>
          </w:tcPr>
          <w:p>
            <w:pPr/>
          </w:p>
        </w:tc>
        <w:tc>
          <w:tcPr>
            <w:tcW w:w="1010" w:type="dxa"/>
            <w:vMerge/>
            <w:tcBorders>
              <w:left w:val="single" w:sz="2" w:space="0" w:color="000000"/>
              <w:right w:val="single" w:sz="2" w:space="0" w:color="000000"/>
            </w:tcBorders>
          </w:tcPr>
          <w:p>
            <w:pPr/>
          </w:p>
        </w:tc>
        <w:tc>
          <w:tcPr>
            <w:tcW w:w="1009" w:type="dxa"/>
            <w:tcBorders>
              <w:top w:val="nil" w:sz="6" w:space="0" w:color="auto"/>
              <w:left w:val="single" w:sz="2" w:space="0" w:color="000000"/>
              <w:bottom w:val="nil" w:sz="6" w:space="0" w:color="auto"/>
              <w:right w:val="single" w:sz="2"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150,000.00</w:t>
            </w:r>
          </w:p>
        </w:tc>
        <w:tc>
          <w:tcPr>
            <w:tcW w:w="1010" w:type="dxa"/>
            <w:vMerge/>
            <w:tcBorders>
              <w:left w:val="single" w:sz="2" w:space="0" w:color="000000"/>
              <w:right w:val="single" w:sz="2" w:space="0" w:color="000000"/>
            </w:tcBorders>
          </w:tcPr>
          <w:p>
            <w:pPr/>
          </w:p>
        </w:tc>
        <w:tc>
          <w:tcPr>
            <w:tcW w:w="1010" w:type="dxa"/>
            <w:vMerge/>
            <w:tcBorders>
              <w:left w:val="single" w:sz="2" w:space="0" w:color="000000"/>
              <w:right w:val="single" w:sz="2" w:space="0" w:color="000000"/>
            </w:tcBorders>
          </w:tcPr>
          <w:p>
            <w:pPr/>
          </w:p>
        </w:tc>
        <w:tc>
          <w:tcPr>
            <w:tcW w:w="1248" w:type="dxa"/>
            <w:tcBorders>
              <w:top w:val="nil" w:sz="6" w:space="0" w:color="auto"/>
              <w:left w:val="single" w:sz="2" w:space="0" w:color="000000"/>
              <w:bottom w:val="nil" w:sz="6" w:space="0" w:color="auto"/>
              <w:right w:val="single" w:sz="2"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850,000.00</w:t>
            </w:r>
          </w:p>
        </w:tc>
        <w:tc>
          <w:tcPr>
            <w:tcW w:w="1009"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0" w:hRule="exact"/>
        </w:trPr>
        <w:tc>
          <w:tcPr>
            <w:tcW w:w="1276"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7"/>
              <w:ind w:left="25" w:right="0"/>
              <w:jc w:val="left"/>
              <w:rPr>
                <w:rFonts w:ascii="宋体" w:hAnsi="宋体" w:cs="宋体" w:eastAsia="宋体" w:hint="default"/>
                <w:sz w:val="18"/>
                <w:szCs w:val="18"/>
              </w:rPr>
            </w:pPr>
            <w:r>
              <w:rPr>
                <w:rFonts w:ascii="宋体" w:hAnsi="宋体" w:cs="宋体" w:eastAsia="宋体" w:hint="default"/>
                <w:sz w:val="18"/>
                <w:szCs w:val="18"/>
              </w:rPr>
              <w:t>的小额支付</w:t>
            </w:r>
          </w:p>
        </w:tc>
        <w:tc>
          <w:tcPr>
            <w:tcW w:w="1134" w:type="dxa"/>
            <w:tcBorders>
              <w:top w:val="nil" w:sz="6" w:space="0" w:color="auto"/>
              <w:left w:val="single" w:sz="2" w:space="0" w:color="000000"/>
              <w:bottom w:val="single" w:sz="2" w:space="0" w:color="000000"/>
              <w:right w:val="single" w:sz="2" w:space="0" w:color="000000"/>
            </w:tcBorders>
          </w:tcPr>
          <w:p>
            <w:pPr/>
          </w:p>
        </w:tc>
        <w:tc>
          <w:tcPr>
            <w:tcW w:w="862" w:type="dxa"/>
            <w:vMerge/>
            <w:tcBorders>
              <w:left w:val="single" w:sz="2" w:space="0" w:color="000000"/>
              <w:bottom w:val="single" w:sz="2" w:space="0" w:color="000000"/>
              <w:right w:val="single" w:sz="2" w:space="0" w:color="000000"/>
            </w:tcBorders>
          </w:tcPr>
          <w:p>
            <w:pPr/>
          </w:p>
        </w:tc>
        <w:tc>
          <w:tcPr>
            <w:tcW w:w="1010" w:type="dxa"/>
            <w:vMerge/>
            <w:tcBorders>
              <w:left w:val="single" w:sz="2" w:space="0" w:color="000000"/>
              <w:bottom w:val="single" w:sz="2" w:space="0" w:color="000000"/>
              <w:right w:val="single" w:sz="2" w:space="0" w:color="000000"/>
            </w:tcBorders>
          </w:tcPr>
          <w:p>
            <w:pPr/>
          </w:p>
        </w:tc>
        <w:tc>
          <w:tcPr>
            <w:tcW w:w="1009" w:type="dxa"/>
            <w:tcBorders>
              <w:top w:val="nil" w:sz="6" w:space="0" w:color="auto"/>
              <w:left w:val="single" w:sz="2" w:space="0" w:color="000000"/>
              <w:bottom w:val="single" w:sz="2" w:space="0" w:color="000000"/>
              <w:right w:val="single" w:sz="2" w:space="0" w:color="000000"/>
            </w:tcBorders>
          </w:tcPr>
          <w:p>
            <w:pPr/>
          </w:p>
        </w:tc>
        <w:tc>
          <w:tcPr>
            <w:tcW w:w="1010" w:type="dxa"/>
            <w:vMerge/>
            <w:tcBorders>
              <w:left w:val="single" w:sz="2" w:space="0" w:color="000000"/>
              <w:bottom w:val="single" w:sz="2" w:space="0" w:color="000000"/>
              <w:right w:val="single" w:sz="2" w:space="0" w:color="000000"/>
            </w:tcBorders>
          </w:tcPr>
          <w:p>
            <w:pPr/>
          </w:p>
        </w:tc>
        <w:tc>
          <w:tcPr>
            <w:tcW w:w="1010" w:type="dxa"/>
            <w:vMerge/>
            <w:tcBorders>
              <w:left w:val="single" w:sz="2" w:space="0" w:color="000000"/>
              <w:bottom w:val="single" w:sz="2" w:space="0" w:color="000000"/>
              <w:right w:val="single" w:sz="2" w:space="0" w:color="000000"/>
            </w:tcBorders>
          </w:tcPr>
          <w:p>
            <w:pPr/>
          </w:p>
        </w:tc>
        <w:tc>
          <w:tcPr>
            <w:tcW w:w="1248" w:type="dxa"/>
            <w:tcBorders>
              <w:top w:val="nil" w:sz="6" w:space="0" w:color="auto"/>
              <w:left w:val="single" w:sz="2" w:space="0" w:color="000000"/>
              <w:bottom w:val="single" w:sz="2" w:space="0" w:color="000000"/>
              <w:right w:val="single" w:sz="2" w:space="0" w:color="000000"/>
            </w:tcBorders>
          </w:tcPr>
          <w:p>
            <w:pPr/>
          </w:p>
        </w:tc>
        <w:tc>
          <w:tcPr>
            <w:tcW w:w="1009" w:type="dxa"/>
            <w:tcBorders>
              <w:top w:val="nil" w:sz="6" w:space="0" w:color="auto"/>
              <w:left w:val="single" w:sz="2" w:space="0" w:color="000000"/>
              <w:bottom w:val="single" w:sz="2" w:space="0" w:color="000000"/>
              <w:right w:val="single" w:sz="2" w:space="0" w:color="000000"/>
            </w:tcBorders>
          </w:tcPr>
          <w:p>
            <w:pPr/>
          </w:p>
        </w:tc>
      </w:tr>
      <w:tr>
        <w:trPr>
          <w:trHeight w:val="355" w:hRule="exact"/>
        </w:trPr>
        <w:tc>
          <w:tcPr>
            <w:tcW w:w="1276"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基于物联网应</w:t>
            </w:r>
          </w:p>
        </w:tc>
        <w:tc>
          <w:tcPr>
            <w:tcW w:w="1134" w:type="dxa"/>
            <w:tcBorders>
              <w:top w:val="single" w:sz="2" w:space="0" w:color="000000"/>
              <w:left w:val="single" w:sz="2" w:space="0" w:color="000000"/>
              <w:bottom w:val="nil" w:sz="6" w:space="0" w:color="auto"/>
              <w:right w:val="single" w:sz="2" w:space="0" w:color="000000"/>
            </w:tcBorders>
          </w:tcPr>
          <w:p>
            <w:pPr/>
          </w:p>
        </w:tc>
        <w:tc>
          <w:tcPr>
            <w:tcW w:w="862" w:type="dxa"/>
            <w:vMerge w:val="restart"/>
            <w:tcBorders>
              <w:top w:val="single" w:sz="2" w:space="0" w:color="000000"/>
              <w:left w:val="single" w:sz="2" w:space="0" w:color="000000"/>
              <w:right w:val="single" w:sz="2" w:space="0" w:color="000000"/>
            </w:tcBorders>
          </w:tcPr>
          <w:p>
            <w:pPr/>
          </w:p>
        </w:tc>
        <w:tc>
          <w:tcPr>
            <w:tcW w:w="1010" w:type="dxa"/>
            <w:vMerge w:val="restart"/>
            <w:tcBorders>
              <w:top w:val="single" w:sz="2" w:space="0" w:color="000000"/>
              <w:left w:val="single" w:sz="2" w:space="0" w:color="000000"/>
              <w:right w:val="single" w:sz="2" w:space="0" w:color="000000"/>
            </w:tcBorders>
          </w:tcPr>
          <w:p>
            <w:pPr/>
          </w:p>
        </w:tc>
        <w:tc>
          <w:tcPr>
            <w:tcW w:w="1009" w:type="dxa"/>
            <w:tcBorders>
              <w:top w:val="single" w:sz="2" w:space="0" w:color="000000"/>
              <w:left w:val="single" w:sz="2" w:space="0" w:color="000000"/>
              <w:bottom w:val="nil" w:sz="6" w:space="0" w:color="auto"/>
              <w:right w:val="single" w:sz="2" w:space="0" w:color="000000"/>
            </w:tcBorders>
          </w:tcPr>
          <w:p>
            <w:pPr/>
          </w:p>
        </w:tc>
        <w:tc>
          <w:tcPr>
            <w:tcW w:w="1010" w:type="dxa"/>
            <w:vMerge w:val="restart"/>
            <w:tcBorders>
              <w:top w:val="single" w:sz="2" w:space="0" w:color="000000"/>
              <w:left w:val="single" w:sz="2" w:space="0" w:color="000000"/>
              <w:right w:val="single" w:sz="2" w:space="0" w:color="000000"/>
            </w:tcBorders>
          </w:tcPr>
          <w:p>
            <w:pPr/>
          </w:p>
        </w:tc>
        <w:tc>
          <w:tcPr>
            <w:tcW w:w="1010" w:type="dxa"/>
            <w:vMerge w:val="restart"/>
            <w:tcBorders>
              <w:top w:val="single" w:sz="2" w:space="0" w:color="000000"/>
              <w:left w:val="single" w:sz="2" w:space="0" w:color="000000"/>
              <w:right w:val="single" w:sz="2" w:space="0" w:color="000000"/>
            </w:tcBorders>
          </w:tcPr>
          <w:p>
            <w:pPr/>
          </w:p>
        </w:tc>
        <w:tc>
          <w:tcPr>
            <w:tcW w:w="1248" w:type="dxa"/>
            <w:tcBorders>
              <w:top w:val="single" w:sz="2" w:space="0" w:color="000000"/>
              <w:left w:val="single" w:sz="2" w:space="0" w:color="000000"/>
              <w:bottom w:val="nil" w:sz="6" w:space="0" w:color="auto"/>
              <w:right w:val="single" w:sz="2" w:space="0" w:color="000000"/>
            </w:tcBorders>
          </w:tcPr>
          <w:p>
            <w:pPr/>
          </w:p>
        </w:tc>
        <w:tc>
          <w:tcPr>
            <w:tcW w:w="1009" w:type="dxa"/>
            <w:tcBorders>
              <w:top w:val="single" w:sz="2" w:space="0" w:color="000000"/>
              <w:left w:val="single" w:sz="2" w:space="0" w:color="000000"/>
              <w:bottom w:val="nil" w:sz="6" w:space="0" w:color="auto"/>
              <w:right w:val="single" w:sz="2" w:space="0" w:color="000000"/>
            </w:tcBorders>
          </w:tcPr>
          <w:p>
            <w:pPr/>
          </w:p>
        </w:tc>
      </w:tr>
      <w:tr>
        <w:trPr>
          <w:trHeight w:val="312" w:hRule="exact"/>
        </w:trPr>
        <w:tc>
          <w:tcPr>
            <w:tcW w:w="1276"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用的系列智能</w:t>
            </w:r>
          </w:p>
        </w:tc>
        <w:tc>
          <w:tcPr>
            <w:tcW w:w="1134" w:type="dxa"/>
            <w:tcBorders>
              <w:top w:val="nil" w:sz="6" w:space="0" w:color="auto"/>
              <w:left w:val="single" w:sz="2" w:space="0" w:color="000000"/>
              <w:bottom w:val="nil" w:sz="6" w:space="0" w:color="auto"/>
              <w:right w:val="single" w:sz="2" w:space="0" w:color="000000"/>
            </w:tcBorders>
          </w:tcPr>
          <w:p>
            <w:pPr/>
          </w:p>
        </w:tc>
        <w:tc>
          <w:tcPr>
            <w:tcW w:w="862" w:type="dxa"/>
            <w:vMerge/>
            <w:tcBorders>
              <w:left w:val="single" w:sz="2" w:space="0" w:color="000000"/>
              <w:right w:val="single" w:sz="2" w:space="0" w:color="000000"/>
            </w:tcBorders>
          </w:tcPr>
          <w:p>
            <w:pPr/>
          </w:p>
        </w:tc>
        <w:tc>
          <w:tcPr>
            <w:tcW w:w="1010" w:type="dxa"/>
            <w:vMerge/>
            <w:tcBorders>
              <w:left w:val="single" w:sz="2" w:space="0" w:color="000000"/>
              <w:right w:val="single" w:sz="2" w:space="0" w:color="000000"/>
            </w:tcBorders>
          </w:tcPr>
          <w:p>
            <w:pPr/>
          </w:p>
        </w:tc>
        <w:tc>
          <w:tcPr>
            <w:tcW w:w="1009" w:type="dxa"/>
            <w:tcBorders>
              <w:top w:val="nil" w:sz="6" w:space="0" w:color="auto"/>
              <w:left w:val="single" w:sz="2" w:space="0" w:color="000000"/>
              <w:bottom w:val="nil" w:sz="6" w:space="0" w:color="auto"/>
              <w:right w:val="single" w:sz="2" w:space="0" w:color="000000"/>
            </w:tcBorders>
          </w:tcPr>
          <w:p>
            <w:pPr/>
          </w:p>
        </w:tc>
        <w:tc>
          <w:tcPr>
            <w:tcW w:w="1010" w:type="dxa"/>
            <w:vMerge/>
            <w:tcBorders>
              <w:left w:val="single" w:sz="2" w:space="0" w:color="000000"/>
              <w:right w:val="single" w:sz="2" w:space="0" w:color="000000"/>
            </w:tcBorders>
          </w:tcPr>
          <w:p>
            <w:pPr/>
          </w:p>
        </w:tc>
        <w:tc>
          <w:tcPr>
            <w:tcW w:w="1010" w:type="dxa"/>
            <w:vMerge/>
            <w:tcBorders>
              <w:left w:val="single" w:sz="2" w:space="0" w:color="000000"/>
              <w:right w:val="single" w:sz="2" w:space="0" w:color="000000"/>
            </w:tcBorders>
          </w:tcPr>
          <w:p>
            <w:pPr/>
          </w:p>
        </w:tc>
        <w:tc>
          <w:tcPr>
            <w:tcW w:w="1248" w:type="dxa"/>
            <w:tcBorders>
              <w:top w:val="nil" w:sz="6" w:space="0" w:color="auto"/>
              <w:left w:val="single" w:sz="2" w:space="0" w:color="000000"/>
              <w:bottom w:val="nil" w:sz="6" w:space="0" w:color="auto"/>
              <w:right w:val="single" w:sz="2" w:space="0" w:color="000000"/>
            </w:tcBorders>
          </w:tcPr>
          <w:p>
            <w:pPr/>
          </w:p>
        </w:tc>
        <w:tc>
          <w:tcPr>
            <w:tcW w:w="1009" w:type="dxa"/>
            <w:tcBorders>
              <w:top w:val="nil" w:sz="6" w:space="0" w:color="auto"/>
              <w:left w:val="single" w:sz="2" w:space="0" w:color="000000"/>
              <w:bottom w:val="nil" w:sz="6" w:space="0" w:color="auto"/>
              <w:right w:val="single" w:sz="2" w:space="0" w:color="000000"/>
            </w:tcBorders>
          </w:tcPr>
          <w:p>
            <w:pPr/>
          </w:p>
        </w:tc>
      </w:tr>
      <w:tr>
        <w:trPr>
          <w:trHeight w:val="629" w:hRule="exact"/>
        </w:trPr>
        <w:tc>
          <w:tcPr>
            <w:tcW w:w="1276" w:type="dxa"/>
            <w:tcBorders>
              <w:top w:val="nil" w:sz="6" w:space="0" w:color="auto"/>
              <w:left w:val="single" w:sz="2" w:space="0" w:color="000000"/>
              <w:bottom w:val="nil" w:sz="6" w:space="0" w:color="auto"/>
              <w:right w:val="single" w:sz="2" w:space="0" w:color="000000"/>
            </w:tcBorders>
          </w:tcPr>
          <w:p>
            <w:pPr>
              <w:pStyle w:val="TableParagraph"/>
              <w:spacing w:line="316" w:lineRule="auto" w:before="10"/>
              <w:ind w:left="25" w:right="23"/>
              <w:jc w:val="left"/>
              <w:rPr>
                <w:rFonts w:ascii="宋体" w:hAnsi="宋体" w:cs="宋体" w:eastAsia="宋体" w:hint="default"/>
                <w:sz w:val="18"/>
                <w:szCs w:val="18"/>
              </w:rPr>
            </w:pPr>
            <w:r>
              <w:rPr>
                <w:rFonts w:ascii="宋体" w:hAnsi="宋体" w:cs="宋体" w:eastAsia="宋体" w:hint="default"/>
                <w:spacing w:val="-6"/>
                <w:sz w:val="18"/>
                <w:szCs w:val="18"/>
              </w:rPr>
              <w:t>终端与（高新区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财政局</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34"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862" w:type="dxa"/>
            <w:vMerge/>
            <w:tcBorders>
              <w:left w:val="single" w:sz="2" w:space="0" w:color="000000"/>
              <w:right w:val="single" w:sz="2" w:space="0" w:color="000000"/>
            </w:tcBorders>
          </w:tcPr>
          <w:p>
            <w:pPr/>
          </w:p>
        </w:tc>
        <w:tc>
          <w:tcPr>
            <w:tcW w:w="1010" w:type="dxa"/>
            <w:vMerge/>
            <w:tcBorders>
              <w:left w:val="single" w:sz="2" w:space="0" w:color="000000"/>
              <w:right w:val="single" w:sz="2" w:space="0" w:color="000000"/>
            </w:tcBorders>
          </w:tcPr>
          <w:p>
            <w:pPr/>
          </w:p>
        </w:tc>
        <w:tc>
          <w:tcPr>
            <w:tcW w:w="1009"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1010" w:type="dxa"/>
            <w:vMerge/>
            <w:tcBorders>
              <w:left w:val="single" w:sz="2" w:space="0" w:color="000000"/>
              <w:right w:val="single" w:sz="2" w:space="0" w:color="000000"/>
            </w:tcBorders>
          </w:tcPr>
          <w:p>
            <w:pPr/>
          </w:p>
        </w:tc>
        <w:tc>
          <w:tcPr>
            <w:tcW w:w="1010" w:type="dxa"/>
            <w:vMerge/>
            <w:tcBorders>
              <w:left w:val="single" w:sz="2" w:space="0" w:color="000000"/>
              <w:right w:val="single" w:sz="2" w:space="0" w:color="000000"/>
            </w:tcBorders>
          </w:tcPr>
          <w:p>
            <w:pPr/>
          </w:p>
        </w:tc>
        <w:tc>
          <w:tcPr>
            <w:tcW w:w="1248"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850,000.00</w:t>
            </w:r>
          </w:p>
        </w:tc>
        <w:tc>
          <w:tcPr>
            <w:tcW w:w="1009"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08" w:hRule="exact"/>
        </w:trPr>
        <w:tc>
          <w:tcPr>
            <w:tcW w:w="1276"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5" w:right="0"/>
              <w:jc w:val="left"/>
              <w:rPr>
                <w:rFonts w:ascii="宋体" w:hAnsi="宋体" w:cs="宋体" w:eastAsia="宋体" w:hint="default"/>
                <w:sz w:val="18"/>
                <w:szCs w:val="18"/>
              </w:rPr>
            </w:pPr>
            <w:r>
              <w:rPr>
                <w:rFonts w:ascii="宋体" w:hAnsi="宋体" w:cs="宋体" w:eastAsia="宋体" w:hint="default"/>
                <w:sz w:val="18"/>
                <w:szCs w:val="18"/>
              </w:rPr>
              <w:t>物联网发展专</w:t>
            </w:r>
          </w:p>
        </w:tc>
        <w:tc>
          <w:tcPr>
            <w:tcW w:w="1134" w:type="dxa"/>
            <w:tcBorders>
              <w:top w:val="nil" w:sz="6" w:space="0" w:color="auto"/>
              <w:left w:val="single" w:sz="2" w:space="0" w:color="000000"/>
              <w:bottom w:val="nil" w:sz="6" w:space="0" w:color="auto"/>
              <w:right w:val="single" w:sz="2" w:space="0" w:color="000000"/>
            </w:tcBorders>
          </w:tcPr>
          <w:p>
            <w:pPr/>
          </w:p>
        </w:tc>
        <w:tc>
          <w:tcPr>
            <w:tcW w:w="862" w:type="dxa"/>
            <w:vMerge/>
            <w:tcBorders>
              <w:left w:val="single" w:sz="2" w:space="0" w:color="000000"/>
              <w:right w:val="single" w:sz="2" w:space="0" w:color="000000"/>
            </w:tcBorders>
          </w:tcPr>
          <w:p>
            <w:pPr/>
          </w:p>
        </w:tc>
        <w:tc>
          <w:tcPr>
            <w:tcW w:w="1010" w:type="dxa"/>
            <w:vMerge/>
            <w:tcBorders>
              <w:left w:val="single" w:sz="2" w:space="0" w:color="000000"/>
              <w:right w:val="single" w:sz="2" w:space="0" w:color="000000"/>
            </w:tcBorders>
          </w:tcPr>
          <w:p>
            <w:pPr/>
          </w:p>
        </w:tc>
        <w:tc>
          <w:tcPr>
            <w:tcW w:w="1009" w:type="dxa"/>
            <w:tcBorders>
              <w:top w:val="nil" w:sz="6" w:space="0" w:color="auto"/>
              <w:left w:val="single" w:sz="2" w:space="0" w:color="000000"/>
              <w:bottom w:val="nil" w:sz="6" w:space="0" w:color="auto"/>
              <w:right w:val="single" w:sz="2" w:space="0" w:color="000000"/>
            </w:tcBorders>
          </w:tcPr>
          <w:p>
            <w:pPr/>
          </w:p>
        </w:tc>
        <w:tc>
          <w:tcPr>
            <w:tcW w:w="1010" w:type="dxa"/>
            <w:vMerge/>
            <w:tcBorders>
              <w:left w:val="single" w:sz="2" w:space="0" w:color="000000"/>
              <w:right w:val="single" w:sz="2" w:space="0" w:color="000000"/>
            </w:tcBorders>
          </w:tcPr>
          <w:p>
            <w:pPr/>
          </w:p>
        </w:tc>
        <w:tc>
          <w:tcPr>
            <w:tcW w:w="1010" w:type="dxa"/>
            <w:vMerge/>
            <w:tcBorders>
              <w:left w:val="single" w:sz="2" w:space="0" w:color="000000"/>
              <w:right w:val="single" w:sz="2" w:space="0" w:color="000000"/>
            </w:tcBorders>
          </w:tcPr>
          <w:p>
            <w:pPr/>
          </w:p>
        </w:tc>
        <w:tc>
          <w:tcPr>
            <w:tcW w:w="1248" w:type="dxa"/>
            <w:tcBorders>
              <w:top w:val="nil" w:sz="6" w:space="0" w:color="auto"/>
              <w:left w:val="single" w:sz="2" w:space="0" w:color="000000"/>
              <w:bottom w:val="nil" w:sz="6" w:space="0" w:color="auto"/>
              <w:right w:val="single" w:sz="2" w:space="0" w:color="000000"/>
            </w:tcBorders>
          </w:tcPr>
          <w:p>
            <w:pPr/>
          </w:p>
        </w:tc>
        <w:tc>
          <w:tcPr>
            <w:tcW w:w="1009" w:type="dxa"/>
            <w:tcBorders>
              <w:top w:val="nil" w:sz="6" w:space="0" w:color="auto"/>
              <w:left w:val="single" w:sz="2" w:space="0" w:color="000000"/>
              <w:bottom w:val="nil" w:sz="6" w:space="0" w:color="auto"/>
              <w:right w:val="single" w:sz="2" w:space="0" w:color="000000"/>
            </w:tcBorders>
          </w:tcPr>
          <w:p>
            <w:pPr/>
          </w:p>
        </w:tc>
      </w:tr>
      <w:tr>
        <w:trPr>
          <w:trHeight w:val="353" w:hRule="exact"/>
        </w:trPr>
        <w:tc>
          <w:tcPr>
            <w:tcW w:w="1276"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项资金款）</w:t>
            </w:r>
          </w:p>
        </w:tc>
        <w:tc>
          <w:tcPr>
            <w:tcW w:w="1134" w:type="dxa"/>
            <w:tcBorders>
              <w:top w:val="nil" w:sz="6" w:space="0" w:color="auto"/>
              <w:left w:val="single" w:sz="2" w:space="0" w:color="000000"/>
              <w:bottom w:val="single" w:sz="2" w:space="0" w:color="000000"/>
              <w:right w:val="single" w:sz="2" w:space="0" w:color="000000"/>
            </w:tcBorders>
          </w:tcPr>
          <w:p>
            <w:pPr/>
          </w:p>
        </w:tc>
        <w:tc>
          <w:tcPr>
            <w:tcW w:w="862" w:type="dxa"/>
            <w:vMerge/>
            <w:tcBorders>
              <w:left w:val="single" w:sz="2" w:space="0" w:color="000000"/>
              <w:bottom w:val="single" w:sz="2" w:space="0" w:color="000000"/>
              <w:right w:val="single" w:sz="2" w:space="0" w:color="000000"/>
            </w:tcBorders>
          </w:tcPr>
          <w:p>
            <w:pPr/>
          </w:p>
        </w:tc>
        <w:tc>
          <w:tcPr>
            <w:tcW w:w="1010" w:type="dxa"/>
            <w:vMerge/>
            <w:tcBorders>
              <w:left w:val="single" w:sz="2" w:space="0" w:color="000000"/>
              <w:bottom w:val="single" w:sz="2" w:space="0" w:color="000000"/>
              <w:right w:val="single" w:sz="2" w:space="0" w:color="000000"/>
            </w:tcBorders>
          </w:tcPr>
          <w:p>
            <w:pPr/>
          </w:p>
        </w:tc>
        <w:tc>
          <w:tcPr>
            <w:tcW w:w="1009" w:type="dxa"/>
            <w:tcBorders>
              <w:top w:val="nil" w:sz="6" w:space="0" w:color="auto"/>
              <w:left w:val="single" w:sz="2" w:space="0" w:color="000000"/>
              <w:bottom w:val="single" w:sz="2" w:space="0" w:color="000000"/>
              <w:right w:val="single" w:sz="2" w:space="0" w:color="000000"/>
            </w:tcBorders>
          </w:tcPr>
          <w:p>
            <w:pPr/>
          </w:p>
        </w:tc>
        <w:tc>
          <w:tcPr>
            <w:tcW w:w="1010" w:type="dxa"/>
            <w:vMerge/>
            <w:tcBorders>
              <w:left w:val="single" w:sz="2" w:space="0" w:color="000000"/>
              <w:bottom w:val="single" w:sz="2" w:space="0" w:color="000000"/>
              <w:right w:val="single" w:sz="2" w:space="0" w:color="000000"/>
            </w:tcBorders>
          </w:tcPr>
          <w:p>
            <w:pPr/>
          </w:p>
        </w:tc>
        <w:tc>
          <w:tcPr>
            <w:tcW w:w="1010" w:type="dxa"/>
            <w:vMerge/>
            <w:tcBorders>
              <w:left w:val="single" w:sz="2" w:space="0" w:color="000000"/>
              <w:bottom w:val="single" w:sz="2" w:space="0" w:color="000000"/>
              <w:right w:val="single" w:sz="2" w:space="0" w:color="000000"/>
            </w:tcBorders>
          </w:tcPr>
          <w:p>
            <w:pPr/>
          </w:p>
        </w:tc>
        <w:tc>
          <w:tcPr>
            <w:tcW w:w="1248" w:type="dxa"/>
            <w:tcBorders>
              <w:top w:val="nil" w:sz="6" w:space="0" w:color="auto"/>
              <w:left w:val="single" w:sz="2" w:space="0" w:color="000000"/>
              <w:bottom w:val="single" w:sz="2" w:space="0" w:color="000000"/>
              <w:right w:val="single" w:sz="2" w:space="0" w:color="000000"/>
            </w:tcBorders>
          </w:tcPr>
          <w:p>
            <w:pPr/>
          </w:p>
        </w:tc>
        <w:tc>
          <w:tcPr>
            <w:tcW w:w="1009" w:type="dxa"/>
            <w:tcBorders>
              <w:top w:val="nil" w:sz="6" w:space="0" w:color="auto"/>
              <w:left w:val="single" w:sz="2" w:space="0" w:color="000000"/>
              <w:bottom w:val="single" w:sz="2" w:space="0" w:color="000000"/>
              <w:right w:val="single" w:sz="2" w:space="0" w:color="000000"/>
            </w:tcBorders>
          </w:tcPr>
          <w:p>
            <w:pPr/>
          </w:p>
        </w:tc>
      </w:tr>
      <w:tr>
        <w:trPr>
          <w:trHeight w:val="360" w:hRule="exact"/>
        </w:trPr>
        <w:tc>
          <w:tcPr>
            <w:tcW w:w="1276"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年度高新</w:t>
            </w:r>
          </w:p>
        </w:tc>
        <w:tc>
          <w:tcPr>
            <w:tcW w:w="1134" w:type="dxa"/>
            <w:tcBorders>
              <w:top w:val="single" w:sz="2" w:space="0" w:color="000000"/>
              <w:left w:val="single" w:sz="2" w:space="0" w:color="000000"/>
              <w:bottom w:val="nil" w:sz="6" w:space="0" w:color="auto"/>
              <w:right w:val="single" w:sz="2" w:space="0" w:color="000000"/>
            </w:tcBorders>
          </w:tcPr>
          <w:p>
            <w:pPr/>
          </w:p>
        </w:tc>
        <w:tc>
          <w:tcPr>
            <w:tcW w:w="862" w:type="dxa"/>
            <w:vMerge w:val="restart"/>
            <w:tcBorders>
              <w:top w:val="single" w:sz="2" w:space="0" w:color="000000"/>
              <w:left w:val="single" w:sz="2" w:space="0" w:color="000000"/>
              <w:right w:val="single" w:sz="2" w:space="0" w:color="000000"/>
            </w:tcBorders>
          </w:tcPr>
          <w:p>
            <w:pPr/>
          </w:p>
        </w:tc>
        <w:tc>
          <w:tcPr>
            <w:tcW w:w="1010" w:type="dxa"/>
            <w:vMerge w:val="restart"/>
            <w:tcBorders>
              <w:top w:val="single" w:sz="2" w:space="0" w:color="000000"/>
              <w:left w:val="single" w:sz="2" w:space="0" w:color="000000"/>
              <w:right w:val="single" w:sz="2" w:space="0" w:color="000000"/>
            </w:tcBorders>
          </w:tcPr>
          <w:p>
            <w:pPr/>
          </w:p>
        </w:tc>
        <w:tc>
          <w:tcPr>
            <w:tcW w:w="1009" w:type="dxa"/>
            <w:tcBorders>
              <w:top w:val="single" w:sz="2" w:space="0" w:color="000000"/>
              <w:left w:val="single" w:sz="2" w:space="0" w:color="000000"/>
              <w:bottom w:val="nil" w:sz="6" w:space="0" w:color="auto"/>
              <w:right w:val="single" w:sz="2" w:space="0" w:color="000000"/>
            </w:tcBorders>
          </w:tcPr>
          <w:p>
            <w:pPr/>
          </w:p>
        </w:tc>
        <w:tc>
          <w:tcPr>
            <w:tcW w:w="1010" w:type="dxa"/>
            <w:vMerge w:val="restart"/>
            <w:tcBorders>
              <w:top w:val="single" w:sz="2" w:space="0" w:color="000000"/>
              <w:left w:val="single" w:sz="2" w:space="0" w:color="000000"/>
              <w:right w:val="single" w:sz="2" w:space="0" w:color="000000"/>
            </w:tcBorders>
          </w:tcPr>
          <w:p>
            <w:pPr/>
          </w:p>
        </w:tc>
        <w:tc>
          <w:tcPr>
            <w:tcW w:w="1010" w:type="dxa"/>
            <w:vMerge w:val="restart"/>
            <w:tcBorders>
              <w:top w:val="single" w:sz="2" w:space="0" w:color="000000"/>
              <w:left w:val="single" w:sz="2" w:space="0" w:color="000000"/>
              <w:right w:val="single" w:sz="2" w:space="0" w:color="000000"/>
            </w:tcBorders>
          </w:tcPr>
          <w:p>
            <w:pPr/>
          </w:p>
        </w:tc>
        <w:tc>
          <w:tcPr>
            <w:tcW w:w="1248" w:type="dxa"/>
            <w:tcBorders>
              <w:top w:val="single" w:sz="2" w:space="0" w:color="000000"/>
              <w:left w:val="single" w:sz="2" w:space="0" w:color="000000"/>
              <w:bottom w:val="nil" w:sz="6" w:space="0" w:color="auto"/>
              <w:right w:val="single" w:sz="2" w:space="0" w:color="000000"/>
            </w:tcBorders>
          </w:tcPr>
          <w:p>
            <w:pPr/>
          </w:p>
        </w:tc>
        <w:tc>
          <w:tcPr>
            <w:tcW w:w="1009" w:type="dxa"/>
            <w:tcBorders>
              <w:top w:val="single" w:sz="2" w:space="0" w:color="000000"/>
              <w:left w:val="single" w:sz="2" w:space="0" w:color="000000"/>
              <w:bottom w:val="nil" w:sz="6" w:space="0" w:color="auto"/>
              <w:right w:val="single" w:sz="2" w:space="0" w:color="000000"/>
            </w:tcBorders>
          </w:tcPr>
          <w:p>
            <w:pPr/>
          </w:p>
        </w:tc>
      </w:tr>
      <w:tr>
        <w:trPr>
          <w:trHeight w:val="306" w:hRule="exact"/>
        </w:trPr>
        <w:tc>
          <w:tcPr>
            <w:tcW w:w="1276"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5" w:right="0"/>
              <w:jc w:val="left"/>
              <w:rPr>
                <w:rFonts w:ascii="宋体" w:hAnsi="宋体" w:cs="宋体" w:eastAsia="宋体" w:hint="default"/>
                <w:sz w:val="18"/>
                <w:szCs w:val="18"/>
              </w:rPr>
            </w:pPr>
            <w:r>
              <w:rPr>
                <w:rFonts w:ascii="宋体" w:hAnsi="宋体" w:cs="宋体" w:eastAsia="宋体" w:hint="default"/>
                <w:sz w:val="18"/>
                <w:szCs w:val="18"/>
              </w:rPr>
              <w:t>技术开发区技</w:t>
            </w:r>
          </w:p>
        </w:tc>
        <w:tc>
          <w:tcPr>
            <w:tcW w:w="1134" w:type="dxa"/>
            <w:tcBorders>
              <w:top w:val="nil" w:sz="6" w:space="0" w:color="auto"/>
              <w:left w:val="single" w:sz="2" w:space="0" w:color="000000"/>
              <w:bottom w:val="nil" w:sz="6" w:space="0" w:color="auto"/>
              <w:right w:val="single" w:sz="2" w:space="0" w:color="000000"/>
            </w:tcBorders>
          </w:tcPr>
          <w:p>
            <w:pPr/>
          </w:p>
        </w:tc>
        <w:tc>
          <w:tcPr>
            <w:tcW w:w="862" w:type="dxa"/>
            <w:vMerge/>
            <w:tcBorders>
              <w:left w:val="single" w:sz="2" w:space="0" w:color="000000"/>
              <w:right w:val="single" w:sz="2" w:space="0" w:color="000000"/>
            </w:tcBorders>
          </w:tcPr>
          <w:p>
            <w:pPr/>
          </w:p>
        </w:tc>
        <w:tc>
          <w:tcPr>
            <w:tcW w:w="1010" w:type="dxa"/>
            <w:vMerge/>
            <w:tcBorders>
              <w:left w:val="single" w:sz="2" w:space="0" w:color="000000"/>
              <w:right w:val="single" w:sz="2" w:space="0" w:color="000000"/>
            </w:tcBorders>
          </w:tcPr>
          <w:p>
            <w:pPr/>
          </w:p>
        </w:tc>
        <w:tc>
          <w:tcPr>
            <w:tcW w:w="1009" w:type="dxa"/>
            <w:tcBorders>
              <w:top w:val="nil" w:sz="6" w:space="0" w:color="auto"/>
              <w:left w:val="single" w:sz="2" w:space="0" w:color="000000"/>
              <w:bottom w:val="nil" w:sz="6" w:space="0" w:color="auto"/>
              <w:right w:val="single" w:sz="2" w:space="0" w:color="000000"/>
            </w:tcBorders>
          </w:tcPr>
          <w:p>
            <w:pPr/>
          </w:p>
        </w:tc>
        <w:tc>
          <w:tcPr>
            <w:tcW w:w="1010" w:type="dxa"/>
            <w:vMerge/>
            <w:tcBorders>
              <w:left w:val="single" w:sz="2" w:space="0" w:color="000000"/>
              <w:right w:val="single" w:sz="2" w:space="0" w:color="000000"/>
            </w:tcBorders>
          </w:tcPr>
          <w:p>
            <w:pPr/>
          </w:p>
        </w:tc>
        <w:tc>
          <w:tcPr>
            <w:tcW w:w="1010" w:type="dxa"/>
            <w:vMerge/>
            <w:tcBorders>
              <w:left w:val="single" w:sz="2" w:space="0" w:color="000000"/>
              <w:right w:val="single" w:sz="2" w:space="0" w:color="000000"/>
            </w:tcBorders>
          </w:tcPr>
          <w:p>
            <w:pPr/>
          </w:p>
        </w:tc>
        <w:tc>
          <w:tcPr>
            <w:tcW w:w="1248" w:type="dxa"/>
            <w:tcBorders>
              <w:top w:val="nil" w:sz="6" w:space="0" w:color="auto"/>
              <w:left w:val="single" w:sz="2" w:space="0" w:color="000000"/>
              <w:bottom w:val="nil" w:sz="6" w:space="0" w:color="auto"/>
              <w:right w:val="single" w:sz="2" w:space="0" w:color="000000"/>
            </w:tcBorders>
          </w:tcPr>
          <w:p>
            <w:pPr/>
          </w:p>
        </w:tc>
        <w:tc>
          <w:tcPr>
            <w:tcW w:w="1009" w:type="dxa"/>
            <w:tcBorders>
              <w:top w:val="nil" w:sz="6" w:space="0" w:color="auto"/>
              <w:left w:val="single" w:sz="2" w:space="0" w:color="000000"/>
              <w:bottom w:val="nil" w:sz="6" w:space="0" w:color="auto"/>
              <w:right w:val="single" w:sz="2" w:space="0" w:color="000000"/>
            </w:tcBorders>
          </w:tcPr>
          <w:p>
            <w:pPr/>
          </w:p>
        </w:tc>
      </w:tr>
      <w:tr>
        <w:trPr>
          <w:trHeight w:val="624" w:hRule="exact"/>
        </w:trPr>
        <w:tc>
          <w:tcPr>
            <w:tcW w:w="1276" w:type="dxa"/>
            <w:tcBorders>
              <w:top w:val="nil" w:sz="6" w:space="0" w:color="auto"/>
              <w:left w:val="single" w:sz="2" w:space="0" w:color="000000"/>
              <w:bottom w:val="nil" w:sz="6" w:space="0" w:color="auto"/>
              <w:right w:val="single" w:sz="2" w:space="0" w:color="000000"/>
            </w:tcBorders>
          </w:tcPr>
          <w:p>
            <w:pPr>
              <w:pStyle w:val="TableParagraph"/>
              <w:spacing w:line="316" w:lineRule="auto" w:before="10"/>
              <w:ind w:left="25" w:right="23"/>
              <w:jc w:val="left"/>
              <w:rPr>
                <w:rFonts w:ascii="宋体" w:hAnsi="宋体" w:cs="宋体" w:eastAsia="宋体" w:hint="default"/>
                <w:sz w:val="18"/>
                <w:szCs w:val="18"/>
              </w:rPr>
            </w:pPr>
            <w:r>
              <w:rPr>
                <w:rFonts w:ascii="宋体" w:hAnsi="宋体" w:cs="宋体" w:eastAsia="宋体" w:hint="default"/>
                <w:sz w:val="18"/>
                <w:szCs w:val="18"/>
              </w:rPr>
              <w:t>术研究与开发 </w:t>
            </w:r>
            <w:r>
              <w:rPr>
                <w:rFonts w:ascii="宋体" w:hAnsi="宋体" w:cs="宋体" w:eastAsia="宋体" w:hint="default"/>
                <w:spacing w:val="-6"/>
                <w:sz w:val="18"/>
                <w:szCs w:val="18"/>
              </w:rPr>
              <w:t>经费（郑州市财</w:t>
            </w:r>
          </w:p>
        </w:tc>
        <w:tc>
          <w:tcPr>
            <w:tcW w:w="1134" w:type="dxa"/>
            <w:tcBorders>
              <w:top w:val="nil" w:sz="6" w:space="0" w:color="auto"/>
              <w:left w:val="single" w:sz="2" w:space="0" w:color="000000"/>
              <w:bottom w:val="nil" w:sz="6" w:space="0" w:color="auto"/>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862" w:type="dxa"/>
            <w:vMerge/>
            <w:tcBorders>
              <w:left w:val="single" w:sz="2" w:space="0" w:color="000000"/>
              <w:right w:val="single" w:sz="2" w:space="0" w:color="000000"/>
            </w:tcBorders>
          </w:tcPr>
          <w:p>
            <w:pPr/>
          </w:p>
        </w:tc>
        <w:tc>
          <w:tcPr>
            <w:tcW w:w="1010" w:type="dxa"/>
            <w:vMerge/>
            <w:tcBorders>
              <w:left w:val="single" w:sz="2" w:space="0" w:color="000000"/>
              <w:right w:val="single" w:sz="2" w:space="0" w:color="000000"/>
            </w:tcBorders>
          </w:tcPr>
          <w:p>
            <w:pPr/>
          </w:p>
        </w:tc>
        <w:tc>
          <w:tcPr>
            <w:tcW w:w="1009" w:type="dxa"/>
            <w:tcBorders>
              <w:top w:val="nil" w:sz="6" w:space="0" w:color="auto"/>
              <w:left w:val="single" w:sz="2" w:space="0" w:color="000000"/>
              <w:bottom w:val="nil" w:sz="6" w:space="0" w:color="auto"/>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75,000.00</w:t>
            </w:r>
          </w:p>
        </w:tc>
        <w:tc>
          <w:tcPr>
            <w:tcW w:w="1010" w:type="dxa"/>
            <w:vMerge/>
            <w:tcBorders>
              <w:left w:val="single" w:sz="2" w:space="0" w:color="000000"/>
              <w:right w:val="single" w:sz="2" w:space="0" w:color="000000"/>
            </w:tcBorders>
          </w:tcPr>
          <w:p>
            <w:pPr/>
          </w:p>
        </w:tc>
        <w:tc>
          <w:tcPr>
            <w:tcW w:w="1010" w:type="dxa"/>
            <w:vMerge/>
            <w:tcBorders>
              <w:left w:val="single" w:sz="2" w:space="0" w:color="000000"/>
              <w:right w:val="single" w:sz="2" w:space="0" w:color="000000"/>
            </w:tcBorders>
          </w:tcPr>
          <w:p>
            <w:pPr/>
          </w:p>
        </w:tc>
        <w:tc>
          <w:tcPr>
            <w:tcW w:w="1248" w:type="dxa"/>
            <w:tcBorders>
              <w:top w:val="nil" w:sz="6" w:space="0" w:color="auto"/>
              <w:left w:val="single" w:sz="2" w:space="0" w:color="000000"/>
              <w:bottom w:val="nil" w:sz="6" w:space="0" w:color="auto"/>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425,000.00</w:t>
            </w:r>
          </w:p>
        </w:tc>
        <w:tc>
          <w:tcPr>
            <w:tcW w:w="1009" w:type="dxa"/>
            <w:tcBorders>
              <w:top w:val="nil" w:sz="6" w:space="0" w:color="auto"/>
              <w:left w:val="single" w:sz="2" w:space="0" w:color="000000"/>
              <w:bottom w:val="nil" w:sz="6" w:space="0" w:color="auto"/>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3" w:hRule="exact"/>
        </w:trPr>
        <w:tc>
          <w:tcPr>
            <w:tcW w:w="1276"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政局产业技术</w:t>
            </w:r>
          </w:p>
        </w:tc>
        <w:tc>
          <w:tcPr>
            <w:tcW w:w="1134" w:type="dxa"/>
            <w:tcBorders>
              <w:top w:val="nil" w:sz="6" w:space="0" w:color="auto"/>
              <w:left w:val="single" w:sz="2" w:space="0" w:color="000000"/>
              <w:bottom w:val="nil" w:sz="6" w:space="0" w:color="auto"/>
              <w:right w:val="single" w:sz="2" w:space="0" w:color="000000"/>
            </w:tcBorders>
          </w:tcPr>
          <w:p>
            <w:pPr/>
          </w:p>
        </w:tc>
        <w:tc>
          <w:tcPr>
            <w:tcW w:w="862" w:type="dxa"/>
            <w:vMerge/>
            <w:tcBorders>
              <w:left w:val="single" w:sz="2" w:space="0" w:color="000000"/>
              <w:right w:val="single" w:sz="2" w:space="0" w:color="000000"/>
            </w:tcBorders>
          </w:tcPr>
          <w:p>
            <w:pPr/>
          </w:p>
        </w:tc>
        <w:tc>
          <w:tcPr>
            <w:tcW w:w="1010" w:type="dxa"/>
            <w:vMerge/>
            <w:tcBorders>
              <w:left w:val="single" w:sz="2" w:space="0" w:color="000000"/>
              <w:right w:val="single" w:sz="2" w:space="0" w:color="000000"/>
            </w:tcBorders>
          </w:tcPr>
          <w:p>
            <w:pPr/>
          </w:p>
        </w:tc>
        <w:tc>
          <w:tcPr>
            <w:tcW w:w="1009" w:type="dxa"/>
            <w:tcBorders>
              <w:top w:val="nil" w:sz="6" w:space="0" w:color="auto"/>
              <w:left w:val="single" w:sz="2" w:space="0" w:color="000000"/>
              <w:bottom w:val="nil" w:sz="6" w:space="0" w:color="auto"/>
              <w:right w:val="single" w:sz="2" w:space="0" w:color="000000"/>
            </w:tcBorders>
          </w:tcPr>
          <w:p>
            <w:pPr/>
          </w:p>
        </w:tc>
        <w:tc>
          <w:tcPr>
            <w:tcW w:w="1010" w:type="dxa"/>
            <w:vMerge/>
            <w:tcBorders>
              <w:left w:val="single" w:sz="2" w:space="0" w:color="000000"/>
              <w:right w:val="single" w:sz="2" w:space="0" w:color="000000"/>
            </w:tcBorders>
          </w:tcPr>
          <w:p>
            <w:pPr/>
          </w:p>
        </w:tc>
        <w:tc>
          <w:tcPr>
            <w:tcW w:w="1010" w:type="dxa"/>
            <w:vMerge/>
            <w:tcBorders>
              <w:left w:val="single" w:sz="2" w:space="0" w:color="000000"/>
              <w:right w:val="single" w:sz="2" w:space="0" w:color="000000"/>
            </w:tcBorders>
          </w:tcPr>
          <w:p>
            <w:pPr/>
          </w:p>
        </w:tc>
        <w:tc>
          <w:tcPr>
            <w:tcW w:w="1248" w:type="dxa"/>
            <w:tcBorders>
              <w:top w:val="nil" w:sz="6" w:space="0" w:color="auto"/>
              <w:left w:val="single" w:sz="2" w:space="0" w:color="000000"/>
              <w:bottom w:val="nil" w:sz="6" w:space="0" w:color="auto"/>
              <w:right w:val="single" w:sz="2" w:space="0" w:color="000000"/>
            </w:tcBorders>
          </w:tcPr>
          <w:p>
            <w:pPr/>
          </w:p>
        </w:tc>
        <w:tc>
          <w:tcPr>
            <w:tcW w:w="1009" w:type="dxa"/>
            <w:tcBorders>
              <w:top w:val="nil" w:sz="6" w:space="0" w:color="auto"/>
              <w:left w:val="single" w:sz="2" w:space="0" w:color="000000"/>
              <w:bottom w:val="nil" w:sz="6" w:space="0" w:color="auto"/>
              <w:right w:val="single" w:sz="2" w:space="0" w:color="000000"/>
            </w:tcBorders>
          </w:tcPr>
          <w:p>
            <w:pPr/>
          </w:p>
        </w:tc>
      </w:tr>
      <w:tr>
        <w:trPr>
          <w:trHeight w:val="354" w:hRule="exact"/>
        </w:trPr>
        <w:tc>
          <w:tcPr>
            <w:tcW w:w="1276"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1"/>
              <w:ind w:left="25" w:right="-15"/>
              <w:jc w:val="left"/>
              <w:rPr>
                <w:rFonts w:ascii="宋体" w:hAnsi="宋体" w:cs="宋体" w:eastAsia="宋体" w:hint="default"/>
                <w:sz w:val="18"/>
                <w:szCs w:val="18"/>
              </w:rPr>
            </w:pPr>
            <w:r>
              <w:rPr>
                <w:rFonts w:ascii="宋体" w:hAnsi="宋体" w:cs="宋体" w:eastAsia="宋体" w:hint="default"/>
                <w:sz w:val="18"/>
                <w:szCs w:val="18"/>
              </w:rPr>
              <w:t>创新专项资金）</w:t>
            </w:r>
          </w:p>
        </w:tc>
        <w:tc>
          <w:tcPr>
            <w:tcW w:w="1134" w:type="dxa"/>
            <w:tcBorders>
              <w:top w:val="nil" w:sz="6" w:space="0" w:color="auto"/>
              <w:left w:val="single" w:sz="2" w:space="0" w:color="000000"/>
              <w:bottom w:val="single" w:sz="2" w:space="0" w:color="000000"/>
              <w:right w:val="single" w:sz="2" w:space="0" w:color="000000"/>
            </w:tcBorders>
          </w:tcPr>
          <w:p>
            <w:pPr/>
          </w:p>
        </w:tc>
        <w:tc>
          <w:tcPr>
            <w:tcW w:w="862" w:type="dxa"/>
            <w:vMerge/>
            <w:tcBorders>
              <w:left w:val="single" w:sz="2" w:space="0" w:color="000000"/>
              <w:bottom w:val="single" w:sz="2" w:space="0" w:color="000000"/>
              <w:right w:val="single" w:sz="2" w:space="0" w:color="000000"/>
            </w:tcBorders>
          </w:tcPr>
          <w:p>
            <w:pPr/>
          </w:p>
        </w:tc>
        <w:tc>
          <w:tcPr>
            <w:tcW w:w="1010" w:type="dxa"/>
            <w:vMerge/>
            <w:tcBorders>
              <w:left w:val="single" w:sz="2" w:space="0" w:color="000000"/>
              <w:bottom w:val="single" w:sz="2" w:space="0" w:color="000000"/>
              <w:right w:val="single" w:sz="2" w:space="0" w:color="000000"/>
            </w:tcBorders>
          </w:tcPr>
          <w:p>
            <w:pPr/>
          </w:p>
        </w:tc>
        <w:tc>
          <w:tcPr>
            <w:tcW w:w="1009" w:type="dxa"/>
            <w:tcBorders>
              <w:top w:val="nil" w:sz="6" w:space="0" w:color="auto"/>
              <w:left w:val="single" w:sz="2" w:space="0" w:color="000000"/>
              <w:bottom w:val="single" w:sz="2" w:space="0" w:color="000000"/>
              <w:right w:val="single" w:sz="2" w:space="0" w:color="000000"/>
            </w:tcBorders>
          </w:tcPr>
          <w:p>
            <w:pPr/>
          </w:p>
        </w:tc>
        <w:tc>
          <w:tcPr>
            <w:tcW w:w="1010" w:type="dxa"/>
            <w:vMerge/>
            <w:tcBorders>
              <w:left w:val="single" w:sz="2" w:space="0" w:color="000000"/>
              <w:bottom w:val="single" w:sz="2" w:space="0" w:color="000000"/>
              <w:right w:val="single" w:sz="2" w:space="0" w:color="000000"/>
            </w:tcBorders>
          </w:tcPr>
          <w:p>
            <w:pPr/>
          </w:p>
        </w:tc>
        <w:tc>
          <w:tcPr>
            <w:tcW w:w="1010" w:type="dxa"/>
            <w:vMerge/>
            <w:tcBorders>
              <w:left w:val="single" w:sz="2" w:space="0" w:color="000000"/>
              <w:bottom w:val="single" w:sz="2" w:space="0" w:color="000000"/>
              <w:right w:val="single" w:sz="2" w:space="0" w:color="000000"/>
            </w:tcBorders>
          </w:tcPr>
          <w:p>
            <w:pPr/>
          </w:p>
        </w:tc>
        <w:tc>
          <w:tcPr>
            <w:tcW w:w="1248" w:type="dxa"/>
            <w:tcBorders>
              <w:top w:val="nil" w:sz="6" w:space="0" w:color="auto"/>
              <w:left w:val="single" w:sz="2" w:space="0" w:color="000000"/>
              <w:bottom w:val="single" w:sz="2" w:space="0" w:color="000000"/>
              <w:right w:val="single" w:sz="2" w:space="0" w:color="000000"/>
            </w:tcBorders>
          </w:tcPr>
          <w:p>
            <w:pPr/>
          </w:p>
        </w:tc>
        <w:tc>
          <w:tcPr>
            <w:tcW w:w="1009" w:type="dxa"/>
            <w:tcBorders>
              <w:top w:val="nil" w:sz="6" w:space="0" w:color="auto"/>
              <w:left w:val="single" w:sz="2" w:space="0" w:color="000000"/>
              <w:bottom w:val="single" w:sz="2" w:space="0" w:color="000000"/>
              <w:right w:val="single" w:sz="2" w:space="0" w:color="000000"/>
            </w:tcBorders>
          </w:tcPr>
          <w:p>
            <w:pPr/>
          </w:p>
        </w:tc>
      </w:tr>
      <w:tr>
        <w:trPr>
          <w:trHeight w:val="355" w:hRule="exact"/>
        </w:trPr>
        <w:tc>
          <w:tcPr>
            <w:tcW w:w="1276"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物联网通信与</w:t>
            </w:r>
          </w:p>
        </w:tc>
        <w:tc>
          <w:tcPr>
            <w:tcW w:w="1134" w:type="dxa"/>
            <w:tcBorders>
              <w:top w:val="single" w:sz="2" w:space="0" w:color="000000"/>
              <w:left w:val="single" w:sz="2" w:space="0" w:color="000000"/>
              <w:bottom w:val="nil" w:sz="6" w:space="0" w:color="auto"/>
              <w:right w:val="single" w:sz="2" w:space="0" w:color="000000"/>
            </w:tcBorders>
          </w:tcPr>
          <w:p>
            <w:pPr/>
          </w:p>
        </w:tc>
        <w:tc>
          <w:tcPr>
            <w:tcW w:w="862" w:type="dxa"/>
            <w:vMerge w:val="restart"/>
            <w:tcBorders>
              <w:top w:val="single" w:sz="2" w:space="0" w:color="000000"/>
              <w:left w:val="single" w:sz="2" w:space="0" w:color="000000"/>
              <w:right w:val="single" w:sz="2" w:space="0" w:color="000000"/>
            </w:tcBorders>
          </w:tcPr>
          <w:p>
            <w:pPr/>
          </w:p>
        </w:tc>
        <w:tc>
          <w:tcPr>
            <w:tcW w:w="1010" w:type="dxa"/>
            <w:vMerge w:val="restart"/>
            <w:tcBorders>
              <w:top w:val="single" w:sz="2" w:space="0" w:color="000000"/>
              <w:left w:val="single" w:sz="2" w:space="0" w:color="000000"/>
              <w:right w:val="single" w:sz="2" w:space="0" w:color="000000"/>
            </w:tcBorders>
          </w:tcPr>
          <w:p>
            <w:pPr/>
          </w:p>
        </w:tc>
        <w:tc>
          <w:tcPr>
            <w:tcW w:w="1009" w:type="dxa"/>
            <w:tcBorders>
              <w:top w:val="single" w:sz="2" w:space="0" w:color="000000"/>
              <w:left w:val="single" w:sz="2" w:space="0" w:color="000000"/>
              <w:bottom w:val="nil" w:sz="6" w:space="0" w:color="auto"/>
              <w:right w:val="single" w:sz="2" w:space="0" w:color="000000"/>
            </w:tcBorders>
          </w:tcPr>
          <w:p>
            <w:pPr/>
          </w:p>
        </w:tc>
        <w:tc>
          <w:tcPr>
            <w:tcW w:w="1010" w:type="dxa"/>
            <w:vMerge w:val="restart"/>
            <w:tcBorders>
              <w:top w:val="single" w:sz="2" w:space="0" w:color="000000"/>
              <w:left w:val="single" w:sz="2" w:space="0" w:color="000000"/>
              <w:right w:val="single" w:sz="2" w:space="0" w:color="000000"/>
            </w:tcBorders>
          </w:tcPr>
          <w:p>
            <w:pPr/>
          </w:p>
        </w:tc>
        <w:tc>
          <w:tcPr>
            <w:tcW w:w="1010" w:type="dxa"/>
            <w:vMerge w:val="restart"/>
            <w:tcBorders>
              <w:top w:val="single" w:sz="2" w:space="0" w:color="000000"/>
              <w:left w:val="single" w:sz="2" w:space="0" w:color="000000"/>
              <w:right w:val="single" w:sz="2" w:space="0" w:color="000000"/>
            </w:tcBorders>
          </w:tcPr>
          <w:p>
            <w:pPr/>
          </w:p>
        </w:tc>
        <w:tc>
          <w:tcPr>
            <w:tcW w:w="1248" w:type="dxa"/>
            <w:tcBorders>
              <w:top w:val="single" w:sz="2" w:space="0" w:color="000000"/>
              <w:left w:val="single" w:sz="2" w:space="0" w:color="000000"/>
              <w:bottom w:val="nil" w:sz="6" w:space="0" w:color="auto"/>
              <w:right w:val="single" w:sz="2" w:space="0" w:color="000000"/>
            </w:tcBorders>
          </w:tcPr>
          <w:p>
            <w:pPr/>
          </w:p>
        </w:tc>
        <w:tc>
          <w:tcPr>
            <w:tcW w:w="1009" w:type="dxa"/>
            <w:tcBorders>
              <w:top w:val="single" w:sz="2" w:space="0" w:color="000000"/>
              <w:left w:val="single" w:sz="2" w:space="0" w:color="000000"/>
              <w:bottom w:val="nil" w:sz="6" w:space="0" w:color="auto"/>
              <w:right w:val="single" w:sz="2" w:space="0" w:color="000000"/>
            </w:tcBorders>
          </w:tcPr>
          <w:p>
            <w:pPr/>
          </w:p>
        </w:tc>
      </w:tr>
      <w:tr>
        <w:trPr>
          <w:trHeight w:val="316" w:hRule="exact"/>
        </w:trPr>
        <w:tc>
          <w:tcPr>
            <w:tcW w:w="1276"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组网关键技术</w:t>
            </w:r>
          </w:p>
        </w:tc>
        <w:tc>
          <w:tcPr>
            <w:tcW w:w="1134" w:type="dxa"/>
            <w:tcBorders>
              <w:top w:val="nil" w:sz="6" w:space="0" w:color="auto"/>
              <w:left w:val="single" w:sz="2" w:space="0" w:color="000000"/>
              <w:bottom w:val="nil" w:sz="6" w:space="0" w:color="auto"/>
              <w:right w:val="single" w:sz="2"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700,000.00</w:t>
            </w:r>
          </w:p>
        </w:tc>
        <w:tc>
          <w:tcPr>
            <w:tcW w:w="862" w:type="dxa"/>
            <w:vMerge/>
            <w:tcBorders>
              <w:left w:val="single" w:sz="2" w:space="0" w:color="000000"/>
              <w:right w:val="single" w:sz="2" w:space="0" w:color="000000"/>
            </w:tcBorders>
          </w:tcPr>
          <w:p>
            <w:pPr/>
          </w:p>
        </w:tc>
        <w:tc>
          <w:tcPr>
            <w:tcW w:w="1010" w:type="dxa"/>
            <w:vMerge/>
            <w:tcBorders>
              <w:left w:val="single" w:sz="2" w:space="0" w:color="000000"/>
              <w:right w:val="single" w:sz="2" w:space="0" w:color="000000"/>
            </w:tcBorders>
          </w:tcPr>
          <w:p>
            <w:pPr/>
          </w:p>
        </w:tc>
        <w:tc>
          <w:tcPr>
            <w:tcW w:w="1009" w:type="dxa"/>
            <w:tcBorders>
              <w:top w:val="nil" w:sz="6" w:space="0" w:color="auto"/>
              <w:left w:val="single" w:sz="2" w:space="0" w:color="000000"/>
              <w:bottom w:val="nil" w:sz="6" w:space="0" w:color="auto"/>
              <w:right w:val="single" w:sz="2"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105,000.00</w:t>
            </w:r>
          </w:p>
        </w:tc>
        <w:tc>
          <w:tcPr>
            <w:tcW w:w="1010" w:type="dxa"/>
            <w:vMerge/>
            <w:tcBorders>
              <w:left w:val="single" w:sz="2" w:space="0" w:color="000000"/>
              <w:right w:val="single" w:sz="2" w:space="0" w:color="000000"/>
            </w:tcBorders>
          </w:tcPr>
          <w:p>
            <w:pPr/>
          </w:p>
        </w:tc>
        <w:tc>
          <w:tcPr>
            <w:tcW w:w="1010" w:type="dxa"/>
            <w:vMerge/>
            <w:tcBorders>
              <w:left w:val="single" w:sz="2" w:space="0" w:color="000000"/>
              <w:right w:val="single" w:sz="2" w:space="0" w:color="000000"/>
            </w:tcBorders>
          </w:tcPr>
          <w:p>
            <w:pPr/>
          </w:p>
        </w:tc>
        <w:tc>
          <w:tcPr>
            <w:tcW w:w="1248" w:type="dxa"/>
            <w:tcBorders>
              <w:top w:val="nil" w:sz="6" w:space="0" w:color="auto"/>
              <w:left w:val="single" w:sz="2" w:space="0" w:color="000000"/>
              <w:bottom w:val="nil" w:sz="6" w:space="0" w:color="auto"/>
              <w:right w:val="single" w:sz="2"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595,000.00</w:t>
            </w:r>
          </w:p>
        </w:tc>
        <w:tc>
          <w:tcPr>
            <w:tcW w:w="1009"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0" w:hRule="exact"/>
        </w:trPr>
        <w:tc>
          <w:tcPr>
            <w:tcW w:w="1276"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6"/>
              <w:ind w:left="25" w:right="0"/>
              <w:jc w:val="left"/>
              <w:rPr>
                <w:rFonts w:ascii="宋体" w:hAnsi="宋体" w:cs="宋体" w:eastAsia="宋体" w:hint="default"/>
                <w:sz w:val="18"/>
                <w:szCs w:val="18"/>
              </w:rPr>
            </w:pPr>
            <w:r>
              <w:rPr>
                <w:rFonts w:ascii="宋体" w:hAnsi="宋体" w:cs="宋体" w:eastAsia="宋体" w:hint="default"/>
                <w:sz w:val="18"/>
                <w:szCs w:val="18"/>
              </w:rPr>
              <w:t>的研究及应用</w:t>
            </w:r>
          </w:p>
        </w:tc>
        <w:tc>
          <w:tcPr>
            <w:tcW w:w="1134" w:type="dxa"/>
            <w:tcBorders>
              <w:top w:val="nil" w:sz="6" w:space="0" w:color="auto"/>
              <w:left w:val="single" w:sz="2" w:space="0" w:color="000000"/>
              <w:bottom w:val="single" w:sz="2" w:space="0" w:color="000000"/>
              <w:right w:val="single" w:sz="2" w:space="0" w:color="000000"/>
            </w:tcBorders>
          </w:tcPr>
          <w:p>
            <w:pPr/>
          </w:p>
        </w:tc>
        <w:tc>
          <w:tcPr>
            <w:tcW w:w="862" w:type="dxa"/>
            <w:vMerge/>
            <w:tcBorders>
              <w:left w:val="single" w:sz="2" w:space="0" w:color="000000"/>
              <w:bottom w:val="single" w:sz="2" w:space="0" w:color="000000"/>
              <w:right w:val="single" w:sz="2" w:space="0" w:color="000000"/>
            </w:tcBorders>
          </w:tcPr>
          <w:p>
            <w:pPr/>
          </w:p>
        </w:tc>
        <w:tc>
          <w:tcPr>
            <w:tcW w:w="1010" w:type="dxa"/>
            <w:vMerge/>
            <w:tcBorders>
              <w:left w:val="single" w:sz="2" w:space="0" w:color="000000"/>
              <w:bottom w:val="single" w:sz="2" w:space="0" w:color="000000"/>
              <w:right w:val="single" w:sz="2" w:space="0" w:color="000000"/>
            </w:tcBorders>
          </w:tcPr>
          <w:p>
            <w:pPr/>
          </w:p>
        </w:tc>
        <w:tc>
          <w:tcPr>
            <w:tcW w:w="1009" w:type="dxa"/>
            <w:tcBorders>
              <w:top w:val="nil" w:sz="6" w:space="0" w:color="auto"/>
              <w:left w:val="single" w:sz="2" w:space="0" w:color="000000"/>
              <w:bottom w:val="single" w:sz="2" w:space="0" w:color="000000"/>
              <w:right w:val="single" w:sz="2" w:space="0" w:color="000000"/>
            </w:tcBorders>
          </w:tcPr>
          <w:p>
            <w:pPr/>
          </w:p>
        </w:tc>
        <w:tc>
          <w:tcPr>
            <w:tcW w:w="1010" w:type="dxa"/>
            <w:vMerge/>
            <w:tcBorders>
              <w:left w:val="single" w:sz="2" w:space="0" w:color="000000"/>
              <w:bottom w:val="single" w:sz="2" w:space="0" w:color="000000"/>
              <w:right w:val="single" w:sz="2" w:space="0" w:color="000000"/>
            </w:tcBorders>
          </w:tcPr>
          <w:p>
            <w:pPr/>
          </w:p>
        </w:tc>
        <w:tc>
          <w:tcPr>
            <w:tcW w:w="1010" w:type="dxa"/>
            <w:vMerge/>
            <w:tcBorders>
              <w:left w:val="single" w:sz="2" w:space="0" w:color="000000"/>
              <w:bottom w:val="single" w:sz="2" w:space="0" w:color="000000"/>
              <w:right w:val="single" w:sz="2" w:space="0" w:color="000000"/>
            </w:tcBorders>
          </w:tcPr>
          <w:p>
            <w:pPr/>
          </w:p>
        </w:tc>
        <w:tc>
          <w:tcPr>
            <w:tcW w:w="1248" w:type="dxa"/>
            <w:tcBorders>
              <w:top w:val="nil" w:sz="6" w:space="0" w:color="auto"/>
              <w:left w:val="single" w:sz="2" w:space="0" w:color="000000"/>
              <w:bottom w:val="single" w:sz="2" w:space="0" w:color="000000"/>
              <w:right w:val="single" w:sz="2" w:space="0" w:color="000000"/>
            </w:tcBorders>
          </w:tcPr>
          <w:p>
            <w:pPr/>
          </w:p>
        </w:tc>
        <w:tc>
          <w:tcPr>
            <w:tcW w:w="1009" w:type="dxa"/>
            <w:tcBorders>
              <w:top w:val="nil" w:sz="6" w:space="0" w:color="auto"/>
              <w:left w:val="single" w:sz="2" w:space="0" w:color="000000"/>
              <w:bottom w:val="single" w:sz="2" w:space="0" w:color="000000"/>
              <w:right w:val="single" w:sz="2" w:space="0" w:color="000000"/>
            </w:tcBorders>
          </w:tcPr>
          <w:p>
            <w:pPr/>
          </w:p>
        </w:tc>
      </w:tr>
    </w:tbl>
    <w:p>
      <w:pPr>
        <w:spacing w:after="0"/>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51" w:type="dxa"/>
        <w:tblLayout w:type="fixed"/>
        <w:tblCellMar>
          <w:top w:w="0" w:type="dxa"/>
          <w:left w:w="0" w:type="dxa"/>
          <w:bottom w:w="0" w:type="dxa"/>
          <w:right w:w="0" w:type="dxa"/>
        </w:tblCellMar>
        <w:tblLook w:val="01E0"/>
      </w:tblPr>
      <w:tblGrid>
        <w:gridCol w:w="1276"/>
        <w:gridCol w:w="1134"/>
        <w:gridCol w:w="862"/>
        <w:gridCol w:w="1010"/>
        <w:gridCol w:w="1009"/>
        <w:gridCol w:w="1010"/>
        <w:gridCol w:w="1010"/>
        <w:gridCol w:w="1248"/>
        <w:gridCol w:w="1009"/>
      </w:tblGrid>
      <w:tr>
        <w:trPr>
          <w:trHeight w:val="1333" w:hRule="exact"/>
        </w:trPr>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312" w:lineRule="auto" w:before="51"/>
              <w:ind w:left="25" w:right="74"/>
              <w:jc w:val="left"/>
              <w:rPr>
                <w:rFonts w:ascii="宋体" w:hAnsi="宋体" w:cs="宋体" w:eastAsia="宋体" w:hint="default"/>
                <w:sz w:val="18"/>
                <w:szCs w:val="18"/>
              </w:rPr>
            </w:pPr>
            <w:r>
              <w:rPr>
                <w:rFonts w:ascii="宋体" w:hAnsi="宋体" w:cs="宋体" w:eastAsia="宋体" w:hint="default"/>
                <w:sz w:val="18"/>
                <w:szCs w:val="18"/>
              </w:rPr>
              <w:t>基于云架构的 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卡公共 服务运营平台 及终端项目</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862" w:type="dxa"/>
            <w:tcBorders>
              <w:top w:val="single" w:sz="2" w:space="0" w:color="000000"/>
              <w:left w:val="single" w:sz="2" w:space="0" w:color="000000"/>
              <w:bottom w:val="single" w:sz="2" w:space="0" w:color="000000"/>
              <w:right w:val="single" w:sz="2" w:space="0" w:color="000000"/>
            </w:tcBorders>
          </w:tcPr>
          <w:p>
            <w:pPr/>
          </w:p>
        </w:tc>
        <w:tc>
          <w:tcPr>
            <w:tcW w:w="1010" w:type="dxa"/>
            <w:tcBorders>
              <w:top w:val="single" w:sz="2" w:space="0" w:color="000000"/>
              <w:left w:val="single" w:sz="2" w:space="0" w:color="000000"/>
              <w:bottom w:val="single" w:sz="2" w:space="0" w:color="000000"/>
              <w:right w:val="single" w:sz="2" w:space="0" w:color="000000"/>
            </w:tcBorders>
          </w:tcPr>
          <w:p>
            <w:pPr/>
          </w:p>
        </w:tc>
        <w:tc>
          <w:tcPr>
            <w:tcW w:w="10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150,000.00</w:t>
            </w:r>
          </w:p>
        </w:tc>
        <w:tc>
          <w:tcPr>
            <w:tcW w:w="1010" w:type="dxa"/>
            <w:tcBorders>
              <w:top w:val="single" w:sz="2" w:space="0" w:color="000000"/>
              <w:left w:val="single" w:sz="2" w:space="0" w:color="000000"/>
              <w:bottom w:val="single" w:sz="2" w:space="0" w:color="000000"/>
              <w:right w:val="single" w:sz="2" w:space="0" w:color="000000"/>
            </w:tcBorders>
          </w:tcPr>
          <w:p>
            <w:pPr/>
          </w:p>
        </w:tc>
        <w:tc>
          <w:tcPr>
            <w:tcW w:w="1010" w:type="dxa"/>
            <w:tcBorders>
              <w:top w:val="single" w:sz="2" w:space="0" w:color="000000"/>
              <w:left w:val="single" w:sz="2" w:space="0" w:color="000000"/>
              <w:bottom w:val="single" w:sz="2" w:space="0" w:color="000000"/>
              <w:right w:val="single" w:sz="2" w:space="0" w:color="000000"/>
            </w:tcBorders>
          </w:tcPr>
          <w:p>
            <w:pP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850,000.00</w:t>
            </w:r>
          </w:p>
        </w:tc>
        <w:tc>
          <w:tcPr>
            <w:tcW w:w="10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09" w:hRule="exact"/>
        </w:trPr>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25" w:right="163"/>
              <w:jc w:val="left"/>
              <w:rPr>
                <w:rFonts w:ascii="宋体" w:hAnsi="宋体" w:cs="宋体" w:eastAsia="宋体" w:hint="default"/>
                <w:sz w:val="18"/>
                <w:szCs w:val="18"/>
              </w:rPr>
            </w:pPr>
            <w:r>
              <w:rPr>
                <w:rFonts w:ascii="宋体" w:hAnsi="宋体" w:cs="宋体" w:eastAsia="宋体" w:hint="default"/>
                <w:sz w:val="18"/>
                <w:szCs w:val="18"/>
              </w:rPr>
              <w:t>驾校综合管理 系统研发</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862" w:type="dxa"/>
            <w:tcBorders>
              <w:top w:val="single" w:sz="2" w:space="0" w:color="000000"/>
              <w:left w:val="single" w:sz="2" w:space="0" w:color="000000"/>
              <w:bottom w:val="single" w:sz="2" w:space="0" w:color="000000"/>
              <w:right w:val="single" w:sz="2" w:space="0" w:color="000000"/>
            </w:tcBorders>
          </w:tcPr>
          <w:p>
            <w:pPr/>
          </w:p>
        </w:tc>
        <w:tc>
          <w:tcPr>
            <w:tcW w:w="1010" w:type="dxa"/>
            <w:tcBorders>
              <w:top w:val="single" w:sz="2" w:space="0" w:color="000000"/>
              <w:left w:val="single" w:sz="2" w:space="0" w:color="000000"/>
              <w:bottom w:val="single" w:sz="2" w:space="0" w:color="000000"/>
              <w:right w:val="single" w:sz="2" w:space="0" w:color="000000"/>
            </w:tcBorders>
          </w:tcPr>
          <w:p>
            <w:pPr/>
          </w:p>
        </w:tc>
        <w:tc>
          <w:tcPr>
            <w:tcW w:w="10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30,000.00</w:t>
            </w:r>
          </w:p>
        </w:tc>
        <w:tc>
          <w:tcPr>
            <w:tcW w:w="1010" w:type="dxa"/>
            <w:tcBorders>
              <w:top w:val="single" w:sz="2" w:space="0" w:color="000000"/>
              <w:left w:val="single" w:sz="2" w:space="0" w:color="000000"/>
              <w:bottom w:val="single" w:sz="2" w:space="0" w:color="000000"/>
              <w:right w:val="single" w:sz="2" w:space="0" w:color="000000"/>
            </w:tcBorders>
          </w:tcPr>
          <w:p>
            <w:pPr/>
          </w:p>
        </w:tc>
        <w:tc>
          <w:tcPr>
            <w:tcW w:w="1010" w:type="dxa"/>
            <w:tcBorders>
              <w:top w:val="single" w:sz="2" w:space="0" w:color="000000"/>
              <w:left w:val="single" w:sz="2" w:space="0" w:color="000000"/>
              <w:bottom w:val="single" w:sz="2" w:space="0" w:color="000000"/>
              <w:right w:val="single" w:sz="2" w:space="0" w:color="000000"/>
            </w:tcBorders>
          </w:tcPr>
          <w:p>
            <w:pP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170,000.00</w:t>
            </w:r>
          </w:p>
        </w:tc>
        <w:tc>
          <w:tcPr>
            <w:tcW w:w="10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2" w:hRule="exact"/>
        </w:trPr>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25" w:right="163"/>
              <w:jc w:val="both"/>
              <w:rPr>
                <w:rFonts w:ascii="宋体" w:hAnsi="宋体" w:cs="宋体" w:eastAsia="宋体" w:hint="default"/>
                <w:sz w:val="18"/>
                <w:szCs w:val="18"/>
              </w:rPr>
            </w:pPr>
            <w:r>
              <w:rPr>
                <w:rFonts w:ascii="宋体" w:hAnsi="宋体" w:cs="宋体" w:eastAsia="宋体" w:hint="default"/>
                <w:sz w:val="18"/>
                <w:szCs w:val="18"/>
              </w:rPr>
              <w:t>基于远距离射 频识别技术的 终端产品研究 与开发</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862" w:type="dxa"/>
            <w:tcBorders>
              <w:top w:val="single" w:sz="2" w:space="0" w:color="000000"/>
              <w:left w:val="single" w:sz="2" w:space="0" w:color="000000"/>
              <w:bottom w:val="single" w:sz="2" w:space="0" w:color="000000"/>
              <w:right w:val="single" w:sz="2" w:space="0" w:color="000000"/>
            </w:tcBorders>
          </w:tcPr>
          <w:p>
            <w:pPr/>
          </w:p>
        </w:tc>
        <w:tc>
          <w:tcPr>
            <w:tcW w:w="1010" w:type="dxa"/>
            <w:tcBorders>
              <w:top w:val="single" w:sz="2" w:space="0" w:color="000000"/>
              <w:left w:val="single" w:sz="2" w:space="0" w:color="000000"/>
              <w:bottom w:val="single" w:sz="2" w:space="0" w:color="000000"/>
              <w:right w:val="single" w:sz="2" w:space="0" w:color="000000"/>
            </w:tcBorders>
          </w:tcPr>
          <w:p>
            <w:pPr/>
          </w:p>
        </w:tc>
        <w:tc>
          <w:tcPr>
            <w:tcW w:w="10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150,000.00</w:t>
            </w:r>
          </w:p>
        </w:tc>
        <w:tc>
          <w:tcPr>
            <w:tcW w:w="1010" w:type="dxa"/>
            <w:tcBorders>
              <w:top w:val="single" w:sz="2" w:space="0" w:color="000000"/>
              <w:left w:val="single" w:sz="2" w:space="0" w:color="000000"/>
              <w:bottom w:val="single" w:sz="2" w:space="0" w:color="000000"/>
              <w:right w:val="single" w:sz="2" w:space="0" w:color="000000"/>
            </w:tcBorders>
          </w:tcPr>
          <w:p>
            <w:pPr/>
          </w:p>
        </w:tc>
        <w:tc>
          <w:tcPr>
            <w:tcW w:w="1010" w:type="dxa"/>
            <w:tcBorders>
              <w:top w:val="single" w:sz="2" w:space="0" w:color="000000"/>
              <w:left w:val="single" w:sz="2" w:space="0" w:color="000000"/>
              <w:bottom w:val="single" w:sz="2" w:space="0" w:color="000000"/>
              <w:right w:val="single" w:sz="2" w:space="0" w:color="000000"/>
            </w:tcBorders>
          </w:tcPr>
          <w:p>
            <w:pP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850,000.00</w:t>
            </w:r>
          </w:p>
        </w:tc>
        <w:tc>
          <w:tcPr>
            <w:tcW w:w="10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3" w:hRule="exact"/>
        </w:trPr>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307" w:lineRule="auto" w:before="52"/>
              <w:ind w:left="25" w:right="74"/>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NFC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 的金融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卡移 动支付综合应 用系统</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z w:val="18"/>
              </w:rPr>
              <w:t>300,000.00</w:t>
            </w:r>
          </w:p>
        </w:tc>
        <w:tc>
          <w:tcPr>
            <w:tcW w:w="862" w:type="dxa"/>
            <w:tcBorders>
              <w:top w:val="single" w:sz="2" w:space="0" w:color="000000"/>
              <w:left w:val="single" w:sz="2" w:space="0" w:color="000000"/>
              <w:bottom w:val="single" w:sz="2" w:space="0" w:color="000000"/>
              <w:right w:val="single" w:sz="2" w:space="0" w:color="000000"/>
            </w:tcBorders>
          </w:tcPr>
          <w:p>
            <w:pPr/>
          </w:p>
        </w:tc>
        <w:tc>
          <w:tcPr>
            <w:tcW w:w="1010" w:type="dxa"/>
            <w:tcBorders>
              <w:top w:val="single" w:sz="2" w:space="0" w:color="000000"/>
              <w:left w:val="single" w:sz="2" w:space="0" w:color="000000"/>
              <w:bottom w:val="single" w:sz="2" w:space="0" w:color="000000"/>
              <w:right w:val="single" w:sz="2" w:space="0" w:color="000000"/>
            </w:tcBorders>
          </w:tcPr>
          <w:p>
            <w:pPr/>
          </w:p>
        </w:tc>
        <w:tc>
          <w:tcPr>
            <w:tcW w:w="10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z w:val="18"/>
              </w:rPr>
              <w:t>45,000.00</w:t>
            </w:r>
          </w:p>
        </w:tc>
        <w:tc>
          <w:tcPr>
            <w:tcW w:w="1010" w:type="dxa"/>
            <w:tcBorders>
              <w:top w:val="single" w:sz="2" w:space="0" w:color="000000"/>
              <w:left w:val="single" w:sz="2" w:space="0" w:color="000000"/>
              <w:bottom w:val="single" w:sz="2" w:space="0" w:color="000000"/>
              <w:right w:val="single" w:sz="2" w:space="0" w:color="000000"/>
            </w:tcBorders>
          </w:tcPr>
          <w:p>
            <w:pPr/>
          </w:p>
        </w:tc>
        <w:tc>
          <w:tcPr>
            <w:tcW w:w="1010" w:type="dxa"/>
            <w:tcBorders>
              <w:top w:val="single" w:sz="2" w:space="0" w:color="000000"/>
              <w:left w:val="single" w:sz="2" w:space="0" w:color="000000"/>
              <w:bottom w:val="single" w:sz="2" w:space="0" w:color="000000"/>
              <w:right w:val="single" w:sz="2" w:space="0" w:color="000000"/>
            </w:tcBorders>
          </w:tcPr>
          <w:p>
            <w:pP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3"/>
              <w:jc w:val="right"/>
              <w:rPr>
                <w:rFonts w:ascii="Times New Roman" w:hAnsi="Times New Roman" w:cs="Times New Roman" w:eastAsia="Times New Roman" w:hint="default"/>
                <w:sz w:val="18"/>
                <w:szCs w:val="18"/>
              </w:rPr>
            </w:pPr>
            <w:r>
              <w:rPr>
                <w:rFonts w:ascii="Times New Roman"/>
                <w:sz w:val="18"/>
              </w:rPr>
              <w:t>255,000.00</w:t>
            </w:r>
          </w:p>
        </w:tc>
        <w:tc>
          <w:tcPr>
            <w:tcW w:w="10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893" w:hRule="exact"/>
        </w:trPr>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312" w:lineRule="auto" w:before="51"/>
              <w:ind w:left="25" w:right="23"/>
              <w:jc w:val="left"/>
              <w:rPr>
                <w:rFonts w:ascii="宋体" w:hAnsi="宋体" w:cs="宋体" w:eastAsia="宋体" w:hint="default"/>
                <w:sz w:val="18"/>
                <w:szCs w:val="18"/>
              </w:rPr>
            </w:pPr>
            <w:r>
              <w:rPr>
                <w:rFonts w:ascii="宋体" w:hAnsi="宋体" w:cs="宋体" w:eastAsia="宋体" w:hint="default"/>
                <w:sz w:val="18"/>
                <w:szCs w:val="18"/>
              </w:rPr>
              <w:t>教科文处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年郑州市第二 批科技计划项 </w:t>
            </w:r>
            <w:r>
              <w:rPr>
                <w:rFonts w:ascii="宋体" w:hAnsi="宋体" w:cs="宋体" w:eastAsia="宋体" w:hint="default"/>
                <w:spacing w:val="-6"/>
                <w:sz w:val="18"/>
                <w:szCs w:val="18"/>
              </w:rPr>
              <w:t>目经费（郑州市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科技计划经费</w:t>
            </w:r>
            <w:r>
              <w:rPr>
                <w:rFonts w:ascii="Times New Roman" w:hAnsi="Times New Roman" w:cs="Times New Roman" w:eastAsia="Times New Roman" w:hint="default"/>
                <w:sz w:val="18"/>
                <w:szCs w:val="18"/>
              </w:rPr>
              <w:t>" </w:t>
            </w:r>
            <w:r>
              <w:rPr>
                <w:rFonts w:ascii="宋体" w:hAnsi="宋体" w:cs="宋体" w:eastAsia="宋体" w:hint="default"/>
                <w:sz w:val="18"/>
                <w:szCs w:val="18"/>
              </w:rPr>
              <w:t>基于物联网与 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卡的智 能终端产业化 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862" w:type="dxa"/>
            <w:tcBorders>
              <w:top w:val="single" w:sz="2" w:space="0" w:color="000000"/>
              <w:left w:val="single" w:sz="2" w:space="0" w:color="000000"/>
              <w:bottom w:val="single" w:sz="2" w:space="0" w:color="000000"/>
              <w:right w:val="single" w:sz="2" w:space="0" w:color="000000"/>
            </w:tcBorders>
          </w:tcPr>
          <w:p>
            <w:pPr/>
          </w:p>
        </w:tc>
        <w:tc>
          <w:tcPr>
            <w:tcW w:w="1010" w:type="dxa"/>
            <w:tcBorders>
              <w:top w:val="single" w:sz="2" w:space="0" w:color="000000"/>
              <w:left w:val="single" w:sz="2" w:space="0" w:color="000000"/>
              <w:bottom w:val="single" w:sz="2" w:space="0" w:color="000000"/>
              <w:right w:val="single" w:sz="2" w:space="0" w:color="000000"/>
            </w:tcBorders>
          </w:tcPr>
          <w:p>
            <w:pPr/>
          </w:p>
        </w:tc>
        <w:tc>
          <w:tcPr>
            <w:tcW w:w="10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450,000.00</w:t>
            </w:r>
          </w:p>
        </w:tc>
        <w:tc>
          <w:tcPr>
            <w:tcW w:w="1010" w:type="dxa"/>
            <w:tcBorders>
              <w:top w:val="single" w:sz="2" w:space="0" w:color="000000"/>
              <w:left w:val="single" w:sz="2" w:space="0" w:color="000000"/>
              <w:bottom w:val="single" w:sz="2" w:space="0" w:color="000000"/>
              <w:right w:val="single" w:sz="2" w:space="0" w:color="000000"/>
            </w:tcBorders>
          </w:tcPr>
          <w:p>
            <w:pPr/>
          </w:p>
        </w:tc>
        <w:tc>
          <w:tcPr>
            <w:tcW w:w="1010" w:type="dxa"/>
            <w:tcBorders>
              <w:top w:val="single" w:sz="2" w:space="0" w:color="000000"/>
              <w:left w:val="single" w:sz="2" w:space="0" w:color="000000"/>
              <w:bottom w:val="single" w:sz="2" w:space="0" w:color="000000"/>
              <w:right w:val="single" w:sz="2" w:space="0" w:color="000000"/>
            </w:tcBorders>
          </w:tcPr>
          <w:p>
            <w:pP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2,550,000.00</w:t>
            </w:r>
          </w:p>
        </w:tc>
        <w:tc>
          <w:tcPr>
            <w:tcW w:w="10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581" w:hRule="exact"/>
        </w:trPr>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309" w:lineRule="auto" w:before="51"/>
              <w:ind w:left="25" w:right="74"/>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NFC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 的金融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卡移 动支付综合应 用系统研发及 产业化（</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年河南省扶持 企业自主创新 资金项目）</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3,268,333.33</w:t>
            </w:r>
          </w:p>
        </w:tc>
        <w:tc>
          <w:tcPr>
            <w:tcW w:w="862" w:type="dxa"/>
            <w:tcBorders>
              <w:top w:val="single" w:sz="2" w:space="0" w:color="000000"/>
              <w:left w:val="single" w:sz="2" w:space="0" w:color="000000"/>
              <w:bottom w:val="single" w:sz="2" w:space="0" w:color="000000"/>
              <w:right w:val="single" w:sz="2" w:space="0" w:color="000000"/>
            </w:tcBorders>
          </w:tcPr>
          <w:p>
            <w:pPr/>
          </w:p>
        </w:tc>
        <w:tc>
          <w:tcPr>
            <w:tcW w:w="1010" w:type="dxa"/>
            <w:tcBorders>
              <w:top w:val="single" w:sz="2" w:space="0" w:color="000000"/>
              <w:left w:val="single" w:sz="2" w:space="0" w:color="000000"/>
              <w:bottom w:val="single" w:sz="2" w:space="0" w:color="000000"/>
              <w:right w:val="single" w:sz="2" w:space="0" w:color="000000"/>
            </w:tcBorders>
          </w:tcPr>
          <w:p>
            <w:pPr/>
          </w:p>
        </w:tc>
        <w:tc>
          <w:tcPr>
            <w:tcW w:w="10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740,000.00</w:t>
            </w:r>
          </w:p>
        </w:tc>
        <w:tc>
          <w:tcPr>
            <w:tcW w:w="1010" w:type="dxa"/>
            <w:tcBorders>
              <w:top w:val="single" w:sz="2" w:space="0" w:color="000000"/>
              <w:left w:val="single" w:sz="2" w:space="0" w:color="000000"/>
              <w:bottom w:val="single" w:sz="2" w:space="0" w:color="000000"/>
              <w:right w:val="single" w:sz="2" w:space="0" w:color="000000"/>
            </w:tcBorders>
          </w:tcPr>
          <w:p>
            <w:pPr/>
          </w:p>
        </w:tc>
        <w:tc>
          <w:tcPr>
            <w:tcW w:w="1010" w:type="dxa"/>
            <w:tcBorders>
              <w:top w:val="single" w:sz="2" w:space="0" w:color="000000"/>
              <w:left w:val="single" w:sz="2" w:space="0" w:color="000000"/>
              <w:bottom w:val="single" w:sz="2" w:space="0" w:color="000000"/>
              <w:right w:val="single" w:sz="2" w:space="0" w:color="000000"/>
            </w:tcBorders>
          </w:tcPr>
          <w:p>
            <w:pP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pacing w:val="-1"/>
                <w:sz w:val="18"/>
              </w:rPr>
              <w:t>2,528,333.33</w:t>
            </w:r>
          </w:p>
        </w:tc>
        <w:tc>
          <w:tcPr>
            <w:tcW w:w="10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1" w:hRule="exact"/>
        </w:trPr>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25" w:right="148"/>
              <w:jc w:val="both"/>
              <w:rPr>
                <w:rFonts w:ascii="Times New Roman" w:hAnsi="Times New Roman" w:cs="Times New Roman" w:eastAsia="Times New Roman" w:hint="default"/>
                <w:sz w:val="18"/>
                <w:szCs w:val="18"/>
              </w:rPr>
            </w:pPr>
            <w:r>
              <w:rPr>
                <w:rFonts w:ascii="宋体" w:hAnsi="宋体" w:cs="宋体" w:eastAsia="宋体" w:hint="default"/>
                <w:sz w:val="18"/>
                <w:szCs w:val="18"/>
              </w:rPr>
              <w:t>基于大数据行 为分析系统的 移动校园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APP</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1,320,000.00</w:t>
            </w:r>
          </w:p>
        </w:tc>
        <w:tc>
          <w:tcPr>
            <w:tcW w:w="862" w:type="dxa"/>
            <w:tcBorders>
              <w:top w:val="single" w:sz="2" w:space="0" w:color="000000"/>
              <w:left w:val="single" w:sz="2" w:space="0" w:color="000000"/>
              <w:bottom w:val="single" w:sz="2" w:space="0" w:color="000000"/>
              <w:right w:val="single" w:sz="2" w:space="0" w:color="000000"/>
            </w:tcBorders>
          </w:tcPr>
          <w:p>
            <w:pPr/>
          </w:p>
        </w:tc>
        <w:tc>
          <w:tcPr>
            <w:tcW w:w="1010" w:type="dxa"/>
            <w:tcBorders>
              <w:top w:val="single" w:sz="2" w:space="0" w:color="000000"/>
              <w:left w:val="single" w:sz="2" w:space="0" w:color="000000"/>
              <w:bottom w:val="single" w:sz="2" w:space="0" w:color="000000"/>
              <w:right w:val="single" w:sz="2" w:space="0" w:color="000000"/>
            </w:tcBorders>
          </w:tcPr>
          <w:p>
            <w:pPr/>
          </w:p>
        </w:tc>
        <w:tc>
          <w:tcPr>
            <w:tcW w:w="10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1,320,000.00</w:t>
            </w:r>
          </w:p>
        </w:tc>
        <w:tc>
          <w:tcPr>
            <w:tcW w:w="1010" w:type="dxa"/>
            <w:tcBorders>
              <w:top w:val="single" w:sz="2" w:space="0" w:color="000000"/>
              <w:left w:val="single" w:sz="2" w:space="0" w:color="000000"/>
              <w:bottom w:val="single" w:sz="2" w:space="0" w:color="000000"/>
              <w:right w:val="single" w:sz="2" w:space="0" w:color="000000"/>
            </w:tcBorders>
          </w:tcPr>
          <w:p>
            <w:pPr/>
          </w:p>
        </w:tc>
        <w:tc>
          <w:tcPr>
            <w:tcW w:w="1010" w:type="dxa"/>
            <w:tcBorders>
              <w:top w:val="single" w:sz="2" w:space="0" w:color="000000"/>
              <w:left w:val="single" w:sz="2" w:space="0" w:color="000000"/>
              <w:bottom w:val="single" w:sz="2" w:space="0" w:color="000000"/>
              <w:right w:val="single" w:sz="2" w:space="0" w:color="000000"/>
            </w:tcBorders>
          </w:tcPr>
          <w:p>
            <w:pPr/>
          </w:p>
        </w:tc>
        <w:tc>
          <w:tcPr>
            <w:tcW w:w="1248" w:type="dxa"/>
            <w:tcBorders>
              <w:top w:val="single" w:sz="2" w:space="0" w:color="000000"/>
              <w:left w:val="single" w:sz="2" w:space="0" w:color="000000"/>
              <w:bottom w:val="single" w:sz="2" w:space="0" w:color="000000"/>
              <w:right w:val="single" w:sz="2" w:space="0" w:color="000000"/>
            </w:tcBorders>
          </w:tcPr>
          <w:p>
            <w:pPr/>
          </w:p>
        </w:tc>
        <w:tc>
          <w:tcPr>
            <w:tcW w:w="10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97" w:hRule="exact"/>
        </w:trPr>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17,452,833.33</w:t>
            </w:r>
          </w:p>
        </w:tc>
        <w:tc>
          <w:tcPr>
            <w:tcW w:w="862" w:type="dxa"/>
            <w:tcBorders>
              <w:top w:val="single" w:sz="2" w:space="0" w:color="000000"/>
              <w:left w:val="single" w:sz="2" w:space="0" w:color="000000"/>
              <w:bottom w:val="single" w:sz="2" w:space="0" w:color="000000"/>
              <w:right w:val="single" w:sz="2" w:space="0" w:color="000000"/>
            </w:tcBorders>
          </w:tcPr>
          <w:p>
            <w:pPr/>
          </w:p>
        </w:tc>
        <w:tc>
          <w:tcPr>
            <w:tcW w:w="1010" w:type="dxa"/>
            <w:tcBorders>
              <w:top w:val="single" w:sz="2" w:space="0" w:color="000000"/>
              <w:left w:val="single" w:sz="2" w:space="0" w:color="000000"/>
              <w:bottom w:val="single" w:sz="2" w:space="0" w:color="000000"/>
              <w:right w:val="single" w:sz="2" w:space="0" w:color="000000"/>
            </w:tcBorders>
          </w:tcPr>
          <w:p>
            <w:pPr/>
          </w:p>
        </w:tc>
        <w:tc>
          <w:tcPr>
            <w:tcW w:w="10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4,632,416.67</w:t>
            </w:r>
          </w:p>
        </w:tc>
        <w:tc>
          <w:tcPr>
            <w:tcW w:w="1010" w:type="dxa"/>
            <w:tcBorders>
              <w:top w:val="single" w:sz="2" w:space="0" w:color="000000"/>
              <w:left w:val="single" w:sz="2" w:space="0" w:color="000000"/>
              <w:bottom w:val="single" w:sz="2" w:space="0" w:color="000000"/>
              <w:right w:val="single" w:sz="2" w:space="0" w:color="000000"/>
            </w:tcBorders>
          </w:tcPr>
          <w:p>
            <w:pPr/>
          </w:p>
        </w:tc>
        <w:tc>
          <w:tcPr>
            <w:tcW w:w="1010" w:type="dxa"/>
            <w:tcBorders>
              <w:top w:val="single" w:sz="2" w:space="0" w:color="000000"/>
              <w:left w:val="single" w:sz="2" w:space="0" w:color="000000"/>
              <w:bottom w:val="single" w:sz="2" w:space="0" w:color="000000"/>
              <w:right w:val="single" w:sz="2" w:space="0" w:color="000000"/>
            </w:tcBorders>
          </w:tcPr>
          <w:p>
            <w:pP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12,820,416.66</w:t>
            </w:r>
          </w:p>
        </w:tc>
        <w:tc>
          <w:tcPr>
            <w:tcW w:w="1009" w:type="dxa"/>
            <w:tcBorders>
              <w:top w:val="single" w:sz="2" w:space="0" w:color="000000"/>
              <w:left w:val="single" w:sz="2" w:space="0" w:color="000000"/>
              <w:bottom w:val="single" w:sz="2" w:space="0" w:color="000000"/>
              <w:right w:val="single" w:sz="2" w:space="0" w:color="000000"/>
            </w:tcBorders>
          </w:tcPr>
          <w:p>
            <w:pPr/>
          </w:p>
        </w:tc>
      </w:tr>
    </w:tbl>
    <w:p>
      <w:pPr>
        <w:spacing w:line="240" w:lineRule="auto" w:before="4"/>
        <w:rPr>
          <w:rFonts w:ascii="Times New Roman" w:hAnsi="Times New Roman" w:cs="Times New Roman" w:eastAsia="Times New Roman" w:hint="default"/>
          <w:sz w:val="7"/>
          <w:szCs w:val="7"/>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8"/>
          <w:szCs w:val="18"/>
        </w:rPr>
      </w:pPr>
    </w:p>
    <w:p>
      <w:pPr>
        <w:pStyle w:val="BodyText"/>
        <w:spacing w:line="240" w:lineRule="auto" w:before="0"/>
        <w:ind w:left="574" w:right="1113"/>
        <w:jc w:val="left"/>
        <w:rPr>
          <w:rFonts w:ascii="Times New Roman" w:hAnsi="Times New Roman" w:cs="Times New Roman" w:eastAsia="Times New Roman" w:hint="default"/>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t>年郑州市第三批技术研究与开发经费项目：智能卡</w:t>
      </w:r>
      <w:r>
        <w:rPr>
          <w:rFonts w:ascii="Times New Roman" w:hAnsi="Times New Roman" w:cs="Times New Roman" w:eastAsia="Times New Roman" w:hint="default"/>
        </w:rPr>
        <w:t>RFID</w:t>
      </w:r>
      <w:r>
        <w:rPr/>
        <w:t>支付与识别产品产业化应用已于</w:t>
      </w:r>
      <w:r>
        <w:rPr>
          <w:rFonts w:ascii="Times New Roman" w:hAnsi="Times New Roman" w:cs="Times New Roman" w:eastAsia="Times New Roman" w:hint="default"/>
        </w:rPr>
        <w:t>2014</w:t>
      </w:r>
    </w:p>
    <w:p>
      <w:pPr>
        <w:pStyle w:val="BodyText"/>
        <w:spacing w:line="240" w:lineRule="auto" w:before="177"/>
        <w:ind w:right="993"/>
        <w:jc w:val="left"/>
      </w:pPr>
      <w:r>
        <w:rPr>
          <w:spacing w:val="-3"/>
        </w:rPr>
        <w:t>年</w:t>
      </w:r>
      <w:r>
        <w:rPr>
          <w:rFonts w:ascii="Times New Roman" w:hAnsi="Times New Roman" w:cs="Times New Roman" w:eastAsia="Times New Roman" w:hint="default"/>
          <w:spacing w:val="-3"/>
        </w:rPr>
        <w:t>4</w:t>
      </w:r>
      <w:r>
        <w:rPr>
          <w:spacing w:val="-3"/>
        </w:rPr>
        <w:t>月验收合格并开始摊销，按照</w:t>
      </w:r>
      <w:r>
        <w:rPr>
          <w:rFonts w:ascii="Times New Roman" w:hAnsi="Times New Roman" w:cs="Times New Roman" w:eastAsia="Times New Roman" w:hint="default"/>
          <w:spacing w:val="-3"/>
        </w:rPr>
        <w:t>5</w:t>
      </w:r>
      <w:r>
        <w:rPr>
          <w:spacing w:val="-3"/>
        </w:rPr>
        <w:t>年摊销，每年摊销额</w:t>
      </w:r>
      <w:r>
        <w:rPr>
          <w:rFonts w:ascii="Times New Roman" w:hAnsi="Times New Roman" w:cs="Times New Roman" w:eastAsia="Times New Roman" w:hint="default"/>
          <w:spacing w:val="-3"/>
        </w:rPr>
        <w:t>20.00</w:t>
      </w:r>
      <w:r>
        <w:rPr>
          <w:spacing w:val="-3"/>
        </w:rPr>
        <w:t>万，本年剩余</w:t>
      </w:r>
      <w:r>
        <w:rPr>
          <w:rFonts w:ascii="Times New Roman" w:hAnsi="Times New Roman" w:cs="Times New Roman" w:eastAsia="Times New Roman" w:hint="default"/>
          <w:spacing w:val="-3"/>
        </w:rPr>
        <w:t>6.67</w:t>
      </w:r>
      <w:r>
        <w:rPr>
          <w:spacing w:val="-3"/>
        </w:rPr>
        <w:t>万全部摊销完，期末无余额；</w:t>
      </w:r>
    </w:p>
    <w:p>
      <w:pPr>
        <w:pStyle w:val="BodyText"/>
        <w:spacing w:line="386" w:lineRule="auto" w:before="177"/>
        <w:ind w:right="1113" w:firstLine="420"/>
        <w:jc w:val="left"/>
      </w:pPr>
      <w:r>
        <w:rPr>
          <w:rFonts w:ascii="Times New Roman" w:hAnsi="Times New Roman" w:cs="Times New Roman" w:eastAsia="Times New Roman" w:hint="default"/>
        </w:rPr>
        <w:t>2</w:t>
      </w:r>
      <w:r>
        <w:rPr/>
        <w:t>、河南省财政厅高新技术产业化专项资金：基于金融</w:t>
      </w:r>
      <w:r>
        <w:rPr>
          <w:rFonts w:ascii="Times New Roman" w:hAnsi="Times New Roman" w:cs="Times New Roman" w:eastAsia="Times New Roman" w:hint="default"/>
        </w:rPr>
        <w:t>IC</w:t>
      </w:r>
      <w:r>
        <w:rPr/>
        <w:t>卡的移动支付信息化服务平台与终端项目原</w:t>
      </w:r>
      <w:r>
        <w:rPr>
          <w:spacing w:val="2"/>
        </w:rPr>
        <w:t> </w:t>
      </w:r>
      <w:r>
        <w:rPr/>
        <w:t>值</w:t>
      </w:r>
      <w:r>
        <w:rPr>
          <w:rFonts w:ascii="Times New Roman" w:hAnsi="Times New Roman" w:cs="Times New Roman" w:eastAsia="Times New Roman" w:hint="default"/>
        </w:rPr>
        <w:t>161.00</w:t>
      </w:r>
      <w:r>
        <w:rPr/>
        <w:t>万，按照</w:t>
      </w:r>
      <w:r>
        <w:rPr>
          <w:rFonts w:ascii="Times New Roman" w:hAnsi="Times New Roman" w:cs="Times New Roman" w:eastAsia="Times New Roman" w:hint="default"/>
        </w:rPr>
        <w:t>5</w:t>
      </w:r>
      <w:r>
        <w:rPr/>
        <w:t>年摊销，每年摊销</w:t>
      </w:r>
      <w:r>
        <w:rPr>
          <w:rFonts w:ascii="Times New Roman" w:hAnsi="Times New Roman" w:cs="Times New Roman" w:eastAsia="Times New Roman" w:hint="default"/>
        </w:rPr>
        <w:t>32.20</w:t>
      </w:r>
      <w:r>
        <w:rPr/>
        <w:t>万元；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月收到郑州高新技术产业开发区财政国库集中</w:t>
      </w:r>
    </w:p>
    <w:p>
      <w:pPr>
        <w:spacing w:after="0" w:line="386"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386" w:lineRule="auto" w:before="35"/>
        <w:ind w:left="153" w:right="1113"/>
        <w:jc w:val="left"/>
      </w:pPr>
      <w:r>
        <w:rPr/>
        <w:t>支付中心拨付的河南省高新技术化项目后补资金</w:t>
      </w:r>
      <w:r>
        <w:rPr>
          <w:rFonts w:ascii="Times New Roman" w:hAnsi="Times New Roman" w:cs="Times New Roman" w:eastAsia="Times New Roman" w:hint="default"/>
        </w:rPr>
        <w:t>102</w:t>
      </w:r>
      <w:r>
        <w:rPr/>
        <w:t>号</w:t>
      </w:r>
      <w:r>
        <w:rPr>
          <w:rFonts w:ascii="Times New Roman" w:hAnsi="Times New Roman" w:cs="Times New Roman" w:eastAsia="Times New Roman" w:hint="default"/>
        </w:rPr>
        <w:t>69.00</w:t>
      </w:r>
      <w:r>
        <w:rPr/>
        <w:t>万元，按照</w:t>
      </w:r>
      <w:r>
        <w:rPr>
          <w:rFonts w:ascii="Times New Roman" w:hAnsi="Times New Roman" w:cs="Times New Roman" w:eastAsia="Times New Roman" w:hint="default"/>
        </w:rPr>
        <w:t>4</w:t>
      </w:r>
      <w:r>
        <w:rPr/>
        <w:t>年摊销，每年摊销</w:t>
      </w:r>
      <w:r>
        <w:rPr>
          <w:rFonts w:ascii="Times New Roman" w:hAnsi="Times New Roman" w:cs="Times New Roman" w:eastAsia="Times New Roman" w:hint="default"/>
        </w:rPr>
        <w:t>17.25</w:t>
      </w:r>
      <w:r>
        <w:rPr/>
        <w:t>万元；本</w:t>
      </w:r>
      <w:r>
        <w:rPr>
          <w:spacing w:val="-43"/>
        </w:rPr>
        <w:t> </w:t>
      </w:r>
      <w:r>
        <w:rPr>
          <w:spacing w:val="-43"/>
        </w:rPr>
      </w:r>
      <w:r>
        <w:rPr/>
        <w:t>年剩余</w:t>
      </w:r>
      <w:r>
        <w:rPr>
          <w:rFonts w:ascii="Times New Roman" w:hAnsi="Times New Roman" w:cs="Times New Roman" w:eastAsia="Times New Roman" w:hint="default"/>
        </w:rPr>
        <w:t>49.45</w:t>
      </w:r>
      <w:r>
        <w:rPr/>
        <w:t>万全部摊销完，期末无余额；</w:t>
      </w:r>
    </w:p>
    <w:p>
      <w:pPr>
        <w:pStyle w:val="BodyText"/>
        <w:spacing w:line="386" w:lineRule="auto" w:before="35"/>
        <w:ind w:left="153" w:right="1131" w:firstLine="420"/>
        <w:jc w:val="both"/>
      </w:pPr>
      <w:r>
        <w:rPr>
          <w:rFonts w:ascii="Times New Roman" w:hAnsi="Times New Roman" w:cs="Times New Roman" w:eastAsia="Times New Roman" w:hint="default"/>
        </w:rPr>
        <w:t>3</w:t>
      </w:r>
      <w:r>
        <w:rPr/>
        <w:t>、金融支付系统及终端项目：于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日收到国家金库河南省分库拔付的共 </w:t>
      </w:r>
      <w:r>
        <w:rPr>
          <w:spacing w:val="-1"/>
        </w:rPr>
        <w:t>计</w:t>
      </w:r>
      <w:r>
        <w:rPr>
          <w:rFonts w:ascii="Times New Roman" w:hAnsi="Times New Roman" w:cs="Times New Roman" w:eastAsia="Times New Roman" w:hint="default"/>
          <w:spacing w:val="-1"/>
        </w:rPr>
        <w:t>130.00</w:t>
      </w:r>
      <w:r>
        <w:rPr>
          <w:spacing w:val="-1"/>
        </w:rPr>
        <w:t>万元的政府补助，于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5</w:t>
      </w:r>
      <w:r>
        <w:rPr>
          <w:spacing w:val="-1"/>
        </w:rPr>
        <w:t>月验收合格开始摊销，按照</w:t>
      </w:r>
      <w:r>
        <w:rPr>
          <w:rFonts w:ascii="Times New Roman" w:hAnsi="Times New Roman" w:cs="Times New Roman" w:eastAsia="Times New Roman" w:hint="default"/>
          <w:spacing w:val="-1"/>
        </w:rPr>
        <w:t>5</w:t>
      </w:r>
      <w:r>
        <w:rPr>
          <w:spacing w:val="-1"/>
        </w:rPr>
        <w:t>年摊销，每年摊销</w:t>
      </w:r>
      <w:r>
        <w:rPr>
          <w:rFonts w:ascii="Times New Roman" w:hAnsi="Times New Roman" w:cs="Times New Roman" w:eastAsia="Times New Roman" w:hint="default"/>
          <w:spacing w:val="-1"/>
        </w:rPr>
        <w:t>26.00</w:t>
      </w:r>
      <w:r>
        <w:rPr>
          <w:spacing w:val="-1"/>
        </w:rPr>
        <w:t>万元，累计摊销</w:t>
      </w:r>
      <w:r>
        <w:rPr>
          <w:spacing w:val="-83"/>
        </w:rPr>
        <w:t> </w:t>
      </w:r>
      <w:r>
        <w:rPr>
          <w:spacing w:val="-83"/>
        </w:rPr>
      </w:r>
      <w:r>
        <w:rPr>
          <w:rFonts w:ascii="Times New Roman" w:hAnsi="Times New Roman" w:cs="Times New Roman" w:eastAsia="Times New Roman" w:hint="default"/>
        </w:rPr>
        <w:t>93.17</w:t>
      </w:r>
      <w:r>
        <w:rPr/>
        <w:t>万元，期末余额</w:t>
      </w:r>
      <w:r>
        <w:rPr>
          <w:rFonts w:ascii="Times New Roman" w:hAnsi="Times New Roman" w:cs="Times New Roman" w:eastAsia="Times New Roman" w:hint="default"/>
        </w:rPr>
        <w:t>36.83</w:t>
      </w:r>
      <w:r>
        <w:rPr/>
        <w:t>万元；</w:t>
      </w:r>
    </w:p>
    <w:p>
      <w:pPr>
        <w:pStyle w:val="BodyText"/>
        <w:spacing w:line="386" w:lineRule="auto" w:before="35"/>
        <w:ind w:left="153" w:right="1128" w:firstLine="420"/>
        <w:jc w:val="both"/>
      </w:pPr>
      <w:r>
        <w:rPr>
          <w:rFonts w:ascii="Times New Roman" w:hAnsi="Times New Roman" w:cs="Times New Roman" w:eastAsia="Times New Roman" w:hint="default"/>
          <w:spacing w:val="-1"/>
        </w:rPr>
        <w:t>4</w:t>
      </w:r>
      <w:r>
        <w:rPr>
          <w:spacing w:val="-1"/>
        </w:rPr>
        <w:t>、基于金融</w:t>
      </w:r>
      <w:r>
        <w:rPr>
          <w:rFonts w:ascii="Times New Roman" w:hAnsi="Times New Roman" w:cs="Times New Roman" w:eastAsia="Times New Roman" w:hint="default"/>
          <w:spacing w:val="-1"/>
        </w:rPr>
        <w:t>IC</w:t>
      </w:r>
      <w:r>
        <w:rPr>
          <w:spacing w:val="-1"/>
        </w:rPr>
        <w:t>卡智能终端产业化项目（</w:t>
      </w:r>
      <w:r>
        <w:rPr>
          <w:rFonts w:ascii="Times New Roman" w:hAnsi="Times New Roman" w:cs="Times New Roman" w:eastAsia="Times New Roman" w:hint="default"/>
          <w:spacing w:val="-1"/>
        </w:rPr>
        <w:t>2014</w:t>
      </w:r>
      <w:r>
        <w:rPr>
          <w:spacing w:val="-1"/>
        </w:rPr>
        <w:t>年省先进制造业专项引导资金）于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月验收合格并</w:t>
      </w:r>
      <w:r>
        <w:rPr/>
        <w:t> 开始摊销，原值为</w:t>
      </w:r>
      <w:r>
        <w:rPr>
          <w:rFonts w:ascii="Times New Roman" w:hAnsi="Times New Roman" w:cs="Times New Roman" w:eastAsia="Times New Roman" w:hint="default"/>
        </w:rPr>
        <w:t>297.50</w:t>
      </w:r>
      <w:r>
        <w:rPr/>
        <w:t>万元，按照</w:t>
      </w:r>
      <w:r>
        <w:rPr>
          <w:rFonts w:ascii="Times New Roman" w:hAnsi="Times New Roman" w:cs="Times New Roman" w:eastAsia="Times New Roman" w:hint="default"/>
        </w:rPr>
        <w:t>5</w:t>
      </w:r>
      <w:r>
        <w:rPr/>
        <w:t>年摊销，本年摊销</w:t>
      </w:r>
      <w:r>
        <w:rPr>
          <w:rFonts w:ascii="Times New Roman" w:hAnsi="Times New Roman" w:cs="Times New Roman" w:eastAsia="Times New Roman" w:hint="default"/>
        </w:rPr>
        <w:t>44.63</w:t>
      </w:r>
      <w:r>
        <w:rPr/>
        <w:t>万元，累计摊销</w:t>
      </w:r>
      <w:r>
        <w:rPr>
          <w:rFonts w:ascii="Times New Roman" w:hAnsi="Times New Roman" w:cs="Times New Roman" w:eastAsia="Times New Roman" w:hint="default"/>
        </w:rPr>
        <w:t>44.63</w:t>
      </w:r>
      <w:r>
        <w:rPr/>
        <w:t>万元，期末余额</w:t>
      </w:r>
      <w:r>
        <w:rPr>
          <w:rFonts w:ascii="Times New Roman" w:hAnsi="Times New Roman" w:cs="Times New Roman" w:eastAsia="Times New Roman" w:hint="default"/>
        </w:rPr>
        <w:t>252.87</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t>万元；</w:t>
      </w:r>
    </w:p>
    <w:p>
      <w:pPr>
        <w:pStyle w:val="BodyText"/>
        <w:spacing w:line="386" w:lineRule="auto" w:before="65"/>
        <w:ind w:left="153" w:right="993" w:firstLine="420"/>
        <w:jc w:val="left"/>
      </w:pPr>
      <w:r>
        <w:rPr>
          <w:rFonts w:ascii="Times New Roman" w:hAnsi="Times New Roman" w:cs="Times New Roman" w:eastAsia="Times New Roman" w:hint="default"/>
          <w:spacing w:val="-2"/>
        </w:rPr>
        <w:t>5</w:t>
      </w:r>
      <w:r>
        <w:rPr>
          <w:spacing w:val="-2"/>
        </w:rPr>
        <w:t>、重大科技专项基于电信运营的小额支付项目：于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月验收合格开始摊销，原值为</w:t>
      </w:r>
      <w:r>
        <w:rPr>
          <w:rFonts w:ascii="Times New Roman" w:hAnsi="Times New Roman" w:cs="Times New Roman" w:eastAsia="Times New Roman" w:hint="default"/>
          <w:spacing w:val="-2"/>
        </w:rPr>
        <w:t>100.00</w:t>
      </w:r>
      <w:r>
        <w:rPr>
          <w:spacing w:val="-2"/>
        </w:rPr>
        <w:t>万元，</w:t>
      </w:r>
      <w:r>
        <w:rPr/>
        <w:t> 按照</w:t>
      </w:r>
      <w:r>
        <w:rPr>
          <w:rFonts w:ascii="Times New Roman" w:hAnsi="Times New Roman" w:cs="Times New Roman" w:eastAsia="Times New Roman" w:hint="default"/>
        </w:rPr>
        <w:t>5</w:t>
      </w:r>
      <w:r>
        <w:rPr/>
        <w:t>年摊销，本年摊销</w:t>
      </w:r>
      <w:r>
        <w:rPr>
          <w:rFonts w:ascii="Times New Roman" w:hAnsi="Times New Roman" w:cs="Times New Roman" w:eastAsia="Times New Roman" w:hint="default"/>
        </w:rPr>
        <w:t>15.00</w:t>
      </w:r>
      <w:r>
        <w:rPr/>
        <w:t>万元，累计摊销</w:t>
      </w:r>
      <w:r>
        <w:rPr>
          <w:rFonts w:ascii="Times New Roman" w:hAnsi="Times New Roman" w:cs="Times New Roman" w:eastAsia="Times New Roman" w:hint="default"/>
        </w:rPr>
        <w:t>15.00</w:t>
      </w:r>
      <w:r>
        <w:rPr/>
        <w:t>万元，期末余额</w:t>
      </w:r>
      <w:r>
        <w:rPr>
          <w:rFonts w:ascii="Times New Roman" w:hAnsi="Times New Roman" w:cs="Times New Roman" w:eastAsia="Times New Roman" w:hint="default"/>
        </w:rPr>
        <w:t>85.00</w:t>
      </w:r>
      <w:r>
        <w:rPr/>
        <w:t>万元；</w:t>
      </w:r>
    </w:p>
    <w:p>
      <w:pPr>
        <w:pStyle w:val="BodyText"/>
        <w:spacing w:line="386" w:lineRule="auto" w:before="35"/>
        <w:ind w:left="153" w:right="1128" w:firstLine="419"/>
        <w:jc w:val="both"/>
      </w:pPr>
      <w:r>
        <w:rPr>
          <w:rFonts w:ascii="Times New Roman" w:hAnsi="Times New Roman" w:cs="Times New Roman" w:eastAsia="Times New Roman" w:hint="default"/>
          <w:spacing w:val="-1"/>
        </w:rPr>
        <w:t>6</w:t>
      </w:r>
      <w:r>
        <w:rPr>
          <w:spacing w:val="-1"/>
        </w:rPr>
        <w:t>、基于物联网应用的系列智能终端与（高新区财政局</w:t>
      </w:r>
      <w:r>
        <w:rPr>
          <w:rFonts w:ascii="Times New Roman" w:hAnsi="Times New Roman" w:cs="Times New Roman" w:eastAsia="Times New Roman" w:hint="default"/>
          <w:spacing w:val="-1"/>
        </w:rPr>
        <w:t>2011</w:t>
      </w:r>
      <w:r>
        <w:rPr>
          <w:spacing w:val="-1"/>
        </w:rPr>
        <w:t>年物联网发展专项资金款）：于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t> 验收合格并开始摊销，原值为</w:t>
      </w:r>
      <w:r>
        <w:rPr>
          <w:rFonts w:ascii="Times New Roman" w:hAnsi="Times New Roman" w:cs="Times New Roman" w:eastAsia="Times New Roman" w:hint="default"/>
        </w:rPr>
        <w:t>100.00</w:t>
      </w:r>
      <w:r>
        <w:rPr/>
        <w:t>万元，按照</w:t>
      </w:r>
      <w:r>
        <w:rPr>
          <w:rFonts w:ascii="Times New Roman" w:hAnsi="Times New Roman" w:cs="Times New Roman" w:eastAsia="Times New Roman" w:hint="default"/>
        </w:rPr>
        <w:t>5</w:t>
      </w:r>
      <w:r>
        <w:rPr/>
        <w:t>年摊销，本年摊销</w:t>
      </w:r>
      <w:r>
        <w:rPr>
          <w:rFonts w:ascii="Times New Roman" w:hAnsi="Times New Roman" w:cs="Times New Roman" w:eastAsia="Times New Roman" w:hint="default"/>
        </w:rPr>
        <w:t>15.00</w:t>
      </w:r>
      <w:r>
        <w:rPr/>
        <w:t>万元，累计摊销</w:t>
      </w:r>
      <w:r>
        <w:rPr>
          <w:rFonts w:ascii="Times New Roman" w:hAnsi="Times New Roman" w:cs="Times New Roman" w:eastAsia="Times New Roman" w:hint="default"/>
        </w:rPr>
        <w:t>15.00</w:t>
      </w:r>
      <w:r>
        <w:rPr/>
        <w:t>万元，期末</w:t>
      </w:r>
      <w:r>
        <w:rPr>
          <w:spacing w:val="-87"/>
        </w:rPr>
        <w:t> </w:t>
      </w:r>
      <w:r>
        <w:rPr>
          <w:spacing w:val="-87"/>
        </w:rPr>
      </w:r>
      <w:r>
        <w:rPr/>
        <w:t>余额</w:t>
      </w:r>
      <w:r>
        <w:rPr>
          <w:rFonts w:ascii="Times New Roman" w:hAnsi="Times New Roman" w:cs="Times New Roman" w:eastAsia="Times New Roman" w:hint="default"/>
        </w:rPr>
        <w:t>85.00</w:t>
      </w:r>
      <w:r>
        <w:rPr/>
        <w:t>万元；</w:t>
      </w:r>
    </w:p>
    <w:p>
      <w:pPr>
        <w:pStyle w:val="BodyText"/>
        <w:spacing w:line="386" w:lineRule="auto" w:before="35"/>
        <w:ind w:left="153" w:right="1130" w:firstLine="420"/>
        <w:jc w:val="both"/>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2011</w:t>
      </w:r>
      <w:r>
        <w:rPr/>
        <w:t>年度高新技术开发区技术研究与开发经费（郑州市财政局产业技术创新专项资金）：于</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4</w:t>
      </w:r>
      <w:r>
        <w:rPr/>
        <w:t>月验收合格并开始摊销，原值为</w:t>
      </w:r>
      <w:r>
        <w:rPr>
          <w:rFonts w:ascii="Times New Roman" w:hAnsi="Times New Roman" w:cs="Times New Roman" w:eastAsia="Times New Roman" w:hint="default"/>
        </w:rPr>
        <w:t>50.00</w:t>
      </w:r>
      <w:r>
        <w:rPr/>
        <w:t>万元，按照</w:t>
      </w:r>
      <w:r>
        <w:rPr>
          <w:rFonts w:ascii="Times New Roman" w:hAnsi="Times New Roman" w:cs="Times New Roman" w:eastAsia="Times New Roman" w:hint="default"/>
        </w:rPr>
        <w:t>5</w:t>
      </w:r>
      <w:r>
        <w:rPr/>
        <w:t>年摊销，本年摊销</w:t>
      </w:r>
      <w:r>
        <w:rPr>
          <w:rFonts w:ascii="Times New Roman" w:hAnsi="Times New Roman" w:cs="Times New Roman" w:eastAsia="Times New Roman" w:hint="default"/>
        </w:rPr>
        <w:t>7.50</w:t>
      </w:r>
      <w:r>
        <w:rPr/>
        <w:t>万元，累计摊销</w:t>
      </w:r>
      <w:r>
        <w:rPr>
          <w:rFonts w:ascii="Times New Roman" w:hAnsi="Times New Roman" w:cs="Times New Roman" w:eastAsia="Times New Roman" w:hint="default"/>
        </w:rPr>
        <w:t>7.50</w:t>
      </w:r>
      <w:r>
        <w:rPr/>
        <w:t>万元，期</w:t>
      </w:r>
      <w:r>
        <w:rPr>
          <w:spacing w:val="-89"/>
        </w:rPr>
        <w:t> </w:t>
      </w:r>
      <w:r>
        <w:rPr>
          <w:spacing w:val="-89"/>
        </w:rPr>
      </w:r>
      <w:r>
        <w:rPr/>
        <w:t>末余额</w:t>
      </w:r>
      <w:r>
        <w:rPr>
          <w:rFonts w:ascii="Times New Roman" w:hAnsi="Times New Roman" w:cs="Times New Roman" w:eastAsia="Times New Roman" w:hint="default"/>
        </w:rPr>
        <w:t>42.50</w:t>
      </w:r>
      <w:r>
        <w:rPr/>
        <w:t>万元；</w:t>
      </w:r>
    </w:p>
    <w:p>
      <w:pPr>
        <w:pStyle w:val="BodyText"/>
        <w:spacing w:line="386" w:lineRule="auto" w:before="35"/>
        <w:ind w:right="1056" w:firstLine="419"/>
        <w:jc w:val="both"/>
      </w:pPr>
      <w:r>
        <w:rPr>
          <w:rFonts w:ascii="Times New Roman" w:hAnsi="Times New Roman" w:cs="Times New Roman" w:eastAsia="Times New Roman" w:hint="default"/>
        </w:rPr>
        <w:t>8</w:t>
      </w:r>
      <w:r>
        <w:rPr/>
        <w:t>、物联网通信与组网关键技术的研究及应用：于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月验收合格并开始摊销，原值为</w:t>
      </w:r>
      <w:r>
        <w:rPr>
          <w:rFonts w:ascii="Times New Roman" w:hAnsi="Times New Roman" w:cs="Times New Roman" w:eastAsia="Times New Roman" w:hint="default"/>
        </w:rPr>
        <w:t>70.00</w:t>
      </w:r>
      <w:r>
        <w:rPr/>
        <w:t>万元， 按照</w:t>
      </w:r>
      <w:r>
        <w:rPr>
          <w:rFonts w:ascii="Times New Roman" w:hAnsi="Times New Roman" w:cs="Times New Roman" w:eastAsia="Times New Roman" w:hint="default"/>
        </w:rPr>
        <w:t>5</w:t>
      </w:r>
      <w:r>
        <w:rPr/>
        <w:t>年摊销，本年摊销</w:t>
      </w:r>
      <w:r>
        <w:rPr>
          <w:rFonts w:ascii="Times New Roman" w:hAnsi="Times New Roman" w:cs="Times New Roman" w:eastAsia="Times New Roman" w:hint="default"/>
        </w:rPr>
        <w:t>10.50</w:t>
      </w:r>
      <w:r>
        <w:rPr/>
        <w:t>万元，累计摊销</w:t>
      </w:r>
      <w:r>
        <w:rPr>
          <w:rFonts w:ascii="Times New Roman" w:hAnsi="Times New Roman" w:cs="Times New Roman" w:eastAsia="Times New Roman" w:hint="default"/>
        </w:rPr>
        <w:t>10.50</w:t>
      </w:r>
      <w:r>
        <w:rPr/>
        <w:t>万元，期末余额</w:t>
      </w:r>
      <w:r>
        <w:rPr>
          <w:rFonts w:ascii="Times New Roman" w:hAnsi="Times New Roman" w:cs="Times New Roman" w:eastAsia="Times New Roman" w:hint="default"/>
        </w:rPr>
        <w:t>59.50</w:t>
      </w:r>
      <w:r>
        <w:rPr/>
        <w:t>万元；</w:t>
      </w:r>
    </w:p>
    <w:p>
      <w:pPr>
        <w:pStyle w:val="BodyText"/>
        <w:spacing w:line="240" w:lineRule="auto" w:before="35"/>
        <w:ind w:left="574" w:right="993"/>
        <w:jc w:val="left"/>
      </w:pPr>
      <w:r>
        <w:rPr>
          <w:rFonts w:ascii="Times New Roman" w:hAnsi="Times New Roman" w:cs="Times New Roman" w:eastAsia="Times New Roman" w:hint="default"/>
        </w:rPr>
        <w:t>9</w:t>
      </w:r>
      <w:r>
        <w:rPr/>
        <w:t>、基于云架构的金融</w:t>
      </w:r>
      <w:r>
        <w:rPr>
          <w:rFonts w:ascii="Times New Roman" w:hAnsi="Times New Roman" w:cs="Times New Roman" w:eastAsia="Times New Roman" w:hint="default"/>
        </w:rPr>
        <w:t>IC</w:t>
      </w:r>
      <w:r>
        <w:rPr/>
        <w:t>卡公共服务运营平台及终端项目：于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月验收合格并开始摊销，原值为</w:t>
      </w:r>
    </w:p>
    <w:p>
      <w:pPr>
        <w:pStyle w:val="BodyText"/>
        <w:spacing w:line="240" w:lineRule="auto" w:before="177"/>
        <w:ind w:right="1113"/>
        <w:jc w:val="left"/>
      </w:pPr>
      <w:r>
        <w:rPr>
          <w:rFonts w:ascii="Times New Roman" w:hAnsi="Times New Roman" w:cs="Times New Roman" w:eastAsia="Times New Roman" w:hint="default"/>
        </w:rPr>
        <w:t>100.00</w:t>
      </w:r>
      <w:r>
        <w:rPr/>
        <w:t>万元，按照</w:t>
      </w:r>
      <w:r>
        <w:rPr>
          <w:rFonts w:ascii="Times New Roman" w:hAnsi="Times New Roman" w:cs="Times New Roman" w:eastAsia="Times New Roman" w:hint="default"/>
        </w:rPr>
        <w:t>5</w:t>
      </w:r>
      <w:r>
        <w:rPr/>
        <w:t>年摊销，本年摊销</w:t>
      </w:r>
      <w:r>
        <w:rPr>
          <w:rFonts w:ascii="Times New Roman" w:hAnsi="Times New Roman" w:cs="Times New Roman" w:eastAsia="Times New Roman" w:hint="default"/>
        </w:rPr>
        <w:t>15.00</w:t>
      </w:r>
      <w:r>
        <w:rPr/>
        <w:t>万元，累计摊销</w:t>
      </w:r>
      <w:r>
        <w:rPr>
          <w:rFonts w:ascii="Times New Roman" w:hAnsi="Times New Roman" w:cs="Times New Roman" w:eastAsia="Times New Roman" w:hint="default"/>
        </w:rPr>
        <w:t>15.00</w:t>
      </w:r>
      <w:r>
        <w:rPr/>
        <w:t>万元，期末余额</w:t>
      </w:r>
      <w:r>
        <w:rPr>
          <w:rFonts w:ascii="Times New Roman" w:hAnsi="Times New Roman" w:cs="Times New Roman" w:eastAsia="Times New Roman" w:hint="default"/>
        </w:rPr>
        <w:t>85.00</w:t>
      </w:r>
      <w:r>
        <w:rPr/>
        <w:t>万元；</w:t>
      </w:r>
    </w:p>
    <w:p>
      <w:pPr>
        <w:pStyle w:val="BodyText"/>
        <w:spacing w:line="386" w:lineRule="auto" w:before="177"/>
        <w:ind w:right="1128" w:firstLine="420"/>
        <w:jc w:val="both"/>
      </w:pPr>
      <w:r>
        <w:rPr>
          <w:rFonts w:ascii="Times New Roman" w:hAnsi="Times New Roman" w:cs="Times New Roman" w:eastAsia="Times New Roman" w:hint="default"/>
          <w:spacing w:val="-2"/>
        </w:rPr>
        <w:t>10</w:t>
      </w:r>
      <w:r>
        <w:rPr>
          <w:spacing w:val="-2"/>
        </w:rPr>
        <w:t>、驾校综合管理系统研发：于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月验收合格并开始摊销，原值为</w:t>
      </w:r>
      <w:r>
        <w:rPr>
          <w:rFonts w:ascii="Times New Roman" w:hAnsi="Times New Roman" w:cs="Times New Roman" w:eastAsia="Times New Roman" w:hint="default"/>
          <w:spacing w:val="-2"/>
        </w:rPr>
        <w:t>20.00</w:t>
      </w:r>
      <w:r>
        <w:rPr>
          <w:spacing w:val="-2"/>
        </w:rPr>
        <w:t>万元，按照</w:t>
      </w:r>
      <w:r>
        <w:rPr>
          <w:rFonts w:ascii="Times New Roman" w:hAnsi="Times New Roman" w:cs="Times New Roman" w:eastAsia="Times New Roman" w:hint="default"/>
          <w:spacing w:val="-2"/>
        </w:rPr>
        <w:t>5</w:t>
      </w:r>
      <w:r>
        <w:rPr>
          <w:spacing w:val="-2"/>
        </w:rPr>
        <w:t>年摊销，本</w:t>
      </w:r>
      <w:r>
        <w:rPr/>
        <w:t> 年摊销</w:t>
      </w:r>
      <w:r>
        <w:rPr>
          <w:rFonts w:ascii="Times New Roman" w:hAnsi="Times New Roman" w:cs="Times New Roman" w:eastAsia="Times New Roman" w:hint="default"/>
        </w:rPr>
        <w:t>3.00</w:t>
      </w:r>
      <w:r>
        <w:rPr/>
        <w:t>万元，累计摊销</w:t>
      </w:r>
      <w:r>
        <w:rPr>
          <w:rFonts w:ascii="Times New Roman" w:hAnsi="Times New Roman" w:cs="Times New Roman" w:eastAsia="Times New Roman" w:hint="default"/>
        </w:rPr>
        <w:t>3.00</w:t>
      </w:r>
      <w:r>
        <w:rPr/>
        <w:t>万元，期末余额</w:t>
      </w:r>
      <w:r>
        <w:rPr>
          <w:rFonts w:ascii="Times New Roman" w:hAnsi="Times New Roman" w:cs="Times New Roman" w:eastAsia="Times New Roman" w:hint="default"/>
        </w:rPr>
        <w:t>17.00</w:t>
      </w:r>
      <w:r>
        <w:rPr/>
        <w:t>万元；</w:t>
      </w:r>
    </w:p>
    <w:p>
      <w:pPr>
        <w:pStyle w:val="BodyText"/>
        <w:spacing w:line="240" w:lineRule="auto" w:before="35"/>
        <w:ind w:left="574" w:right="993"/>
        <w:jc w:val="left"/>
        <w:rPr>
          <w:rFonts w:ascii="Times New Roman" w:hAnsi="Times New Roman" w:cs="Times New Roman" w:eastAsia="Times New Roman" w:hint="default"/>
        </w:rPr>
      </w:pPr>
      <w:r>
        <w:rPr>
          <w:rFonts w:ascii="Times New Roman" w:hAnsi="Times New Roman" w:cs="Times New Roman" w:eastAsia="Times New Roman" w:hint="default"/>
        </w:rPr>
        <w:t>11</w:t>
      </w:r>
      <w:r>
        <w:rPr>
          <w:spacing w:val="-95"/>
        </w:rPr>
        <w:t>、</w:t>
      </w:r>
      <w:r>
        <w:rPr/>
        <w:t>基于远</w:t>
      </w:r>
      <w:r>
        <w:rPr>
          <w:spacing w:val="-2"/>
        </w:rPr>
        <w:t>距</w:t>
      </w:r>
      <w:r>
        <w:rPr/>
        <w:t>离射频识别技术的终端产品研究与开发</w:t>
      </w:r>
      <w:r>
        <w:rPr>
          <w:spacing w:val="-95"/>
        </w:rPr>
        <w:t>：</w:t>
      </w:r>
      <w:r>
        <w:rPr/>
        <w:t>于</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w:t>
      </w:r>
      <w:r>
        <w:rPr>
          <w:rFonts w:ascii="Times New Roman" w:hAnsi="Times New Roman" w:cs="Times New Roman" w:eastAsia="Times New Roman" w:hint="default"/>
          <w:spacing w:val="-1"/>
        </w:rPr>
        <w:t>9</w:t>
      </w:r>
      <w:r>
        <w:rPr/>
        <w:t>年</w:t>
      </w:r>
      <w:r>
        <w:rPr>
          <w:rFonts w:ascii="Times New Roman" w:hAnsi="Times New Roman" w:cs="Times New Roman" w:eastAsia="Times New Roman" w:hint="default"/>
        </w:rPr>
        <w:t>4</w:t>
      </w:r>
      <w:r>
        <w:rPr/>
        <w:t>月验收</w:t>
      </w:r>
      <w:r>
        <w:rPr>
          <w:spacing w:val="-2"/>
        </w:rPr>
        <w:t>合</w:t>
      </w:r>
      <w:r>
        <w:rPr/>
        <w:t>格并开始摊销</w:t>
      </w:r>
      <w:r>
        <w:rPr>
          <w:spacing w:val="-95"/>
        </w:rPr>
        <w:t>，</w:t>
      </w:r>
      <w:r>
        <w:rPr/>
        <w:t>原值为</w:t>
      </w: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p>
    <w:p>
      <w:pPr>
        <w:pStyle w:val="BodyText"/>
        <w:spacing w:line="240" w:lineRule="auto" w:before="177"/>
        <w:ind w:right="1113"/>
        <w:jc w:val="left"/>
      </w:pPr>
      <w:r>
        <w:rPr/>
        <w:t>万元，按照</w:t>
      </w:r>
      <w:r>
        <w:rPr>
          <w:rFonts w:ascii="Times New Roman" w:hAnsi="Times New Roman" w:cs="Times New Roman" w:eastAsia="Times New Roman" w:hint="default"/>
        </w:rPr>
        <w:t>5</w:t>
      </w:r>
      <w:r>
        <w:rPr/>
        <w:t>年摊销，本年摊销</w:t>
      </w:r>
      <w:r>
        <w:rPr>
          <w:rFonts w:ascii="Times New Roman" w:hAnsi="Times New Roman" w:cs="Times New Roman" w:eastAsia="Times New Roman" w:hint="default"/>
        </w:rPr>
        <w:t>15.00</w:t>
      </w:r>
      <w:r>
        <w:rPr/>
        <w:t>万元，累计摊销</w:t>
      </w:r>
      <w:r>
        <w:rPr>
          <w:rFonts w:ascii="Times New Roman" w:hAnsi="Times New Roman" w:cs="Times New Roman" w:eastAsia="Times New Roman" w:hint="default"/>
        </w:rPr>
        <w:t>15.00</w:t>
      </w:r>
      <w:r>
        <w:rPr/>
        <w:t>万元，期末余额</w:t>
      </w:r>
      <w:r>
        <w:rPr>
          <w:rFonts w:ascii="Times New Roman" w:hAnsi="Times New Roman" w:cs="Times New Roman" w:eastAsia="Times New Roman" w:hint="default"/>
        </w:rPr>
        <w:t>85.00</w:t>
      </w:r>
      <w:r>
        <w:rPr/>
        <w:t>万元；</w:t>
      </w:r>
    </w:p>
    <w:p>
      <w:pPr>
        <w:pStyle w:val="BodyText"/>
        <w:spacing w:line="240" w:lineRule="auto" w:before="177"/>
        <w:ind w:left="574" w:right="1113"/>
        <w:jc w:val="left"/>
        <w:rPr>
          <w:rFonts w:ascii="Times New Roman" w:hAnsi="Times New Roman" w:cs="Times New Roman" w:eastAsia="Times New Roman" w:hint="default"/>
        </w:rPr>
      </w:pPr>
      <w:r>
        <w:rPr>
          <w:rFonts w:ascii="Times New Roman" w:hAnsi="Times New Roman" w:cs="Times New Roman" w:eastAsia="Times New Roman" w:hint="default"/>
          <w:spacing w:val="-4"/>
        </w:rPr>
        <w:t>12</w:t>
      </w:r>
      <w:r>
        <w:rPr>
          <w:spacing w:val="-4"/>
        </w:rPr>
        <w:t>、基于</w:t>
      </w:r>
      <w:r>
        <w:rPr>
          <w:rFonts w:ascii="Times New Roman" w:hAnsi="Times New Roman" w:cs="Times New Roman" w:eastAsia="Times New Roman" w:hint="default"/>
          <w:spacing w:val="-4"/>
        </w:rPr>
        <w:t>NFC</w:t>
      </w:r>
      <w:r>
        <w:rPr>
          <w:spacing w:val="-4"/>
        </w:rPr>
        <w:t>技术的金融</w:t>
      </w:r>
      <w:r>
        <w:rPr>
          <w:rFonts w:ascii="Times New Roman" w:hAnsi="Times New Roman" w:cs="Times New Roman" w:eastAsia="Times New Roman" w:hint="default"/>
          <w:spacing w:val="-4"/>
        </w:rPr>
        <w:t>IC</w:t>
      </w:r>
      <w:r>
        <w:rPr>
          <w:spacing w:val="-4"/>
        </w:rPr>
        <w:t>卡移动支付综合应用系统：于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4</w:t>
      </w:r>
      <w:r>
        <w:rPr>
          <w:spacing w:val="-4"/>
        </w:rPr>
        <w:t>月验收合格并开始摊销，原值为</w:t>
      </w:r>
      <w:r>
        <w:rPr>
          <w:rFonts w:ascii="Times New Roman" w:hAnsi="Times New Roman" w:cs="Times New Roman" w:eastAsia="Times New Roman" w:hint="default"/>
          <w:spacing w:val="-4"/>
        </w:rPr>
        <w:t>30.00</w:t>
      </w:r>
    </w:p>
    <w:p>
      <w:pPr>
        <w:pStyle w:val="BodyText"/>
        <w:spacing w:line="240" w:lineRule="auto" w:before="177"/>
        <w:ind w:right="1113"/>
        <w:jc w:val="left"/>
      </w:pPr>
      <w:r>
        <w:rPr/>
        <w:t>万元，按照</w:t>
      </w:r>
      <w:r>
        <w:rPr>
          <w:rFonts w:ascii="Times New Roman" w:hAnsi="Times New Roman" w:cs="Times New Roman" w:eastAsia="Times New Roman" w:hint="default"/>
        </w:rPr>
        <w:t>5</w:t>
      </w:r>
      <w:r>
        <w:rPr/>
        <w:t>年摊销，本年摊销</w:t>
      </w:r>
      <w:r>
        <w:rPr>
          <w:rFonts w:ascii="Times New Roman" w:hAnsi="Times New Roman" w:cs="Times New Roman" w:eastAsia="Times New Roman" w:hint="default"/>
        </w:rPr>
        <w:t>4.50</w:t>
      </w:r>
      <w:r>
        <w:rPr/>
        <w:t>万元，累计摊销</w:t>
      </w:r>
      <w:r>
        <w:rPr>
          <w:rFonts w:ascii="Times New Roman" w:hAnsi="Times New Roman" w:cs="Times New Roman" w:eastAsia="Times New Roman" w:hint="default"/>
        </w:rPr>
        <w:t>4.50</w:t>
      </w:r>
      <w:r>
        <w:rPr/>
        <w:t>万元，期末余额</w:t>
      </w:r>
      <w:r>
        <w:rPr>
          <w:rFonts w:ascii="Times New Roman" w:hAnsi="Times New Roman" w:cs="Times New Roman" w:eastAsia="Times New Roman" w:hint="default"/>
        </w:rPr>
        <w:t>25.50</w:t>
      </w:r>
      <w:r>
        <w:rPr/>
        <w:t>万元；</w:t>
      </w:r>
    </w:p>
    <w:p>
      <w:pPr>
        <w:pStyle w:val="BodyText"/>
        <w:spacing w:line="386" w:lineRule="auto" w:before="177"/>
        <w:ind w:left="153" w:right="1131" w:firstLine="420"/>
        <w:jc w:val="both"/>
      </w:pPr>
      <w:r>
        <w:rPr>
          <w:rFonts w:ascii="Times New Roman" w:hAnsi="Times New Roman" w:cs="Times New Roman" w:eastAsia="Times New Roman" w:hint="default"/>
        </w:rPr>
        <w:t>13</w:t>
      </w:r>
      <w:r>
        <w:rPr/>
        <w:t>、教科文处</w:t>
      </w:r>
      <w:r>
        <w:rPr>
          <w:rFonts w:ascii="Times New Roman" w:hAnsi="Times New Roman" w:cs="Times New Roman" w:eastAsia="Times New Roman" w:hint="default"/>
        </w:rPr>
        <w:t>2015</w:t>
      </w:r>
      <w:r>
        <w:rPr/>
        <w:t>年郑州市第二批科技计划项目经费（郑州市科技计划经费</w:t>
      </w:r>
      <w:r>
        <w:rPr>
          <w:rFonts w:ascii="Times New Roman" w:hAnsi="Times New Roman" w:cs="Times New Roman" w:eastAsia="Times New Roman" w:hint="default"/>
        </w:rPr>
        <w:t>“</w:t>
      </w:r>
      <w:r>
        <w:rPr/>
        <w:t>基于物联网与金融</w:t>
      </w:r>
      <w:r>
        <w:rPr>
          <w:rFonts w:ascii="Times New Roman" w:hAnsi="Times New Roman" w:cs="Times New Roman" w:eastAsia="Times New Roman" w:hint="default"/>
        </w:rPr>
        <w:t>IC</w:t>
      </w:r>
      <w:r>
        <w:rPr/>
        <w:t>卡 </w:t>
      </w:r>
      <w:r>
        <w:rPr>
          <w:spacing w:val="-2"/>
        </w:rPr>
        <w:t>的智能终端产业化项目</w:t>
      </w:r>
      <w:r>
        <w:rPr>
          <w:rFonts w:ascii="Times New Roman" w:hAnsi="Times New Roman" w:cs="Times New Roman" w:eastAsia="Times New Roman" w:hint="default"/>
          <w:spacing w:val="-2"/>
        </w:rPr>
        <w:t>”</w:t>
      </w: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月验收合格并开始摊销，原值为</w:t>
      </w:r>
      <w:r>
        <w:rPr>
          <w:rFonts w:ascii="Times New Roman" w:hAnsi="Times New Roman" w:cs="Times New Roman" w:eastAsia="Times New Roman" w:hint="default"/>
          <w:spacing w:val="-2"/>
        </w:rPr>
        <w:t>300.00</w:t>
      </w:r>
      <w:r>
        <w:rPr>
          <w:spacing w:val="-2"/>
        </w:rPr>
        <w:t>万元，按照</w:t>
      </w:r>
      <w:r>
        <w:rPr>
          <w:rFonts w:ascii="Times New Roman" w:hAnsi="Times New Roman" w:cs="Times New Roman" w:eastAsia="Times New Roman" w:hint="default"/>
          <w:spacing w:val="-2"/>
        </w:rPr>
        <w:t>5</w:t>
      </w:r>
      <w:r>
        <w:rPr>
          <w:spacing w:val="-2"/>
        </w:rPr>
        <w:t>年摊销，本年摊</w:t>
      </w:r>
      <w:r>
        <w:rPr>
          <w:spacing w:val="-74"/>
        </w:rPr>
        <w:t> </w:t>
      </w:r>
      <w:r>
        <w:rPr>
          <w:spacing w:val="-74"/>
        </w:rPr>
      </w:r>
      <w:r>
        <w:rPr/>
        <w:t>销</w:t>
      </w:r>
      <w:r>
        <w:rPr>
          <w:rFonts w:ascii="Times New Roman" w:hAnsi="Times New Roman" w:cs="Times New Roman" w:eastAsia="Times New Roman" w:hint="default"/>
        </w:rPr>
        <w:t>45.00</w:t>
      </w:r>
      <w:r>
        <w:rPr/>
        <w:t>万元，累计摊销</w:t>
      </w:r>
      <w:r>
        <w:rPr>
          <w:rFonts w:ascii="Times New Roman" w:hAnsi="Times New Roman" w:cs="Times New Roman" w:eastAsia="Times New Roman" w:hint="default"/>
        </w:rPr>
        <w:t>45.00</w:t>
      </w:r>
      <w:r>
        <w:rPr/>
        <w:t>万元，期末余额</w:t>
      </w:r>
      <w:r>
        <w:rPr>
          <w:rFonts w:ascii="Times New Roman" w:hAnsi="Times New Roman" w:cs="Times New Roman" w:eastAsia="Times New Roman" w:hint="default"/>
        </w:rPr>
        <w:t>255.00</w:t>
      </w:r>
      <w:r>
        <w:rPr/>
        <w:t>万元；</w:t>
      </w:r>
    </w:p>
    <w:p>
      <w:pPr>
        <w:pStyle w:val="BodyText"/>
        <w:spacing w:line="240" w:lineRule="auto" w:before="35"/>
        <w:ind w:left="573" w:right="993"/>
        <w:jc w:val="left"/>
      </w:pPr>
      <w:r>
        <w:rPr>
          <w:rFonts w:ascii="Times New Roman" w:hAnsi="Times New Roman" w:cs="Times New Roman" w:eastAsia="Times New Roman" w:hint="default"/>
        </w:rPr>
        <w:t>14</w:t>
      </w:r>
      <w:r>
        <w:rPr/>
        <w:t>、基于</w:t>
      </w:r>
      <w:r>
        <w:rPr>
          <w:rFonts w:ascii="Times New Roman" w:hAnsi="Times New Roman" w:cs="Times New Roman" w:eastAsia="Times New Roman" w:hint="default"/>
        </w:rPr>
        <w:t>NFC</w:t>
      </w:r>
      <w:r>
        <w:rPr/>
        <w:t>技术的金融</w:t>
      </w:r>
      <w:r>
        <w:rPr>
          <w:rFonts w:ascii="Times New Roman" w:hAnsi="Times New Roman" w:cs="Times New Roman" w:eastAsia="Times New Roman" w:hint="default"/>
        </w:rPr>
        <w:t>IC</w:t>
      </w:r>
      <w:r>
        <w:rPr/>
        <w:t>卡移动支付综合应用系统研发及产业化（</w:t>
      </w:r>
      <w:r>
        <w:rPr>
          <w:rFonts w:ascii="Times New Roman" w:hAnsi="Times New Roman" w:cs="Times New Roman" w:eastAsia="Times New Roman" w:hint="default"/>
        </w:rPr>
        <w:t>2014</w:t>
      </w:r>
      <w:r>
        <w:rPr/>
        <w:t>年河南省扶持企业自主创新</w:t>
      </w:r>
    </w:p>
    <w:p>
      <w:pPr>
        <w:spacing w:after="0" w:line="240"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386" w:lineRule="auto" w:before="35"/>
        <w:ind w:left="153" w:right="1113"/>
        <w:jc w:val="left"/>
      </w:pPr>
      <w:r>
        <w:rPr>
          <w:spacing w:val="-3"/>
        </w:rPr>
        <w:t>资金项目）：原值</w:t>
      </w:r>
      <w:r>
        <w:rPr>
          <w:rFonts w:ascii="Times New Roman" w:hAnsi="Times New Roman" w:cs="Times New Roman" w:eastAsia="Times New Roman" w:hint="default"/>
          <w:spacing w:val="-3"/>
        </w:rPr>
        <w:t>370</w:t>
      </w:r>
      <w:r>
        <w:rPr>
          <w:spacing w:val="-3"/>
        </w:rPr>
        <w:t>万，按照</w:t>
      </w:r>
      <w:r>
        <w:rPr>
          <w:rFonts w:ascii="Times New Roman" w:hAnsi="Times New Roman" w:cs="Times New Roman" w:eastAsia="Times New Roman" w:hint="default"/>
          <w:spacing w:val="-3"/>
        </w:rPr>
        <w:t>5</w:t>
      </w:r>
      <w:r>
        <w:rPr>
          <w:spacing w:val="-3"/>
        </w:rPr>
        <w:t>年摊销，</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月验收并开始摊销，本年摊销</w:t>
      </w:r>
      <w:r>
        <w:rPr>
          <w:rFonts w:ascii="Times New Roman" w:hAnsi="Times New Roman" w:cs="Times New Roman" w:eastAsia="Times New Roman" w:hint="default"/>
          <w:spacing w:val="-3"/>
        </w:rPr>
        <w:t>74.00</w:t>
      </w:r>
      <w:r>
        <w:rPr>
          <w:spacing w:val="-3"/>
        </w:rPr>
        <w:t>万元，累计摊销</w:t>
      </w:r>
      <w:r>
        <w:rPr>
          <w:rFonts w:ascii="Times New Roman" w:hAnsi="Times New Roman" w:cs="Times New Roman" w:eastAsia="Times New Roman" w:hint="default"/>
          <w:spacing w:val="-3"/>
        </w:rPr>
        <w:t>117.17</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t>万元，期末余额</w:t>
      </w:r>
      <w:r>
        <w:rPr>
          <w:rFonts w:ascii="Times New Roman" w:hAnsi="Times New Roman" w:cs="Times New Roman" w:eastAsia="Times New Roman" w:hint="default"/>
        </w:rPr>
        <w:t>252.83</w:t>
      </w:r>
      <w:r>
        <w:rPr/>
        <w:t>万元。</w:t>
      </w:r>
    </w:p>
    <w:p>
      <w:pPr>
        <w:spacing w:line="240" w:lineRule="auto" w:before="10"/>
        <w:rPr>
          <w:rFonts w:ascii="宋体" w:hAnsi="宋体" w:cs="宋体" w:eastAsia="宋体" w:hint="default"/>
          <w:sz w:val="19"/>
          <w:szCs w:val="19"/>
        </w:rPr>
      </w:pPr>
    </w:p>
    <w:p>
      <w:pPr>
        <w:pStyle w:val="Heading3"/>
        <w:spacing w:line="240" w:lineRule="auto"/>
        <w:ind w:left="153" w:right="1113"/>
        <w:jc w:val="left"/>
        <w:rPr>
          <w:b w:val="0"/>
          <w:bCs w:val="0"/>
        </w:rPr>
      </w:pPr>
      <w:r>
        <w:rPr>
          <w:rFonts w:ascii="Times New Roman" w:hAnsi="Times New Roman" w:cs="Times New Roman" w:eastAsia="Times New Roman" w:hint="default"/>
        </w:rPr>
        <w:t>32</w:t>
      </w:r>
      <w:r>
        <w:rPr/>
        <w:t>、股本</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1195"/>
        <w:gridCol w:w="1196"/>
        <w:gridCol w:w="1196"/>
        <w:gridCol w:w="1196"/>
        <w:gridCol w:w="1195"/>
        <w:gridCol w:w="1196"/>
        <w:gridCol w:w="1196"/>
        <w:gridCol w:w="1195"/>
      </w:tblGrid>
      <w:tr>
        <w:trPr>
          <w:trHeight w:val="397" w:hRule="exact"/>
        </w:trPr>
        <w:tc>
          <w:tcPr>
            <w:tcW w:w="1195" w:type="dxa"/>
            <w:vMerge w:val="restart"/>
            <w:tcBorders>
              <w:top w:val="single" w:sz="2" w:space="0" w:color="000000"/>
              <w:left w:val="single" w:sz="2" w:space="0" w:color="000000"/>
              <w:right w:val="single" w:sz="2" w:space="0" w:color="000000"/>
            </w:tcBorders>
            <w:shd w:val="clear" w:color="auto" w:fill="D3D3D3"/>
          </w:tcPr>
          <w:p>
            <w:pPr/>
          </w:p>
        </w:tc>
        <w:tc>
          <w:tcPr>
            <w:tcW w:w="1196" w:type="dxa"/>
            <w:vMerge w:val="restart"/>
            <w:tcBorders>
              <w:top w:val="single" w:sz="2" w:space="0" w:color="000000"/>
              <w:left w:val="single" w:sz="2" w:space="0" w:color="000000"/>
              <w:right w:val="single" w:sz="2"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2" w:space="0" w:color="000000"/>
              <w:left w:val="single" w:sz="2" w:space="0" w:color="000000"/>
              <w:right w:val="single" w:sz="2"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7" w:hRule="exact"/>
        </w:trPr>
        <w:tc>
          <w:tcPr>
            <w:tcW w:w="1195" w:type="dxa"/>
            <w:vMerge/>
            <w:tcBorders>
              <w:left w:val="single" w:sz="2" w:space="0" w:color="000000"/>
              <w:bottom w:val="single" w:sz="2" w:space="0" w:color="000000"/>
              <w:right w:val="single" w:sz="2" w:space="0" w:color="000000"/>
            </w:tcBorders>
            <w:shd w:val="clear" w:color="auto" w:fill="D3D3D3"/>
          </w:tcPr>
          <w:p>
            <w:pPr/>
          </w:p>
        </w:tc>
        <w:tc>
          <w:tcPr>
            <w:tcW w:w="1196" w:type="dxa"/>
            <w:vMerge/>
            <w:tcBorders>
              <w:left w:val="single" w:sz="2" w:space="0" w:color="000000"/>
              <w:bottom w:val="single" w:sz="2" w:space="0" w:color="000000"/>
              <w:right w:val="single" w:sz="2" w:space="0" w:color="000000"/>
            </w:tcBorders>
            <w:shd w:val="clear" w:color="auto" w:fill="D3D3D3"/>
          </w:tcPr>
          <w:p>
            <w:pPr/>
          </w:p>
        </w:tc>
        <w:tc>
          <w:tcPr>
            <w:tcW w:w="1196"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145"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2" w:space="0" w:color="000000"/>
              <w:bottom w:val="single" w:sz="2" w:space="0" w:color="000000"/>
              <w:right w:val="single" w:sz="2" w:space="0" w:color="000000"/>
            </w:tcBorders>
            <w:shd w:val="clear" w:color="auto" w:fill="D3D3D3"/>
          </w:tcPr>
          <w:p>
            <w:pPr/>
          </w:p>
        </w:tc>
      </w:tr>
      <w:tr>
        <w:trPr>
          <w:trHeight w:val="397" w:hRule="exact"/>
        </w:trPr>
        <w:tc>
          <w:tcPr>
            <w:tcW w:w="1195"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481,092,495.00</w:t>
            </w:r>
          </w:p>
        </w:tc>
        <w:tc>
          <w:tcPr>
            <w:tcW w:w="1196" w:type="dxa"/>
            <w:tcBorders>
              <w:top w:val="single" w:sz="2" w:space="0" w:color="000000"/>
              <w:left w:val="single" w:sz="2" w:space="0" w:color="000000"/>
              <w:bottom w:val="single" w:sz="2" w:space="0" w:color="000000"/>
              <w:right w:val="single" w:sz="2" w:space="0" w:color="000000"/>
            </w:tcBorders>
          </w:tcPr>
          <w:p>
            <w:pPr/>
          </w:p>
        </w:tc>
        <w:tc>
          <w:tcPr>
            <w:tcW w:w="1196" w:type="dxa"/>
            <w:tcBorders>
              <w:top w:val="single" w:sz="2" w:space="0" w:color="000000"/>
              <w:left w:val="single" w:sz="2" w:space="0" w:color="000000"/>
              <w:bottom w:val="single" w:sz="2" w:space="0" w:color="000000"/>
              <w:right w:val="single" w:sz="2" w:space="0" w:color="000000"/>
            </w:tcBorders>
          </w:tcPr>
          <w:p>
            <w:pPr/>
          </w:p>
        </w:tc>
        <w:tc>
          <w:tcPr>
            <w:tcW w:w="1195" w:type="dxa"/>
            <w:tcBorders>
              <w:top w:val="single" w:sz="2" w:space="0" w:color="000000"/>
              <w:left w:val="single" w:sz="2" w:space="0" w:color="000000"/>
              <w:bottom w:val="single" w:sz="2" w:space="0" w:color="000000"/>
              <w:right w:val="single" w:sz="2" w:space="0" w:color="000000"/>
            </w:tcBorders>
          </w:tcPr>
          <w:p>
            <w:pPr/>
          </w:p>
        </w:tc>
        <w:tc>
          <w:tcPr>
            <w:tcW w:w="1196" w:type="dxa"/>
            <w:tcBorders>
              <w:top w:val="single" w:sz="2" w:space="0" w:color="000000"/>
              <w:left w:val="single" w:sz="2" w:space="0" w:color="000000"/>
              <w:bottom w:val="single" w:sz="2" w:space="0" w:color="000000"/>
              <w:right w:val="single" w:sz="2" w:space="0" w:color="000000"/>
            </w:tcBorders>
          </w:tcPr>
          <w:p>
            <w:pPr/>
          </w:p>
        </w:tc>
        <w:tc>
          <w:tcPr>
            <w:tcW w:w="1196" w:type="dxa"/>
            <w:tcBorders>
              <w:top w:val="single" w:sz="2" w:space="0" w:color="000000"/>
              <w:left w:val="single" w:sz="2" w:space="0" w:color="000000"/>
              <w:bottom w:val="single" w:sz="2" w:space="0" w:color="000000"/>
              <w:right w:val="single" w:sz="2" w:space="0" w:color="000000"/>
            </w:tcBorders>
          </w:tcPr>
          <w:p>
            <w:pP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481,092,495.00</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33</w:t>
      </w:r>
      <w:r>
        <w:rPr/>
        <w:t>、资本公积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97" w:hRule="exact"/>
        </w:trPr>
        <w:tc>
          <w:tcPr>
            <w:tcW w:w="191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59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7" w:hRule="exact"/>
        </w:trPr>
        <w:tc>
          <w:tcPr>
            <w:tcW w:w="191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479,950,978.98</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77,885,903.24</w:t>
            </w:r>
          </w:p>
        </w:tc>
        <w:tc>
          <w:tcPr>
            <w:tcW w:w="1914" w:type="dxa"/>
            <w:tcBorders>
              <w:top w:val="single" w:sz="2" w:space="0" w:color="000000"/>
              <w:left w:val="single" w:sz="2" w:space="0" w:color="000000"/>
              <w:bottom w:val="single" w:sz="2" w:space="0" w:color="000000"/>
              <w:right w:val="single" w:sz="2" w:space="0" w:color="000000"/>
            </w:tcBorders>
          </w:tcPr>
          <w:p>
            <w:pP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557,836,882.22</w:t>
            </w:r>
          </w:p>
        </w:tc>
      </w:tr>
      <w:tr>
        <w:trPr>
          <w:trHeight w:val="397" w:hRule="exact"/>
        </w:trPr>
        <w:tc>
          <w:tcPr>
            <w:tcW w:w="191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479,950,978.98</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77,885,903.24</w:t>
            </w:r>
          </w:p>
        </w:tc>
        <w:tc>
          <w:tcPr>
            <w:tcW w:w="1914" w:type="dxa"/>
            <w:tcBorders>
              <w:top w:val="single" w:sz="2" w:space="0" w:color="000000"/>
              <w:left w:val="single" w:sz="2" w:space="0" w:color="000000"/>
              <w:bottom w:val="single" w:sz="2" w:space="0" w:color="000000"/>
              <w:right w:val="single" w:sz="2" w:space="0" w:color="000000"/>
            </w:tcBorders>
          </w:tcPr>
          <w:p>
            <w:pP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557,836,882.22</w:t>
            </w:r>
          </w:p>
        </w:tc>
      </w:tr>
    </w:tbl>
    <w:p>
      <w:pPr>
        <w:spacing w:before="51"/>
        <w:ind w:left="154" w:right="1113"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2"/>
        <w:rPr>
          <w:rFonts w:ascii="宋体" w:hAnsi="宋体" w:cs="宋体" w:eastAsia="宋体" w:hint="default"/>
          <w:sz w:val="12"/>
          <w:szCs w:val="12"/>
        </w:rPr>
      </w:pPr>
    </w:p>
    <w:p>
      <w:pPr>
        <w:pStyle w:val="BodyText"/>
        <w:spacing w:line="386" w:lineRule="auto" w:before="0"/>
        <w:ind w:left="153" w:right="1113" w:firstLine="420"/>
        <w:jc w:val="left"/>
      </w:pPr>
      <w:r>
        <w:rPr>
          <w:spacing w:val="-1"/>
        </w:rPr>
        <w:t>资本公积（股本溢价）变动情况详见</w:t>
      </w:r>
      <w:r>
        <w:rPr>
          <w:rFonts w:ascii="Times New Roman" w:hAnsi="Times New Roman" w:cs="Times New Roman" w:eastAsia="Times New Roman" w:hint="default"/>
          <w:spacing w:val="-1"/>
        </w:rPr>
        <w:t>“</w:t>
      </w:r>
      <w:r>
        <w:rPr>
          <w:spacing w:val="-1"/>
        </w:rPr>
        <w:t>九、在其他主体中的权益：2、在子公司的所有者权益份额发生</w:t>
      </w:r>
      <w:r>
        <w:rPr/>
        <w:t> 变化且仍控制子公司的交易</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19"/>
          <w:szCs w:val="19"/>
        </w:rPr>
      </w:pPr>
    </w:p>
    <w:p>
      <w:pPr>
        <w:pStyle w:val="Heading3"/>
        <w:spacing w:line="240" w:lineRule="auto"/>
        <w:ind w:left="153" w:right="1113"/>
        <w:jc w:val="left"/>
        <w:rPr>
          <w:b w:val="0"/>
          <w:bCs w:val="0"/>
        </w:rPr>
      </w:pPr>
      <w:r>
        <w:rPr>
          <w:rFonts w:ascii="Times New Roman" w:hAnsi="Times New Roman" w:cs="Times New Roman" w:eastAsia="Times New Roman" w:hint="default"/>
        </w:rPr>
        <w:t>34</w:t>
      </w:r>
      <w:r>
        <w:rPr/>
        <w:t>、其他综合收益</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51" w:type="dxa"/>
        <w:tblLayout w:type="fixed"/>
        <w:tblCellMar>
          <w:top w:w="0" w:type="dxa"/>
          <w:left w:w="0" w:type="dxa"/>
          <w:bottom w:w="0" w:type="dxa"/>
          <w:right w:w="0" w:type="dxa"/>
        </w:tblCellMar>
        <w:tblLook w:val="01E0"/>
      </w:tblPr>
      <w:tblGrid>
        <w:gridCol w:w="2557"/>
        <w:gridCol w:w="974"/>
        <w:gridCol w:w="852"/>
        <w:gridCol w:w="1050"/>
        <w:gridCol w:w="852"/>
        <w:gridCol w:w="852"/>
        <w:gridCol w:w="852"/>
        <w:gridCol w:w="852"/>
        <w:gridCol w:w="726"/>
      </w:tblGrid>
      <w:tr>
        <w:trPr>
          <w:trHeight w:val="397" w:hRule="exact"/>
        </w:trPr>
        <w:tc>
          <w:tcPr>
            <w:tcW w:w="2557" w:type="dxa"/>
            <w:vMerge w:val="restart"/>
            <w:tcBorders>
              <w:top w:val="single" w:sz="2" w:space="0" w:color="000000"/>
              <w:left w:val="single" w:sz="2" w:space="0" w:color="000000"/>
              <w:right w:val="single" w:sz="2" w:space="0" w:color="000000"/>
            </w:tcBorders>
            <w:shd w:val="clear" w:color="auto" w:fill="D3D3D3"/>
          </w:tcPr>
          <w:p>
            <w:pPr/>
          </w:p>
        </w:tc>
        <w:tc>
          <w:tcPr>
            <w:tcW w:w="974" w:type="dxa"/>
            <w:tcBorders>
              <w:top w:val="single" w:sz="2" w:space="0" w:color="000000"/>
              <w:left w:val="single" w:sz="2" w:space="0" w:color="000000"/>
              <w:bottom w:val="nil" w:sz="6" w:space="0" w:color="auto"/>
              <w:right w:val="single" w:sz="2" w:space="0" w:color="000000"/>
            </w:tcBorders>
            <w:shd w:val="clear" w:color="auto" w:fill="D3D3D3"/>
          </w:tcPr>
          <w:p>
            <w:pPr/>
          </w:p>
        </w:tc>
        <w:tc>
          <w:tcPr>
            <w:tcW w:w="5310" w:type="dxa"/>
            <w:gridSpan w:val="6"/>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6" w:type="dxa"/>
            <w:tcBorders>
              <w:top w:val="single" w:sz="2" w:space="0" w:color="000000"/>
              <w:left w:val="single" w:sz="2" w:space="0" w:color="000000"/>
              <w:bottom w:val="nil" w:sz="6" w:space="0" w:color="auto"/>
              <w:right w:val="single" w:sz="2" w:space="0" w:color="000000"/>
            </w:tcBorders>
            <w:shd w:val="clear" w:color="auto" w:fill="D3D3D3"/>
          </w:tcPr>
          <w:p>
            <w:pPr/>
          </w:p>
        </w:tc>
      </w:tr>
      <w:tr>
        <w:trPr>
          <w:trHeight w:val="428" w:hRule="exact"/>
        </w:trPr>
        <w:tc>
          <w:tcPr>
            <w:tcW w:w="2557" w:type="dxa"/>
            <w:vMerge/>
            <w:tcBorders>
              <w:left w:val="single" w:sz="2" w:space="0" w:color="000000"/>
              <w:bottom w:val="nil" w:sz="6" w:space="0" w:color="auto"/>
              <w:right w:val="single" w:sz="2" w:space="0" w:color="000000"/>
            </w:tcBorders>
            <w:shd w:val="clear" w:color="auto" w:fill="D3D3D3"/>
          </w:tcPr>
          <w:p>
            <w:pPr/>
          </w:p>
        </w:tc>
        <w:tc>
          <w:tcPr>
            <w:tcW w:w="974" w:type="dxa"/>
            <w:vMerge w:val="restart"/>
            <w:tcBorders>
              <w:top w:val="nil" w:sz="6" w:space="0" w:color="auto"/>
              <w:left w:val="single" w:sz="2" w:space="0" w:color="000000"/>
              <w:right w:val="single" w:sz="2"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2" w:type="dxa"/>
            <w:vMerge w:val="restart"/>
            <w:tcBorders>
              <w:top w:val="single" w:sz="2" w:space="0" w:color="000000"/>
              <w:left w:val="single" w:sz="2" w:space="0" w:color="000000"/>
              <w:right w:val="single" w:sz="2"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2" w:right="62"/>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0" w:type="dxa"/>
            <w:vMerge w:val="restart"/>
            <w:tcBorders>
              <w:top w:val="single" w:sz="2" w:space="0" w:color="000000"/>
              <w:left w:val="single" w:sz="2" w:space="0" w:color="000000"/>
              <w:right w:val="single" w:sz="2"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4"/>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vMerge w:val="restart"/>
            <w:tcBorders>
              <w:top w:val="single" w:sz="2" w:space="0" w:color="000000"/>
              <w:left w:val="single" w:sz="2" w:space="0" w:color="000000"/>
              <w:right w:val="single" w:sz="2" w:space="0" w:color="000000"/>
            </w:tcBorders>
            <w:shd w:val="clear" w:color="auto" w:fill="D3D3D3"/>
          </w:tcPr>
          <w:p>
            <w:pPr>
              <w:pStyle w:val="TableParagraph"/>
              <w:spacing w:line="319" w:lineRule="auto" w:before="51"/>
              <w:ind w:left="62" w:right="62"/>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2" w:type="dxa"/>
            <w:vMerge w:val="restart"/>
            <w:tcBorders>
              <w:top w:val="single" w:sz="2" w:space="0" w:color="000000"/>
              <w:left w:val="single" w:sz="2" w:space="0" w:color="000000"/>
              <w:right w:val="single" w:sz="2"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52" w:right="62" w:hanging="90"/>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2" w:type="dxa"/>
            <w:vMerge w:val="restart"/>
            <w:tcBorders>
              <w:top w:val="single" w:sz="2" w:space="0" w:color="000000"/>
              <w:left w:val="single" w:sz="2" w:space="0" w:color="000000"/>
              <w:right w:val="single" w:sz="2"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63" w:right="6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vMerge w:val="restart"/>
            <w:tcBorders>
              <w:top w:val="single" w:sz="2" w:space="0" w:color="000000"/>
              <w:left w:val="single" w:sz="2" w:space="0" w:color="000000"/>
              <w:right w:val="single" w:sz="2"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3" w:right="6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6" w:type="dxa"/>
            <w:vMerge w:val="restart"/>
            <w:tcBorders>
              <w:top w:val="nil" w:sz="6" w:space="0" w:color="auto"/>
              <w:left w:val="single" w:sz="2" w:space="0" w:color="000000"/>
              <w:right w:val="single" w:sz="2" w:space="0" w:color="000000"/>
            </w:tcBorders>
            <w:shd w:val="clear" w:color="auto" w:fill="D3D3D3"/>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271" w:right="89"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391" w:hRule="exact"/>
        </w:trPr>
        <w:tc>
          <w:tcPr>
            <w:tcW w:w="2557" w:type="dxa"/>
            <w:tcBorders>
              <w:top w:val="nil" w:sz="6" w:space="0" w:color="auto"/>
              <w:left w:val="single" w:sz="2" w:space="0" w:color="000000"/>
              <w:bottom w:val="nil" w:sz="6" w:space="0" w:color="auto"/>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974" w:type="dxa"/>
            <w:vMerge/>
            <w:tcBorders>
              <w:left w:val="single" w:sz="2" w:space="0" w:color="000000"/>
              <w:right w:val="single" w:sz="2" w:space="0" w:color="000000"/>
            </w:tcBorders>
            <w:shd w:val="clear" w:color="auto" w:fill="D3D3D3"/>
          </w:tcPr>
          <w:p>
            <w:pPr/>
          </w:p>
        </w:tc>
        <w:tc>
          <w:tcPr>
            <w:tcW w:w="852" w:type="dxa"/>
            <w:vMerge/>
            <w:tcBorders>
              <w:left w:val="single" w:sz="2" w:space="0" w:color="000000"/>
              <w:right w:val="single" w:sz="2" w:space="0" w:color="000000"/>
            </w:tcBorders>
            <w:shd w:val="clear" w:color="auto" w:fill="D3D3D3"/>
          </w:tcPr>
          <w:p>
            <w:pPr/>
          </w:p>
        </w:tc>
        <w:tc>
          <w:tcPr>
            <w:tcW w:w="1050" w:type="dxa"/>
            <w:vMerge/>
            <w:tcBorders>
              <w:left w:val="single" w:sz="2" w:space="0" w:color="000000"/>
              <w:right w:val="single" w:sz="2" w:space="0" w:color="000000"/>
            </w:tcBorders>
            <w:shd w:val="clear" w:color="auto" w:fill="D3D3D3"/>
          </w:tcPr>
          <w:p>
            <w:pPr/>
          </w:p>
        </w:tc>
        <w:tc>
          <w:tcPr>
            <w:tcW w:w="852" w:type="dxa"/>
            <w:vMerge/>
            <w:tcBorders>
              <w:left w:val="single" w:sz="2" w:space="0" w:color="000000"/>
              <w:right w:val="single" w:sz="2" w:space="0" w:color="000000"/>
            </w:tcBorders>
            <w:shd w:val="clear" w:color="auto" w:fill="D3D3D3"/>
          </w:tcPr>
          <w:p>
            <w:pPr/>
          </w:p>
        </w:tc>
        <w:tc>
          <w:tcPr>
            <w:tcW w:w="852" w:type="dxa"/>
            <w:vMerge/>
            <w:tcBorders>
              <w:left w:val="single" w:sz="2" w:space="0" w:color="000000"/>
              <w:right w:val="single" w:sz="2" w:space="0" w:color="000000"/>
            </w:tcBorders>
            <w:shd w:val="clear" w:color="auto" w:fill="D3D3D3"/>
          </w:tcPr>
          <w:p>
            <w:pPr/>
          </w:p>
        </w:tc>
        <w:tc>
          <w:tcPr>
            <w:tcW w:w="852" w:type="dxa"/>
            <w:vMerge/>
            <w:tcBorders>
              <w:left w:val="single" w:sz="2" w:space="0" w:color="000000"/>
              <w:right w:val="single" w:sz="2" w:space="0" w:color="000000"/>
            </w:tcBorders>
            <w:shd w:val="clear" w:color="auto" w:fill="D3D3D3"/>
          </w:tcPr>
          <w:p>
            <w:pPr/>
          </w:p>
        </w:tc>
        <w:tc>
          <w:tcPr>
            <w:tcW w:w="852" w:type="dxa"/>
            <w:vMerge/>
            <w:tcBorders>
              <w:left w:val="single" w:sz="2" w:space="0" w:color="000000"/>
              <w:right w:val="single" w:sz="2" w:space="0" w:color="000000"/>
            </w:tcBorders>
            <w:shd w:val="clear" w:color="auto" w:fill="D3D3D3"/>
          </w:tcPr>
          <w:p>
            <w:pPr/>
          </w:p>
        </w:tc>
        <w:tc>
          <w:tcPr>
            <w:tcW w:w="726" w:type="dxa"/>
            <w:vMerge/>
            <w:tcBorders>
              <w:left w:val="single" w:sz="2" w:space="0" w:color="000000"/>
              <w:right w:val="single" w:sz="2" w:space="0" w:color="000000"/>
            </w:tcBorders>
            <w:shd w:val="clear" w:color="auto" w:fill="D3D3D3"/>
          </w:tcPr>
          <w:p>
            <w:pPr/>
          </w:p>
        </w:tc>
      </w:tr>
      <w:tr>
        <w:trPr>
          <w:trHeight w:val="826" w:hRule="exact"/>
        </w:trPr>
        <w:tc>
          <w:tcPr>
            <w:tcW w:w="2557" w:type="dxa"/>
            <w:tcBorders>
              <w:top w:val="nil" w:sz="6" w:space="0" w:color="auto"/>
              <w:left w:val="single" w:sz="2" w:space="0" w:color="000000"/>
              <w:bottom w:val="single" w:sz="2" w:space="0" w:color="000000"/>
              <w:right w:val="single" w:sz="2" w:space="0" w:color="000000"/>
            </w:tcBorders>
            <w:shd w:val="clear" w:color="auto" w:fill="D3D3D3"/>
          </w:tcPr>
          <w:p>
            <w:pPr/>
          </w:p>
        </w:tc>
        <w:tc>
          <w:tcPr>
            <w:tcW w:w="974" w:type="dxa"/>
            <w:vMerge/>
            <w:tcBorders>
              <w:left w:val="single" w:sz="2" w:space="0" w:color="000000"/>
              <w:bottom w:val="single" w:sz="2" w:space="0" w:color="000000"/>
              <w:right w:val="single" w:sz="2" w:space="0" w:color="000000"/>
            </w:tcBorders>
            <w:shd w:val="clear" w:color="auto" w:fill="D3D3D3"/>
          </w:tcPr>
          <w:p>
            <w:pPr/>
          </w:p>
        </w:tc>
        <w:tc>
          <w:tcPr>
            <w:tcW w:w="852" w:type="dxa"/>
            <w:vMerge/>
            <w:tcBorders>
              <w:left w:val="single" w:sz="2" w:space="0" w:color="000000"/>
              <w:bottom w:val="single" w:sz="2" w:space="0" w:color="000000"/>
              <w:right w:val="single" w:sz="2" w:space="0" w:color="000000"/>
            </w:tcBorders>
            <w:shd w:val="clear" w:color="auto" w:fill="D3D3D3"/>
          </w:tcPr>
          <w:p>
            <w:pPr/>
          </w:p>
        </w:tc>
        <w:tc>
          <w:tcPr>
            <w:tcW w:w="1050" w:type="dxa"/>
            <w:vMerge/>
            <w:tcBorders>
              <w:left w:val="single" w:sz="2" w:space="0" w:color="000000"/>
              <w:bottom w:val="single" w:sz="2" w:space="0" w:color="000000"/>
              <w:right w:val="single" w:sz="2" w:space="0" w:color="000000"/>
            </w:tcBorders>
            <w:shd w:val="clear" w:color="auto" w:fill="D3D3D3"/>
          </w:tcPr>
          <w:p>
            <w:pPr/>
          </w:p>
        </w:tc>
        <w:tc>
          <w:tcPr>
            <w:tcW w:w="852" w:type="dxa"/>
            <w:vMerge/>
            <w:tcBorders>
              <w:left w:val="single" w:sz="2" w:space="0" w:color="000000"/>
              <w:bottom w:val="single" w:sz="2" w:space="0" w:color="000000"/>
              <w:right w:val="single" w:sz="2" w:space="0" w:color="000000"/>
            </w:tcBorders>
            <w:shd w:val="clear" w:color="auto" w:fill="D3D3D3"/>
          </w:tcPr>
          <w:p>
            <w:pPr/>
          </w:p>
        </w:tc>
        <w:tc>
          <w:tcPr>
            <w:tcW w:w="852" w:type="dxa"/>
            <w:vMerge/>
            <w:tcBorders>
              <w:left w:val="single" w:sz="2" w:space="0" w:color="000000"/>
              <w:bottom w:val="single" w:sz="2" w:space="0" w:color="000000"/>
              <w:right w:val="single" w:sz="2" w:space="0" w:color="000000"/>
            </w:tcBorders>
            <w:shd w:val="clear" w:color="auto" w:fill="D3D3D3"/>
          </w:tcPr>
          <w:p>
            <w:pPr/>
          </w:p>
        </w:tc>
        <w:tc>
          <w:tcPr>
            <w:tcW w:w="852" w:type="dxa"/>
            <w:vMerge/>
            <w:tcBorders>
              <w:left w:val="single" w:sz="2" w:space="0" w:color="000000"/>
              <w:bottom w:val="single" w:sz="2" w:space="0" w:color="000000"/>
              <w:right w:val="single" w:sz="2" w:space="0" w:color="000000"/>
            </w:tcBorders>
            <w:shd w:val="clear" w:color="auto" w:fill="D3D3D3"/>
          </w:tcPr>
          <w:p>
            <w:pPr/>
          </w:p>
        </w:tc>
        <w:tc>
          <w:tcPr>
            <w:tcW w:w="852" w:type="dxa"/>
            <w:vMerge/>
            <w:tcBorders>
              <w:left w:val="single" w:sz="2" w:space="0" w:color="000000"/>
              <w:bottom w:val="single" w:sz="2" w:space="0" w:color="000000"/>
              <w:right w:val="single" w:sz="2" w:space="0" w:color="000000"/>
            </w:tcBorders>
            <w:shd w:val="clear" w:color="auto" w:fill="D3D3D3"/>
          </w:tcPr>
          <w:p>
            <w:pPr/>
          </w:p>
        </w:tc>
        <w:tc>
          <w:tcPr>
            <w:tcW w:w="726" w:type="dxa"/>
            <w:vMerge/>
            <w:tcBorders>
              <w:left w:val="single" w:sz="2" w:space="0" w:color="000000"/>
              <w:bottom w:val="single" w:sz="2" w:space="0" w:color="000000"/>
              <w:right w:val="single" w:sz="2" w:space="0" w:color="000000"/>
            </w:tcBorders>
            <w:shd w:val="clear" w:color="auto" w:fill="D3D3D3"/>
          </w:tcPr>
          <w:p>
            <w:pPr/>
          </w:p>
        </w:tc>
      </w:tr>
      <w:tr>
        <w:trPr>
          <w:trHeight w:val="359" w:hRule="exact"/>
        </w:trPr>
        <w:tc>
          <w:tcPr>
            <w:tcW w:w="2557" w:type="dxa"/>
            <w:tcBorders>
              <w:top w:val="single" w:sz="2" w:space="0" w:color="000000"/>
              <w:left w:val="single" w:sz="2" w:space="0" w:color="000000"/>
              <w:bottom w:val="nil" w:sz="6" w:space="0" w:color="auto"/>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w:t>
            </w:r>
          </w:p>
        </w:tc>
        <w:tc>
          <w:tcPr>
            <w:tcW w:w="974"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-2,353,610.1</w:t>
            </w:r>
          </w:p>
        </w:tc>
        <w:tc>
          <w:tcPr>
            <w:tcW w:w="852" w:type="dxa"/>
            <w:vMerge w:val="restart"/>
            <w:tcBorders>
              <w:top w:val="single" w:sz="2" w:space="0" w:color="000000"/>
              <w:left w:val="single" w:sz="2" w:space="0" w:color="000000"/>
              <w:right w:val="single" w:sz="2" w:space="0" w:color="000000"/>
            </w:tcBorders>
          </w:tcPr>
          <w:p>
            <w:pPr/>
          </w:p>
        </w:tc>
        <w:tc>
          <w:tcPr>
            <w:tcW w:w="1050" w:type="dxa"/>
            <w:vMerge w:val="restart"/>
            <w:tcBorders>
              <w:top w:val="single" w:sz="2" w:space="0" w:color="000000"/>
              <w:left w:val="single" w:sz="2" w:space="0" w:color="000000"/>
              <w:right w:val="single" w:sz="2" w:space="0" w:color="000000"/>
            </w:tcBorders>
          </w:tcPr>
          <w:p>
            <w:pPr/>
          </w:p>
        </w:tc>
        <w:tc>
          <w:tcPr>
            <w:tcW w:w="852" w:type="dxa"/>
            <w:vMerge w:val="restart"/>
            <w:tcBorders>
              <w:top w:val="single" w:sz="2" w:space="0" w:color="000000"/>
              <w:left w:val="single" w:sz="2" w:space="0" w:color="000000"/>
              <w:right w:val="single" w:sz="2" w:space="0" w:color="000000"/>
            </w:tcBorders>
          </w:tcPr>
          <w:p>
            <w:pPr/>
          </w:p>
        </w:tc>
        <w:tc>
          <w:tcPr>
            <w:tcW w:w="852" w:type="dxa"/>
            <w:vMerge w:val="restart"/>
            <w:tcBorders>
              <w:top w:val="single" w:sz="2" w:space="0" w:color="000000"/>
              <w:left w:val="single" w:sz="2" w:space="0" w:color="000000"/>
              <w:right w:val="single" w:sz="2" w:space="0" w:color="000000"/>
            </w:tcBorders>
          </w:tcPr>
          <w:p>
            <w:pPr/>
          </w:p>
        </w:tc>
        <w:tc>
          <w:tcPr>
            <w:tcW w:w="852" w:type="dxa"/>
            <w:vMerge w:val="restart"/>
            <w:tcBorders>
              <w:top w:val="single" w:sz="2" w:space="0" w:color="000000"/>
              <w:left w:val="single" w:sz="2" w:space="0" w:color="000000"/>
              <w:right w:val="single" w:sz="2" w:space="0" w:color="000000"/>
            </w:tcBorders>
          </w:tcPr>
          <w:p>
            <w:pPr/>
          </w:p>
        </w:tc>
        <w:tc>
          <w:tcPr>
            <w:tcW w:w="852" w:type="dxa"/>
            <w:vMerge w:val="restart"/>
            <w:tcBorders>
              <w:top w:val="single" w:sz="2" w:space="0" w:color="000000"/>
              <w:left w:val="single" w:sz="2" w:space="0" w:color="000000"/>
              <w:right w:val="single" w:sz="2" w:space="0" w:color="000000"/>
            </w:tcBorders>
          </w:tcPr>
          <w:p>
            <w:pPr/>
          </w:p>
        </w:tc>
        <w:tc>
          <w:tcPr>
            <w:tcW w:w="726"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-2,353,6</w:t>
            </w:r>
          </w:p>
        </w:tc>
      </w:tr>
      <w:tr>
        <w:trPr>
          <w:trHeight w:val="350" w:hRule="exact"/>
        </w:trPr>
        <w:tc>
          <w:tcPr>
            <w:tcW w:w="2557" w:type="dxa"/>
            <w:tcBorders>
              <w:top w:val="nil" w:sz="6" w:space="0" w:color="auto"/>
              <w:left w:val="single" w:sz="2" w:space="0" w:color="000000"/>
              <w:bottom w:val="single" w:sz="2" w:space="0" w:color="000000"/>
              <w:right w:val="single" w:sz="2" w:space="0" w:color="000000"/>
            </w:tcBorders>
            <w:shd w:val="clear" w:color="auto" w:fill="D3D3D3"/>
          </w:tcPr>
          <w:p>
            <w:pPr>
              <w:pStyle w:val="TableParagraph"/>
              <w:spacing w:line="240" w:lineRule="auto" w:before="6"/>
              <w:ind w:left="25"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974" w:type="dxa"/>
            <w:tcBorders>
              <w:top w:val="nil" w:sz="6" w:space="0" w:color="auto"/>
              <w:left w:val="single" w:sz="12" w:space="0" w:color="D3D3D3"/>
              <w:bottom w:val="single" w:sz="2" w:space="0" w:color="000000"/>
              <w:right w:val="single" w:sz="2" w:space="0" w:color="000000"/>
            </w:tcBorders>
          </w:tcPr>
          <w:p>
            <w:pPr>
              <w:pStyle w:val="TableParagraph"/>
              <w:spacing w:line="240" w:lineRule="auto" w:before="46"/>
              <w:ind w:right="24"/>
              <w:jc w:val="right"/>
              <w:rPr>
                <w:rFonts w:ascii="Times New Roman" w:hAnsi="Times New Roman" w:cs="Times New Roman" w:eastAsia="Times New Roman" w:hint="default"/>
                <w:sz w:val="18"/>
                <w:szCs w:val="18"/>
              </w:rPr>
            </w:pPr>
            <w:r>
              <w:rPr>
                <w:rFonts w:ascii="Times New Roman"/>
                <w:sz w:val="18"/>
              </w:rPr>
              <w:t>1</w:t>
            </w:r>
          </w:p>
        </w:tc>
        <w:tc>
          <w:tcPr>
            <w:tcW w:w="852" w:type="dxa"/>
            <w:vMerge/>
            <w:tcBorders>
              <w:left w:val="single" w:sz="2" w:space="0" w:color="000000"/>
              <w:bottom w:val="single" w:sz="2" w:space="0" w:color="000000"/>
              <w:right w:val="single" w:sz="2" w:space="0" w:color="000000"/>
            </w:tcBorders>
          </w:tcPr>
          <w:p>
            <w:pPr/>
          </w:p>
        </w:tc>
        <w:tc>
          <w:tcPr>
            <w:tcW w:w="1050" w:type="dxa"/>
            <w:vMerge/>
            <w:tcBorders>
              <w:left w:val="single" w:sz="2" w:space="0" w:color="000000"/>
              <w:bottom w:val="single" w:sz="2" w:space="0" w:color="000000"/>
              <w:right w:val="single" w:sz="2" w:space="0" w:color="000000"/>
            </w:tcBorders>
          </w:tcPr>
          <w:p>
            <w:pPr/>
          </w:p>
        </w:tc>
        <w:tc>
          <w:tcPr>
            <w:tcW w:w="852" w:type="dxa"/>
            <w:vMerge/>
            <w:tcBorders>
              <w:left w:val="single" w:sz="2" w:space="0" w:color="000000"/>
              <w:bottom w:val="single" w:sz="2" w:space="0" w:color="000000"/>
              <w:right w:val="single" w:sz="2" w:space="0" w:color="000000"/>
            </w:tcBorders>
          </w:tcPr>
          <w:p>
            <w:pPr/>
          </w:p>
        </w:tc>
        <w:tc>
          <w:tcPr>
            <w:tcW w:w="852" w:type="dxa"/>
            <w:vMerge/>
            <w:tcBorders>
              <w:left w:val="single" w:sz="2" w:space="0" w:color="000000"/>
              <w:bottom w:val="single" w:sz="2" w:space="0" w:color="000000"/>
              <w:right w:val="single" w:sz="2" w:space="0" w:color="000000"/>
            </w:tcBorders>
          </w:tcPr>
          <w:p>
            <w:pPr/>
          </w:p>
        </w:tc>
        <w:tc>
          <w:tcPr>
            <w:tcW w:w="852" w:type="dxa"/>
            <w:vMerge/>
            <w:tcBorders>
              <w:left w:val="single" w:sz="2" w:space="0" w:color="000000"/>
              <w:bottom w:val="single" w:sz="2" w:space="0" w:color="000000"/>
              <w:right w:val="single" w:sz="2" w:space="0" w:color="000000"/>
            </w:tcBorders>
          </w:tcPr>
          <w:p>
            <w:pPr/>
          </w:p>
        </w:tc>
        <w:tc>
          <w:tcPr>
            <w:tcW w:w="852" w:type="dxa"/>
            <w:vMerge/>
            <w:tcBorders>
              <w:left w:val="single" w:sz="2" w:space="0" w:color="000000"/>
              <w:bottom w:val="single" w:sz="2" w:space="0" w:color="000000"/>
              <w:right w:val="single" w:sz="2" w:space="0" w:color="000000"/>
            </w:tcBorders>
          </w:tcPr>
          <w:p>
            <w:pPr/>
          </w:p>
        </w:tc>
        <w:tc>
          <w:tcPr>
            <w:tcW w:w="726"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pacing w:val="-2"/>
                <w:sz w:val="18"/>
              </w:rPr>
              <w:t>10.11</w:t>
            </w:r>
          </w:p>
        </w:tc>
      </w:tr>
      <w:tr>
        <w:trPr>
          <w:trHeight w:val="359" w:hRule="exact"/>
        </w:trPr>
        <w:tc>
          <w:tcPr>
            <w:tcW w:w="2557" w:type="dxa"/>
            <w:tcBorders>
              <w:top w:val="single" w:sz="2" w:space="0" w:color="000000"/>
              <w:left w:val="single" w:sz="2" w:space="0" w:color="000000"/>
              <w:bottom w:val="nil" w:sz="6" w:space="0" w:color="auto"/>
              <w:right w:val="single" w:sz="2"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其他权益工具投资公允</w:t>
            </w:r>
          </w:p>
        </w:tc>
        <w:tc>
          <w:tcPr>
            <w:tcW w:w="974"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-2,353,610.1</w:t>
            </w:r>
          </w:p>
        </w:tc>
        <w:tc>
          <w:tcPr>
            <w:tcW w:w="852" w:type="dxa"/>
            <w:vMerge w:val="restart"/>
            <w:tcBorders>
              <w:top w:val="single" w:sz="2" w:space="0" w:color="000000"/>
              <w:left w:val="single" w:sz="2" w:space="0" w:color="000000"/>
              <w:right w:val="single" w:sz="2" w:space="0" w:color="000000"/>
            </w:tcBorders>
          </w:tcPr>
          <w:p>
            <w:pPr/>
          </w:p>
        </w:tc>
        <w:tc>
          <w:tcPr>
            <w:tcW w:w="1050" w:type="dxa"/>
            <w:vMerge w:val="restart"/>
            <w:tcBorders>
              <w:top w:val="single" w:sz="2" w:space="0" w:color="000000"/>
              <w:left w:val="single" w:sz="2" w:space="0" w:color="000000"/>
              <w:right w:val="single" w:sz="2" w:space="0" w:color="000000"/>
            </w:tcBorders>
          </w:tcPr>
          <w:p>
            <w:pPr/>
          </w:p>
        </w:tc>
        <w:tc>
          <w:tcPr>
            <w:tcW w:w="852" w:type="dxa"/>
            <w:vMerge w:val="restart"/>
            <w:tcBorders>
              <w:top w:val="single" w:sz="2" w:space="0" w:color="000000"/>
              <w:left w:val="single" w:sz="2" w:space="0" w:color="000000"/>
              <w:right w:val="single" w:sz="2" w:space="0" w:color="000000"/>
            </w:tcBorders>
          </w:tcPr>
          <w:p>
            <w:pPr/>
          </w:p>
        </w:tc>
        <w:tc>
          <w:tcPr>
            <w:tcW w:w="852" w:type="dxa"/>
            <w:vMerge w:val="restart"/>
            <w:tcBorders>
              <w:top w:val="single" w:sz="2" w:space="0" w:color="000000"/>
              <w:left w:val="single" w:sz="2" w:space="0" w:color="000000"/>
              <w:right w:val="single" w:sz="2" w:space="0" w:color="000000"/>
            </w:tcBorders>
          </w:tcPr>
          <w:p>
            <w:pPr/>
          </w:p>
        </w:tc>
        <w:tc>
          <w:tcPr>
            <w:tcW w:w="852" w:type="dxa"/>
            <w:vMerge w:val="restart"/>
            <w:tcBorders>
              <w:top w:val="single" w:sz="2" w:space="0" w:color="000000"/>
              <w:left w:val="single" w:sz="2" w:space="0" w:color="000000"/>
              <w:right w:val="single" w:sz="2" w:space="0" w:color="000000"/>
            </w:tcBorders>
          </w:tcPr>
          <w:p>
            <w:pPr/>
          </w:p>
        </w:tc>
        <w:tc>
          <w:tcPr>
            <w:tcW w:w="852" w:type="dxa"/>
            <w:vMerge w:val="restart"/>
            <w:tcBorders>
              <w:top w:val="single" w:sz="2" w:space="0" w:color="000000"/>
              <w:left w:val="single" w:sz="2" w:space="0" w:color="000000"/>
              <w:right w:val="single" w:sz="2" w:space="0" w:color="000000"/>
            </w:tcBorders>
          </w:tcPr>
          <w:p>
            <w:pPr/>
          </w:p>
        </w:tc>
        <w:tc>
          <w:tcPr>
            <w:tcW w:w="726"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-2,353,6</w:t>
            </w:r>
          </w:p>
        </w:tc>
      </w:tr>
      <w:tr>
        <w:trPr>
          <w:trHeight w:val="350" w:hRule="exact"/>
        </w:trPr>
        <w:tc>
          <w:tcPr>
            <w:tcW w:w="2557" w:type="dxa"/>
            <w:tcBorders>
              <w:top w:val="nil" w:sz="6" w:space="0" w:color="auto"/>
              <w:left w:val="single" w:sz="2" w:space="0" w:color="000000"/>
              <w:bottom w:val="single" w:sz="2" w:space="0" w:color="000000"/>
              <w:right w:val="single" w:sz="2" w:space="0" w:color="000000"/>
            </w:tcBorders>
            <w:shd w:val="clear" w:color="auto" w:fill="D3D3D3"/>
          </w:tcPr>
          <w:p>
            <w:pPr>
              <w:pStyle w:val="TableParagraph"/>
              <w:spacing w:line="240" w:lineRule="auto" w:before="6"/>
              <w:ind w:left="25"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974" w:type="dxa"/>
            <w:tcBorders>
              <w:top w:val="nil" w:sz="6" w:space="0" w:color="auto"/>
              <w:left w:val="single" w:sz="12" w:space="0" w:color="D3D3D3"/>
              <w:bottom w:val="single" w:sz="2" w:space="0" w:color="000000"/>
              <w:right w:val="single" w:sz="2" w:space="0" w:color="000000"/>
            </w:tcBorders>
          </w:tcPr>
          <w:p>
            <w:pPr>
              <w:pStyle w:val="TableParagraph"/>
              <w:spacing w:line="240" w:lineRule="auto" w:before="46"/>
              <w:ind w:right="24"/>
              <w:jc w:val="right"/>
              <w:rPr>
                <w:rFonts w:ascii="Times New Roman" w:hAnsi="Times New Roman" w:cs="Times New Roman" w:eastAsia="Times New Roman" w:hint="default"/>
                <w:sz w:val="18"/>
                <w:szCs w:val="18"/>
              </w:rPr>
            </w:pPr>
            <w:r>
              <w:rPr>
                <w:rFonts w:ascii="Times New Roman"/>
                <w:sz w:val="18"/>
              </w:rPr>
              <w:t>1</w:t>
            </w:r>
          </w:p>
        </w:tc>
        <w:tc>
          <w:tcPr>
            <w:tcW w:w="852" w:type="dxa"/>
            <w:vMerge/>
            <w:tcBorders>
              <w:left w:val="single" w:sz="2" w:space="0" w:color="000000"/>
              <w:bottom w:val="single" w:sz="2" w:space="0" w:color="000000"/>
              <w:right w:val="single" w:sz="2" w:space="0" w:color="000000"/>
            </w:tcBorders>
          </w:tcPr>
          <w:p>
            <w:pPr/>
          </w:p>
        </w:tc>
        <w:tc>
          <w:tcPr>
            <w:tcW w:w="1050" w:type="dxa"/>
            <w:vMerge/>
            <w:tcBorders>
              <w:left w:val="single" w:sz="2" w:space="0" w:color="000000"/>
              <w:bottom w:val="single" w:sz="2" w:space="0" w:color="000000"/>
              <w:right w:val="single" w:sz="2" w:space="0" w:color="000000"/>
            </w:tcBorders>
          </w:tcPr>
          <w:p>
            <w:pPr/>
          </w:p>
        </w:tc>
        <w:tc>
          <w:tcPr>
            <w:tcW w:w="852" w:type="dxa"/>
            <w:vMerge/>
            <w:tcBorders>
              <w:left w:val="single" w:sz="2" w:space="0" w:color="000000"/>
              <w:bottom w:val="single" w:sz="2" w:space="0" w:color="000000"/>
              <w:right w:val="single" w:sz="2" w:space="0" w:color="000000"/>
            </w:tcBorders>
          </w:tcPr>
          <w:p>
            <w:pPr/>
          </w:p>
        </w:tc>
        <w:tc>
          <w:tcPr>
            <w:tcW w:w="852" w:type="dxa"/>
            <w:vMerge/>
            <w:tcBorders>
              <w:left w:val="single" w:sz="2" w:space="0" w:color="000000"/>
              <w:bottom w:val="single" w:sz="2" w:space="0" w:color="000000"/>
              <w:right w:val="single" w:sz="2" w:space="0" w:color="000000"/>
            </w:tcBorders>
          </w:tcPr>
          <w:p>
            <w:pPr/>
          </w:p>
        </w:tc>
        <w:tc>
          <w:tcPr>
            <w:tcW w:w="852" w:type="dxa"/>
            <w:vMerge/>
            <w:tcBorders>
              <w:left w:val="single" w:sz="2" w:space="0" w:color="000000"/>
              <w:bottom w:val="single" w:sz="2" w:space="0" w:color="000000"/>
              <w:right w:val="single" w:sz="2" w:space="0" w:color="000000"/>
            </w:tcBorders>
          </w:tcPr>
          <w:p>
            <w:pPr/>
          </w:p>
        </w:tc>
        <w:tc>
          <w:tcPr>
            <w:tcW w:w="852" w:type="dxa"/>
            <w:vMerge/>
            <w:tcBorders>
              <w:left w:val="single" w:sz="2" w:space="0" w:color="000000"/>
              <w:bottom w:val="single" w:sz="2" w:space="0" w:color="000000"/>
              <w:right w:val="single" w:sz="2" w:space="0" w:color="000000"/>
            </w:tcBorders>
          </w:tcPr>
          <w:p>
            <w:pPr/>
          </w:p>
        </w:tc>
        <w:tc>
          <w:tcPr>
            <w:tcW w:w="726"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pacing w:val="-2"/>
                <w:sz w:val="18"/>
              </w:rPr>
              <w:t>10.11</w:t>
            </w:r>
          </w:p>
        </w:tc>
      </w:tr>
      <w:tr>
        <w:trPr>
          <w:trHeight w:val="158" w:hRule="exact"/>
        </w:trPr>
        <w:tc>
          <w:tcPr>
            <w:tcW w:w="2557" w:type="dxa"/>
            <w:tcBorders>
              <w:top w:val="single" w:sz="2" w:space="0" w:color="000000"/>
              <w:left w:val="single" w:sz="2" w:space="0" w:color="000000"/>
              <w:bottom w:val="nil" w:sz="6" w:space="0" w:color="auto"/>
              <w:right w:val="single" w:sz="2" w:space="0" w:color="000000"/>
            </w:tcBorders>
            <w:shd w:val="clear" w:color="auto" w:fill="D3D3D3"/>
          </w:tcPr>
          <w:p>
            <w:pPr/>
          </w:p>
        </w:tc>
        <w:tc>
          <w:tcPr>
            <w:tcW w:w="974" w:type="dxa"/>
            <w:vMerge w:val="restart"/>
            <w:tcBorders>
              <w:top w:val="single" w:sz="2" w:space="0" w:color="000000"/>
              <w:left w:val="single" w:sz="2" w:space="0" w:color="000000"/>
              <w:right w:val="single" w:sz="2"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-2,353,610.1</w:t>
            </w:r>
          </w:p>
        </w:tc>
        <w:tc>
          <w:tcPr>
            <w:tcW w:w="852" w:type="dxa"/>
            <w:vMerge w:val="restart"/>
            <w:tcBorders>
              <w:top w:val="single" w:sz="2" w:space="0" w:color="000000"/>
              <w:left w:val="single" w:sz="2" w:space="0" w:color="000000"/>
              <w:right w:val="single" w:sz="2" w:space="0" w:color="000000"/>
            </w:tcBorders>
          </w:tcPr>
          <w:p>
            <w:pPr/>
          </w:p>
        </w:tc>
        <w:tc>
          <w:tcPr>
            <w:tcW w:w="1050" w:type="dxa"/>
            <w:vMerge w:val="restart"/>
            <w:tcBorders>
              <w:top w:val="single" w:sz="2" w:space="0" w:color="000000"/>
              <w:left w:val="single" w:sz="2" w:space="0" w:color="000000"/>
              <w:right w:val="single" w:sz="2" w:space="0" w:color="000000"/>
            </w:tcBorders>
          </w:tcPr>
          <w:p>
            <w:pPr/>
          </w:p>
        </w:tc>
        <w:tc>
          <w:tcPr>
            <w:tcW w:w="852" w:type="dxa"/>
            <w:vMerge w:val="restart"/>
            <w:tcBorders>
              <w:top w:val="single" w:sz="2" w:space="0" w:color="000000"/>
              <w:left w:val="single" w:sz="2" w:space="0" w:color="000000"/>
              <w:right w:val="single" w:sz="2" w:space="0" w:color="000000"/>
            </w:tcBorders>
          </w:tcPr>
          <w:p>
            <w:pPr/>
          </w:p>
        </w:tc>
        <w:tc>
          <w:tcPr>
            <w:tcW w:w="852" w:type="dxa"/>
            <w:vMerge w:val="restart"/>
            <w:tcBorders>
              <w:top w:val="single" w:sz="2" w:space="0" w:color="000000"/>
              <w:left w:val="single" w:sz="2" w:space="0" w:color="000000"/>
              <w:right w:val="single" w:sz="2" w:space="0" w:color="000000"/>
            </w:tcBorders>
          </w:tcPr>
          <w:p>
            <w:pPr/>
          </w:p>
        </w:tc>
        <w:tc>
          <w:tcPr>
            <w:tcW w:w="852" w:type="dxa"/>
            <w:vMerge w:val="restart"/>
            <w:tcBorders>
              <w:top w:val="single" w:sz="2" w:space="0" w:color="000000"/>
              <w:left w:val="single" w:sz="2" w:space="0" w:color="000000"/>
              <w:right w:val="single" w:sz="2" w:space="0" w:color="000000"/>
            </w:tcBorders>
          </w:tcPr>
          <w:p>
            <w:pPr/>
          </w:p>
        </w:tc>
        <w:tc>
          <w:tcPr>
            <w:tcW w:w="852" w:type="dxa"/>
            <w:vMerge w:val="restart"/>
            <w:tcBorders>
              <w:top w:val="single" w:sz="2" w:space="0" w:color="000000"/>
              <w:left w:val="single" w:sz="2" w:space="0" w:color="000000"/>
              <w:right w:val="single" w:sz="2" w:space="0" w:color="000000"/>
            </w:tcBorders>
          </w:tcPr>
          <w:p>
            <w:pPr/>
          </w:p>
        </w:tc>
        <w:tc>
          <w:tcPr>
            <w:tcW w:w="726" w:type="dxa"/>
            <w:vMerge w:val="restart"/>
            <w:tcBorders>
              <w:top w:val="single" w:sz="2" w:space="0" w:color="000000"/>
              <w:left w:val="single" w:sz="2" w:space="0" w:color="000000"/>
              <w:right w:val="single" w:sz="2"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-2,353,6</w:t>
            </w:r>
          </w:p>
        </w:tc>
      </w:tr>
      <w:tr>
        <w:trPr>
          <w:trHeight w:val="204" w:hRule="exact"/>
        </w:trPr>
        <w:tc>
          <w:tcPr>
            <w:tcW w:w="2557" w:type="dxa"/>
            <w:vMerge w:val="restart"/>
            <w:tcBorders>
              <w:top w:val="nil" w:sz="6" w:space="0" w:color="auto"/>
              <w:left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4" w:type="dxa"/>
            <w:vMerge/>
            <w:tcBorders>
              <w:left w:val="single" w:sz="2" w:space="0" w:color="000000"/>
              <w:bottom w:val="nil" w:sz="6" w:space="0" w:color="auto"/>
              <w:right w:val="single" w:sz="2" w:space="0" w:color="000000"/>
            </w:tcBorders>
          </w:tcPr>
          <w:p>
            <w:pPr/>
          </w:p>
        </w:tc>
        <w:tc>
          <w:tcPr>
            <w:tcW w:w="852" w:type="dxa"/>
            <w:vMerge/>
            <w:tcBorders>
              <w:left w:val="single" w:sz="2" w:space="0" w:color="000000"/>
              <w:right w:val="single" w:sz="2" w:space="0" w:color="000000"/>
            </w:tcBorders>
          </w:tcPr>
          <w:p>
            <w:pPr/>
          </w:p>
        </w:tc>
        <w:tc>
          <w:tcPr>
            <w:tcW w:w="1050" w:type="dxa"/>
            <w:vMerge/>
            <w:tcBorders>
              <w:left w:val="single" w:sz="2" w:space="0" w:color="000000"/>
              <w:right w:val="single" w:sz="2" w:space="0" w:color="000000"/>
            </w:tcBorders>
          </w:tcPr>
          <w:p>
            <w:pPr/>
          </w:p>
        </w:tc>
        <w:tc>
          <w:tcPr>
            <w:tcW w:w="852" w:type="dxa"/>
            <w:vMerge/>
            <w:tcBorders>
              <w:left w:val="single" w:sz="2" w:space="0" w:color="000000"/>
              <w:right w:val="single" w:sz="2" w:space="0" w:color="000000"/>
            </w:tcBorders>
          </w:tcPr>
          <w:p>
            <w:pPr/>
          </w:p>
        </w:tc>
        <w:tc>
          <w:tcPr>
            <w:tcW w:w="852" w:type="dxa"/>
            <w:vMerge/>
            <w:tcBorders>
              <w:left w:val="single" w:sz="2" w:space="0" w:color="000000"/>
              <w:right w:val="single" w:sz="2" w:space="0" w:color="000000"/>
            </w:tcBorders>
          </w:tcPr>
          <w:p>
            <w:pPr/>
          </w:p>
        </w:tc>
        <w:tc>
          <w:tcPr>
            <w:tcW w:w="852" w:type="dxa"/>
            <w:vMerge/>
            <w:tcBorders>
              <w:left w:val="single" w:sz="2" w:space="0" w:color="000000"/>
              <w:right w:val="single" w:sz="2" w:space="0" w:color="000000"/>
            </w:tcBorders>
          </w:tcPr>
          <w:p>
            <w:pPr/>
          </w:p>
        </w:tc>
        <w:tc>
          <w:tcPr>
            <w:tcW w:w="852" w:type="dxa"/>
            <w:vMerge/>
            <w:tcBorders>
              <w:left w:val="single" w:sz="2" w:space="0" w:color="000000"/>
              <w:right w:val="single" w:sz="2" w:space="0" w:color="000000"/>
            </w:tcBorders>
          </w:tcPr>
          <w:p>
            <w:pPr/>
          </w:p>
        </w:tc>
        <w:tc>
          <w:tcPr>
            <w:tcW w:w="726" w:type="dxa"/>
            <w:vMerge/>
            <w:tcBorders>
              <w:left w:val="single" w:sz="2" w:space="0" w:color="000000"/>
              <w:bottom w:val="nil" w:sz="6" w:space="0" w:color="auto"/>
              <w:right w:val="single" w:sz="2" w:space="0" w:color="000000"/>
            </w:tcBorders>
          </w:tcPr>
          <w:p>
            <w:pPr/>
          </w:p>
        </w:tc>
      </w:tr>
      <w:tr>
        <w:trPr>
          <w:trHeight w:val="187" w:hRule="exact"/>
        </w:trPr>
        <w:tc>
          <w:tcPr>
            <w:tcW w:w="2557" w:type="dxa"/>
            <w:vMerge/>
            <w:tcBorders>
              <w:left w:val="single" w:sz="2" w:space="0" w:color="000000"/>
              <w:bottom w:val="nil" w:sz="6" w:space="0" w:color="auto"/>
              <w:right w:val="single" w:sz="2" w:space="0" w:color="000000"/>
            </w:tcBorders>
            <w:shd w:val="clear" w:color="auto" w:fill="D3D3D3"/>
          </w:tcPr>
          <w:p>
            <w:pPr/>
          </w:p>
        </w:tc>
        <w:tc>
          <w:tcPr>
            <w:tcW w:w="974" w:type="dxa"/>
            <w:vMerge w:val="restart"/>
            <w:tcBorders>
              <w:top w:val="nil" w:sz="6" w:space="0" w:color="auto"/>
              <w:left w:val="single" w:sz="2" w:space="0" w:color="000000"/>
              <w:right w:val="single" w:sz="2" w:space="0" w:color="000000"/>
            </w:tcBorders>
          </w:tcPr>
          <w:p>
            <w:pPr>
              <w:pStyle w:val="TableParagraph"/>
              <w:spacing w:line="240" w:lineRule="auto" w:before="42"/>
              <w:ind w:right="24"/>
              <w:jc w:val="right"/>
              <w:rPr>
                <w:rFonts w:ascii="Times New Roman" w:hAnsi="Times New Roman" w:cs="Times New Roman" w:eastAsia="Times New Roman" w:hint="default"/>
                <w:sz w:val="18"/>
                <w:szCs w:val="18"/>
              </w:rPr>
            </w:pPr>
            <w:r>
              <w:rPr>
                <w:rFonts w:ascii="Times New Roman"/>
                <w:sz w:val="18"/>
              </w:rPr>
              <w:t>1</w:t>
            </w:r>
          </w:p>
        </w:tc>
        <w:tc>
          <w:tcPr>
            <w:tcW w:w="852" w:type="dxa"/>
            <w:vMerge/>
            <w:tcBorders>
              <w:left w:val="single" w:sz="2" w:space="0" w:color="000000"/>
              <w:right w:val="single" w:sz="2" w:space="0" w:color="000000"/>
            </w:tcBorders>
          </w:tcPr>
          <w:p>
            <w:pPr/>
          </w:p>
        </w:tc>
        <w:tc>
          <w:tcPr>
            <w:tcW w:w="1050" w:type="dxa"/>
            <w:vMerge/>
            <w:tcBorders>
              <w:left w:val="single" w:sz="2" w:space="0" w:color="000000"/>
              <w:right w:val="single" w:sz="2" w:space="0" w:color="000000"/>
            </w:tcBorders>
          </w:tcPr>
          <w:p>
            <w:pPr/>
          </w:p>
        </w:tc>
        <w:tc>
          <w:tcPr>
            <w:tcW w:w="852" w:type="dxa"/>
            <w:vMerge/>
            <w:tcBorders>
              <w:left w:val="single" w:sz="2" w:space="0" w:color="000000"/>
              <w:right w:val="single" w:sz="2" w:space="0" w:color="000000"/>
            </w:tcBorders>
          </w:tcPr>
          <w:p>
            <w:pPr/>
          </w:p>
        </w:tc>
        <w:tc>
          <w:tcPr>
            <w:tcW w:w="852" w:type="dxa"/>
            <w:vMerge/>
            <w:tcBorders>
              <w:left w:val="single" w:sz="2" w:space="0" w:color="000000"/>
              <w:right w:val="single" w:sz="2" w:space="0" w:color="000000"/>
            </w:tcBorders>
          </w:tcPr>
          <w:p>
            <w:pPr/>
          </w:p>
        </w:tc>
        <w:tc>
          <w:tcPr>
            <w:tcW w:w="852" w:type="dxa"/>
            <w:vMerge/>
            <w:tcBorders>
              <w:left w:val="single" w:sz="2" w:space="0" w:color="000000"/>
              <w:right w:val="single" w:sz="2" w:space="0" w:color="000000"/>
            </w:tcBorders>
          </w:tcPr>
          <w:p>
            <w:pPr/>
          </w:p>
        </w:tc>
        <w:tc>
          <w:tcPr>
            <w:tcW w:w="852" w:type="dxa"/>
            <w:vMerge/>
            <w:tcBorders>
              <w:left w:val="single" w:sz="2" w:space="0" w:color="000000"/>
              <w:right w:val="single" w:sz="2" w:space="0" w:color="000000"/>
            </w:tcBorders>
          </w:tcPr>
          <w:p>
            <w:pPr/>
          </w:p>
        </w:tc>
        <w:tc>
          <w:tcPr>
            <w:tcW w:w="726" w:type="dxa"/>
            <w:vMerge w:val="restart"/>
            <w:tcBorders>
              <w:top w:val="nil" w:sz="6" w:space="0" w:color="auto"/>
              <w:left w:val="single" w:sz="2" w:space="0" w:color="000000"/>
              <w:right w:val="single" w:sz="2" w:space="0" w:color="000000"/>
            </w:tcBorders>
          </w:tcPr>
          <w:p>
            <w:pPr>
              <w:pStyle w:val="TableParagraph"/>
              <w:spacing w:line="240" w:lineRule="auto" w:before="42"/>
              <w:ind w:left="297" w:right="0"/>
              <w:jc w:val="left"/>
              <w:rPr>
                <w:rFonts w:ascii="Times New Roman" w:hAnsi="Times New Roman" w:cs="Times New Roman" w:eastAsia="Times New Roman" w:hint="default"/>
                <w:sz w:val="18"/>
                <w:szCs w:val="18"/>
              </w:rPr>
            </w:pPr>
            <w:r>
              <w:rPr>
                <w:rFonts w:ascii="Times New Roman"/>
                <w:sz w:val="18"/>
              </w:rPr>
              <w:t>10.11</w:t>
            </w:r>
          </w:p>
        </w:tc>
      </w:tr>
      <w:tr>
        <w:trPr>
          <w:trHeight w:val="158" w:hRule="exact"/>
        </w:trPr>
        <w:tc>
          <w:tcPr>
            <w:tcW w:w="2557" w:type="dxa"/>
            <w:tcBorders>
              <w:top w:val="nil" w:sz="6" w:space="0" w:color="auto"/>
              <w:left w:val="single" w:sz="2" w:space="0" w:color="000000"/>
              <w:bottom w:val="single" w:sz="2" w:space="0" w:color="000000"/>
              <w:right w:val="single" w:sz="2" w:space="0" w:color="000000"/>
            </w:tcBorders>
            <w:shd w:val="clear" w:color="auto" w:fill="D3D3D3"/>
          </w:tcPr>
          <w:p>
            <w:pPr/>
          </w:p>
        </w:tc>
        <w:tc>
          <w:tcPr>
            <w:tcW w:w="974" w:type="dxa"/>
            <w:vMerge/>
            <w:tcBorders>
              <w:left w:val="single" w:sz="2" w:space="0" w:color="000000"/>
              <w:bottom w:val="single" w:sz="2" w:space="0" w:color="000000"/>
              <w:right w:val="single" w:sz="2" w:space="0" w:color="000000"/>
            </w:tcBorders>
          </w:tcPr>
          <w:p>
            <w:pPr/>
          </w:p>
        </w:tc>
        <w:tc>
          <w:tcPr>
            <w:tcW w:w="852" w:type="dxa"/>
            <w:vMerge/>
            <w:tcBorders>
              <w:left w:val="single" w:sz="2" w:space="0" w:color="000000"/>
              <w:bottom w:val="single" w:sz="2" w:space="0" w:color="000000"/>
              <w:right w:val="single" w:sz="2" w:space="0" w:color="000000"/>
            </w:tcBorders>
          </w:tcPr>
          <w:p>
            <w:pPr/>
          </w:p>
        </w:tc>
        <w:tc>
          <w:tcPr>
            <w:tcW w:w="1050" w:type="dxa"/>
            <w:vMerge/>
            <w:tcBorders>
              <w:left w:val="single" w:sz="2" w:space="0" w:color="000000"/>
              <w:bottom w:val="single" w:sz="2" w:space="0" w:color="000000"/>
              <w:right w:val="single" w:sz="2" w:space="0" w:color="000000"/>
            </w:tcBorders>
          </w:tcPr>
          <w:p>
            <w:pPr/>
          </w:p>
        </w:tc>
        <w:tc>
          <w:tcPr>
            <w:tcW w:w="852" w:type="dxa"/>
            <w:vMerge/>
            <w:tcBorders>
              <w:left w:val="single" w:sz="2" w:space="0" w:color="000000"/>
              <w:bottom w:val="single" w:sz="2" w:space="0" w:color="000000"/>
              <w:right w:val="single" w:sz="2" w:space="0" w:color="000000"/>
            </w:tcBorders>
          </w:tcPr>
          <w:p>
            <w:pPr/>
          </w:p>
        </w:tc>
        <w:tc>
          <w:tcPr>
            <w:tcW w:w="852" w:type="dxa"/>
            <w:vMerge/>
            <w:tcBorders>
              <w:left w:val="single" w:sz="2" w:space="0" w:color="000000"/>
              <w:bottom w:val="single" w:sz="2" w:space="0" w:color="000000"/>
              <w:right w:val="single" w:sz="2" w:space="0" w:color="000000"/>
            </w:tcBorders>
          </w:tcPr>
          <w:p>
            <w:pPr/>
          </w:p>
        </w:tc>
        <w:tc>
          <w:tcPr>
            <w:tcW w:w="852" w:type="dxa"/>
            <w:vMerge/>
            <w:tcBorders>
              <w:left w:val="single" w:sz="2" w:space="0" w:color="000000"/>
              <w:bottom w:val="single" w:sz="2" w:space="0" w:color="000000"/>
              <w:right w:val="single" w:sz="2" w:space="0" w:color="000000"/>
            </w:tcBorders>
          </w:tcPr>
          <w:p>
            <w:pPr/>
          </w:p>
        </w:tc>
        <w:tc>
          <w:tcPr>
            <w:tcW w:w="852" w:type="dxa"/>
            <w:vMerge/>
            <w:tcBorders>
              <w:left w:val="single" w:sz="2" w:space="0" w:color="000000"/>
              <w:bottom w:val="single" w:sz="2" w:space="0" w:color="000000"/>
              <w:right w:val="single" w:sz="2" w:space="0" w:color="000000"/>
            </w:tcBorders>
          </w:tcPr>
          <w:p>
            <w:pPr/>
          </w:p>
        </w:tc>
        <w:tc>
          <w:tcPr>
            <w:tcW w:w="726" w:type="dxa"/>
            <w:vMerge/>
            <w:tcBorders>
              <w:left w:val="single" w:sz="2" w:space="0" w:color="000000"/>
              <w:bottom w:val="single" w:sz="2" w:space="0" w:color="000000"/>
              <w:right w:val="single" w:sz="2"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35</w:t>
      </w:r>
      <w:r>
        <w:rPr/>
        <w:t>、盈余公积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51"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97" w:hRule="exact"/>
        </w:trPr>
        <w:tc>
          <w:tcPr>
            <w:tcW w:w="191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59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7" w:hRule="exact"/>
        </w:trPr>
        <w:tc>
          <w:tcPr>
            <w:tcW w:w="191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45,103,948.56</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13,778,079.67</w:t>
            </w:r>
          </w:p>
        </w:tc>
        <w:tc>
          <w:tcPr>
            <w:tcW w:w="1914" w:type="dxa"/>
            <w:tcBorders>
              <w:top w:val="single" w:sz="2" w:space="0" w:color="000000"/>
              <w:left w:val="single" w:sz="2" w:space="0" w:color="000000"/>
              <w:bottom w:val="single" w:sz="2" w:space="0" w:color="000000"/>
              <w:right w:val="single" w:sz="2" w:space="0" w:color="000000"/>
            </w:tcBorders>
          </w:tcPr>
          <w:p>
            <w:pP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58,882,028.23</w:t>
            </w:r>
          </w:p>
        </w:tc>
      </w:tr>
      <w:tr>
        <w:trPr>
          <w:trHeight w:val="397" w:hRule="exact"/>
        </w:trPr>
        <w:tc>
          <w:tcPr>
            <w:tcW w:w="191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45,103,948.56</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13,778,079.67</w:t>
            </w:r>
          </w:p>
        </w:tc>
        <w:tc>
          <w:tcPr>
            <w:tcW w:w="1914" w:type="dxa"/>
            <w:tcBorders>
              <w:top w:val="single" w:sz="2" w:space="0" w:color="000000"/>
              <w:left w:val="single" w:sz="2" w:space="0" w:color="000000"/>
              <w:bottom w:val="single" w:sz="2" w:space="0" w:color="000000"/>
              <w:right w:val="single" w:sz="2" w:space="0" w:color="000000"/>
            </w:tcBorders>
          </w:tcPr>
          <w:p>
            <w:pP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58,882,028.23</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36</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51" w:type="dxa"/>
        <w:tblLayout w:type="fixed"/>
        <w:tblCellMar>
          <w:top w:w="0" w:type="dxa"/>
          <w:left w:w="0" w:type="dxa"/>
          <w:bottom w:w="0" w:type="dxa"/>
          <w:right w:w="0" w:type="dxa"/>
        </w:tblCellMar>
        <w:tblLook w:val="01E0"/>
      </w:tblPr>
      <w:tblGrid>
        <w:gridCol w:w="3725"/>
        <w:gridCol w:w="2924"/>
        <w:gridCol w:w="2918"/>
      </w:tblGrid>
      <w:tr>
        <w:trPr>
          <w:trHeight w:val="397" w:hRule="exact"/>
        </w:trPr>
        <w:tc>
          <w:tcPr>
            <w:tcW w:w="3725"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97" w:hRule="exact"/>
        </w:trPr>
        <w:tc>
          <w:tcPr>
            <w:tcW w:w="3725"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436,431,760.94</w:t>
            </w:r>
          </w:p>
        </w:tc>
        <w:tc>
          <w:tcPr>
            <w:tcW w:w="29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365,046,574.10</w:t>
            </w:r>
          </w:p>
        </w:tc>
      </w:tr>
      <w:tr>
        <w:trPr>
          <w:trHeight w:val="397" w:hRule="exact"/>
        </w:trPr>
        <w:tc>
          <w:tcPr>
            <w:tcW w:w="3725"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2,136,862.60</w:t>
            </w:r>
          </w:p>
        </w:tc>
        <w:tc>
          <w:tcPr>
            <w:tcW w:w="2918" w:type="dxa"/>
            <w:tcBorders>
              <w:top w:val="single" w:sz="2" w:space="0" w:color="000000"/>
              <w:left w:val="single" w:sz="2" w:space="0" w:color="000000"/>
              <w:bottom w:val="single" w:sz="2" w:space="0" w:color="000000"/>
              <w:right w:val="single" w:sz="2" w:space="0" w:color="000000"/>
            </w:tcBorders>
          </w:tcPr>
          <w:p>
            <w:pPr/>
          </w:p>
        </w:tc>
      </w:tr>
      <w:tr>
        <w:trPr>
          <w:trHeight w:val="396" w:hRule="exact"/>
        </w:trPr>
        <w:tc>
          <w:tcPr>
            <w:tcW w:w="3725"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438,568,623.54</w:t>
            </w:r>
          </w:p>
        </w:tc>
        <w:tc>
          <w:tcPr>
            <w:tcW w:w="29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365,046,574.10</w:t>
            </w:r>
          </w:p>
        </w:tc>
      </w:tr>
      <w:tr>
        <w:trPr>
          <w:trHeight w:val="397" w:hRule="exact"/>
        </w:trPr>
        <w:tc>
          <w:tcPr>
            <w:tcW w:w="3725"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157,690,483.05</w:t>
            </w:r>
          </w:p>
        </w:tc>
        <w:tc>
          <w:tcPr>
            <w:tcW w:w="29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96,112,608.43</w:t>
            </w:r>
          </w:p>
        </w:tc>
      </w:tr>
      <w:tr>
        <w:trPr>
          <w:trHeight w:val="397" w:hRule="exact"/>
        </w:trPr>
        <w:tc>
          <w:tcPr>
            <w:tcW w:w="3725"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13,778,079.67</w:t>
            </w:r>
          </w:p>
        </w:tc>
        <w:tc>
          <w:tcPr>
            <w:tcW w:w="29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5,576,381.38</w:t>
            </w:r>
          </w:p>
        </w:tc>
      </w:tr>
      <w:tr>
        <w:trPr>
          <w:trHeight w:val="397" w:hRule="exact"/>
        </w:trPr>
        <w:tc>
          <w:tcPr>
            <w:tcW w:w="3725"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19,243,699.80</w:t>
            </w:r>
          </w:p>
        </w:tc>
        <w:tc>
          <w:tcPr>
            <w:tcW w:w="29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19,151,040.21</w:t>
            </w:r>
          </w:p>
        </w:tc>
      </w:tr>
      <w:tr>
        <w:trPr>
          <w:trHeight w:val="397" w:hRule="exact"/>
        </w:trPr>
        <w:tc>
          <w:tcPr>
            <w:tcW w:w="3725"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563,237,327.12</w:t>
            </w:r>
          </w:p>
        </w:tc>
        <w:tc>
          <w:tcPr>
            <w:tcW w:w="29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436,431,760.94</w:t>
            </w:r>
          </w:p>
        </w:tc>
      </w:tr>
    </w:tbl>
    <w:p>
      <w:pPr>
        <w:spacing w:before="51"/>
        <w:ind w:left="154" w:right="1113"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line="240" w:lineRule="auto" w:before="12"/>
        <w:rPr>
          <w:rFonts w:ascii="宋体" w:hAnsi="宋体" w:cs="宋体" w:eastAsia="宋体" w:hint="default"/>
          <w:sz w:val="12"/>
          <w:szCs w:val="12"/>
        </w:rPr>
      </w:pPr>
    </w:p>
    <w:p>
      <w:pPr>
        <w:pStyle w:val="BodyText"/>
        <w:spacing w:line="240" w:lineRule="auto" w:before="0"/>
        <w:ind w:left="574" w:right="1113"/>
        <w:jc w:val="left"/>
      </w:pPr>
      <w:r>
        <w:rPr>
          <w:rFonts w:ascii="Times New Roman" w:hAnsi="Times New Roman" w:cs="Times New Roman" w:eastAsia="Times New Roman" w:hint="default"/>
        </w:rPr>
        <w:t>1</w:t>
      </w:r>
      <w:r>
        <w:rPr/>
        <w:t>）由于《企业会计准则》及其相关新规定进行追溯调整，影响期初未分配利润</w:t>
      </w:r>
      <w:r>
        <w:rPr>
          <w:rFonts w:ascii="Times New Roman" w:hAnsi="Times New Roman" w:cs="Times New Roman" w:eastAsia="Times New Roman" w:hint="default"/>
        </w:rPr>
        <w:t>0.00</w:t>
      </w:r>
      <w:r>
        <w:rPr/>
        <w:t>元。</w:t>
      </w:r>
    </w:p>
    <w:p>
      <w:pPr>
        <w:pStyle w:val="BodyText"/>
        <w:spacing w:line="240" w:lineRule="auto" w:before="177"/>
        <w:ind w:left="574" w:right="1113"/>
        <w:jc w:val="left"/>
      </w:pPr>
      <w:r>
        <w:rPr>
          <w:rFonts w:ascii="Times New Roman" w:hAnsi="Times New Roman" w:cs="Times New Roman" w:eastAsia="Times New Roman" w:hint="default"/>
        </w:rPr>
        <w:t>2</w:t>
      </w:r>
      <w:r>
        <w:rPr/>
        <w:t>）由于会计政策变更，影响期初未分配利润</w:t>
      </w:r>
      <w:r>
        <w:rPr>
          <w:rFonts w:ascii="Times New Roman" w:hAnsi="Times New Roman" w:cs="Times New Roman" w:eastAsia="Times New Roman" w:hint="default"/>
        </w:rPr>
        <w:t>2,136,862.60</w:t>
      </w:r>
      <w:r>
        <w:rPr/>
        <w:t>元。</w:t>
      </w:r>
    </w:p>
    <w:p>
      <w:pPr>
        <w:pStyle w:val="BodyText"/>
        <w:spacing w:line="240" w:lineRule="auto" w:before="177"/>
        <w:ind w:left="574" w:right="1113"/>
        <w:jc w:val="left"/>
      </w:pPr>
      <w:r>
        <w:rPr>
          <w:rFonts w:ascii="Times New Roman" w:hAnsi="Times New Roman" w:cs="Times New Roman" w:eastAsia="Times New Roman" w:hint="default"/>
        </w:rPr>
        <w:t>3</w:t>
      </w:r>
      <w:r>
        <w:rPr/>
        <w:t>）由于重大会计差错更正，影响期初未分配利润</w:t>
      </w:r>
      <w:r>
        <w:rPr>
          <w:rFonts w:ascii="Times New Roman" w:hAnsi="Times New Roman" w:cs="Times New Roman" w:eastAsia="Times New Roman" w:hint="default"/>
        </w:rPr>
        <w:t>0.00</w:t>
      </w:r>
      <w:r>
        <w:rPr/>
        <w:t>元。</w:t>
      </w:r>
    </w:p>
    <w:p>
      <w:pPr>
        <w:pStyle w:val="BodyText"/>
        <w:spacing w:line="240" w:lineRule="auto" w:before="177"/>
        <w:ind w:left="574" w:right="1113"/>
        <w:jc w:val="left"/>
      </w:pPr>
      <w:r>
        <w:rPr>
          <w:rFonts w:ascii="Times New Roman" w:hAnsi="Times New Roman" w:cs="Times New Roman" w:eastAsia="Times New Roman" w:hint="default"/>
        </w:rPr>
        <w:t>4</w:t>
      </w:r>
      <w:r>
        <w:rPr/>
        <w:t>）由于同一控制导致的合并范围变更，影响期初未分配利润</w:t>
      </w:r>
      <w:r>
        <w:rPr>
          <w:rFonts w:ascii="Times New Roman" w:hAnsi="Times New Roman" w:cs="Times New Roman" w:eastAsia="Times New Roman" w:hint="default"/>
        </w:rPr>
        <w:t>0.00</w:t>
      </w:r>
      <w:r>
        <w:rPr/>
        <w:t>元。</w:t>
      </w:r>
    </w:p>
    <w:p>
      <w:pPr>
        <w:pStyle w:val="BodyText"/>
        <w:spacing w:line="240" w:lineRule="auto" w:before="177"/>
        <w:ind w:left="574" w:right="1113"/>
        <w:jc w:val="left"/>
      </w:pPr>
      <w:r>
        <w:rPr>
          <w:rFonts w:ascii="Times New Roman" w:hAnsi="Times New Roman" w:cs="Times New Roman" w:eastAsia="Times New Roman" w:hint="default"/>
        </w:rPr>
        <w:t>5</w:t>
      </w:r>
      <w:r>
        <w:rPr/>
        <w:t>）其他调整合计影响期初未分配利润</w:t>
      </w:r>
      <w:r>
        <w:rPr>
          <w:rFonts w:ascii="Times New Roman" w:hAnsi="Times New Roman" w:cs="Times New Roman" w:eastAsia="Times New Roman" w:hint="default"/>
        </w:rPr>
        <w:t>0.00</w:t>
      </w:r>
      <w:r>
        <w:rPr/>
        <w:t>元。</w:t>
      </w:r>
    </w:p>
    <w:p>
      <w:pPr>
        <w:spacing w:line="240" w:lineRule="auto" w:before="8"/>
        <w:rPr>
          <w:rFonts w:ascii="宋体" w:hAnsi="宋体" w:cs="宋体" w:eastAsia="宋体" w:hint="default"/>
          <w:sz w:val="30"/>
          <w:szCs w:val="30"/>
        </w:rPr>
      </w:pPr>
    </w:p>
    <w:p>
      <w:pPr>
        <w:pStyle w:val="Heading3"/>
        <w:spacing w:line="240" w:lineRule="auto"/>
        <w:ind w:right="1113"/>
        <w:jc w:val="left"/>
        <w:rPr>
          <w:b w:val="0"/>
          <w:bCs w:val="0"/>
        </w:rPr>
      </w:pPr>
      <w:r>
        <w:rPr>
          <w:rFonts w:ascii="Times New Roman" w:hAnsi="Times New Roman" w:cs="Times New Roman" w:eastAsia="Times New Roman" w:hint="default"/>
        </w:rPr>
        <w:t>37</w:t>
      </w:r>
      <w:r>
        <w:rPr/>
        <w:t>、营业收入和营业成本</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51"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97" w:hRule="exact"/>
        </w:trPr>
        <w:tc>
          <w:tcPr>
            <w:tcW w:w="1912" w:type="dxa"/>
            <w:vMerge w:val="restart"/>
            <w:tcBorders>
              <w:top w:val="single" w:sz="2" w:space="0" w:color="000000"/>
              <w:left w:val="single" w:sz="2" w:space="0" w:color="000000"/>
              <w:right w:val="single" w:sz="2"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7" w:hRule="exact"/>
        </w:trPr>
        <w:tc>
          <w:tcPr>
            <w:tcW w:w="1912" w:type="dxa"/>
            <w:vMerge/>
            <w:tcBorders>
              <w:left w:val="single" w:sz="2" w:space="0" w:color="000000"/>
              <w:bottom w:val="single" w:sz="2" w:space="0" w:color="000000"/>
              <w:right w:val="single" w:sz="2" w:space="0" w:color="000000"/>
            </w:tcBorders>
            <w:shd w:val="clear" w:color="auto" w:fill="D3D3D3"/>
          </w:tcPr>
          <w:p>
            <w:pPr/>
          </w:p>
        </w:tc>
        <w:tc>
          <w:tcPr>
            <w:tcW w:w="1916"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96" w:hRule="exact"/>
        </w:trPr>
        <w:tc>
          <w:tcPr>
            <w:tcW w:w="191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959,541,764.48</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422,214,962.82</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833,027,249.80</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374,726,216.81</w:t>
            </w:r>
          </w:p>
        </w:tc>
      </w:tr>
      <w:tr>
        <w:trPr>
          <w:trHeight w:val="397" w:hRule="exact"/>
        </w:trPr>
        <w:tc>
          <w:tcPr>
            <w:tcW w:w="191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4,481,679.30</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1,048,016.53</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4,600,326.90</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1,266,828.77</w:t>
            </w:r>
          </w:p>
        </w:tc>
      </w:tr>
      <w:tr>
        <w:trPr>
          <w:trHeight w:val="397" w:hRule="exact"/>
        </w:trPr>
        <w:tc>
          <w:tcPr>
            <w:tcW w:w="191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964,023,443.78</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423,262,979.35</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837,627,576.70</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375,993,045.58</w:t>
            </w: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240" w:lineRule="auto" w:before="12"/>
        <w:rPr>
          <w:rFonts w:ascii="宋体" w:hAnsi="宋体" w:cs="宋体" w:eastAsia="宋体" w:hint="default"/>
          <w:sz w:val="20"/>
          <w:szCs w:val="20"/>
        </w:rPr>
      </w:pPr>
    </w:p>
    <w:p>
      <w:pPr>
        <w:spacing w:before="0"/>
        <w:ind w:left="153"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1113"/>
        <w:jc w:val="left"/>
        <w:rPr>
          <w:b w:val="0"/>
          <w:bCs w:val="0"/>
        </w:rPr>
      </w:pPr>
      <w:r>
        <w:rPr>
          <w:rFonts w:ascii="Times New Roman" w:hAnsi="Times New Roman" w:cs="Times New Roman" w:eastAsia="Times New Roman" w:hint="default"/>
        </w:rPr>
        <w:t>38</w:t>
      </w:r>
      <w:r>
        <w:rPr/>
        <w:t>、税金及附加</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51" w:type="dxa"/>
        <w:tblLayout w:type="fixed"/>
        <w:tblCellMar>
          <w:top w:w="0" w:type="dxa"/>
          <w:left w:w="0" w:type="dxa"/>
          <w:bottom w:w="0" w:type="dxa"/>
          <w:right w:w="0" w:type="dxa"/>
        </w:tblCellMar>
        <w:tblLook w:val="01E0"/>
      </w:tblPr>
      <w:tblGrid>
        <w:gridCol w:w="3187"/>
        <w:gridCol w:w="3193"/>
        <w:gridCol w:w="3188"/>
      </w:tblGrid>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4,779,185.86</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5,112,831.66</w:t>
            </w:r>
          </w:p>
        </w:tc>
      </w:tr>
      <w:tr>
        <w:trPr>
          <w:trHeight w:val="396"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2,068,604.13</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2,233,549.11</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1,628,790.74</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1,616,384.44</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156,486.61</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156,742.44</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6,233.33</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4,160.00</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422,143.29</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385,586.00</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1,369,013.04</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1,347,981.50</w:t>
            </w:r>
          </w:p>
        </w:tc>
      </w:tr>
      <w:tr>
        <w:trPr>
          <w:trHeight w:val="396"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250,290.74</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358,631.05</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10,680,747.74</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11,215,866.20</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39</w:t>
      </w:r>
      <w:r>
        <w:rPr/>
        <w:t>、销售费用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51" w:type="dxa"/>
        <w:tblLayout w:type="fixed"/>
        <w:tblCellMar>
          <w:top w:w="0" w:type="dxa"/>
          <w:left w:w="0" w:type="dxa"/>
          <w:bottom w:w="0" w:type="dxa"/>
          <w:right w:w="0" w:type="dxa"/>
        </w:tblCellMar>
        <w:tblLook w:val="01E0"/>
      </w:tblPr>
      <w:tblGrid>
        <w:gridCol w:w="3190"/>
        <w:gridCol w:w="3190"/>
        <w:gridCol w:w="3190"/>
      </w:tblGrid>
      <w:tr>
        <w:trPr>
          <w:trHeight w:val="397" w:hRule="exact"/>
        </w:trPr>
        <w:tc>
          <w:tcPr>
            <w:tcW w:w="319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118,600,249.25</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105,191,028.13</w:t>
            </w:r>
          </w:p>
        </w:tc>
      </w:tr>
      <w:tr>
        <w:trPr>
          <w:trHeight w:val="396"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49,571,764.36</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43,778,611.80</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16,812,170.35</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17,459,142.80</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14,329,354.80</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13,765,975.58</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14,538,970.65</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13,972,195.17</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6,343,705.89</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6,658,361.87</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6,680,287.10</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1,041,336.63</w:t>
            </w:r>
          </w:p>
        </w:tc>
      </w:tr>
      <w:tr>
        <w:trPr>
          <w:trHeight w:val="396"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3,521,169.07</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3,180,731.04</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2,121,362.71</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1,826,049.56</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247,268.73</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1,062,632.49</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1,400,738.67</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1,056,703.69</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192,071.77</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209,140.79</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234,359,113.35</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209,201,909.55</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40</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51" w:type="dxa"/>
        <w:tblLayout w:type="fixed"/>
        <w:tblCellMar>
          <w:top w:w="0" w:type="dxa"/>
          <w:left w:w="0" w:type="dxa"/>
          <w:bottom w:w="0" w:type="dxa"/>
          <w:right w:w="0" w:type="dxa"/>
        </w:tblCellMar>
        <w:tblLook w:val="01E0"/>
      </w:tblPr>
      <w:tblGrid>
        <w:gridCol w:w="3190"/>
        <w:gridCol w:w="3190"/>
        <w:gridCol w:w="3190"/>
      </w:tblGrid>
      <w:tr>
        <w:trPr>
          <w:trHeight w:val="397" w:hRule="exact"/>
        </w:trPr>
        <w:tc>
          <w:tcPr>
            <w:tcW w:w="319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33,056,068.75</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26,139,111.24</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限制性股票费用</w:t>
            </w:r>
          </w:p>
        </w:tc>
        <w:tc>
          <w:tcPr>
            <w:tcW w:w="3190" w:type="dxa"/>
            <w:tcBorders>
              <w:top w:val="single" w:sz="2" w:space="0" w:color="000000"/>
              <w:left w:val="single" w:sz="2" w:space="0" w:color="000000"/>
              <w:bottom w:val="single" w:sz="2" w:space="0" w:color="000000"/>
              <w:right w:val="single" w:sz="2" w:space="0" w:color="000000"/>
            </w:tcBorders>
          </w:tcPr>
          <w:p>
            <w:pP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2,910,558.41</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395,275.43</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10,537,198.20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51" w:type="dxa"/>
        <w:tblLayout w:type="fixed"/>
        <w:tblCellMar>
          <w:top w:w="0" w:type="dxa"/>
          <w:left w:w="0" w:type="dxa"/>
          <w:bottom w:w="0" w:type="dxa"/>
          <w:right w:w="0" w:type="dxa"/>
        </w:tblCellMar>
        <w:tblLook w:val="01E0"/>
      </w:tblPr>
      <w:tblGrid>
        <w:gridCol w:w="3190"/>
        <w:gridCol w:w="3190"/>
        <w:gridCol w:w="3190"/>
      </w:tblGrid>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11,544,923.82</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10,767,447.22</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3,783,142.45</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3,940,170.50</w:t>
            </w:r>
          </w:p>
        </w:tc>
      </w:tr>
      <w:tr>
        <w:trPr>
          <w:trHeight w:val="396"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2,982,379.08</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2,031,096.61</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1,914,702.47</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1,839,890.99</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3,381,240.77</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1,051,298.55</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技术转让费</w:t>
            </w:r>
          </w:p>
        </w:tc>
        <w:tc>
          <w:tcPr>
            <w:tcW w:w="3190" w:type="dxa"/>
            <w:tcBorders>
              <w:top w:val="single" w:sz="2" w:space="0" w:color="000000"/>
              <w:left w:val="single" w:sz="2" w:space="0" w:color="000000"/>
              <w:bottom w:val="single" w:sz="2" w:space="0" w:color="000000"/>
              <w:right w:val="single" w:sz="2" w:space="0" w:color="000000"/>
            </w:tcBorders>
          </w:tcPr>
          <w:p>
            <w:pP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776,699.03</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3,047,135.19</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1,170,624.75</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178,158.02</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148,400.87</w:t>
            </w:r>
          </w:p>
        </w:tc>
      </w:tr>
      <w:tr>
        <w:trPr>
          <w:trHeight w:val="396"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1,030,764.59</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970,277.18</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407,615.73</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434,669.71</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925,208.70</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966,778.31</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62,646,615.00</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63,684,221.57</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41</w:t>
      </w:r>
      <w:r>
        <w:rPr/>
        <w:t>、研发费用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3190"/>
        <w:gridCol w:w="3190"/>
        <w:gridCol w:w="3190"/>
      </w:tblGrid>
      <w:tr>
        <w:trPr>
          <w:trHeight w:val="396" w:hRule="exact"/>
        </w:trPr>
        <w:tc>
          <w:tcPr>
            <w:tcW w:w="319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80,616,505.23</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79,742,088.94</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15,466,963.47</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5,931.80</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4,908,807.12</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4,071,339.31</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1,678,264.51</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1,588,502.78</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委托开发</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943,396.20</w:t>
            </w:r>
          </w:p>
        </w:tc>
        <w:tc>
          <w:tcPr>
            <w:tcW w:w="3190" w:type="dxa"/>
            <w:tcBorders>
              <w:top w:val="single" w:sz="2" w:space="0" w:color="000000"/>
              <w:left w:val="single" w:sz="2" w:space="0" w:color="000000"/>
              <w:bottom w:val="single" w:sz="2" w:space="0" w:color="000000"/>
              <w:right w:val="single" w:sz="2" w:space="0" w:color="000000"/>
            </w:tcBorders>
          </w:tcPr>
          <w:p>
            <w:pPr/>
          </w:p>
        </w:tc>
      </w:tr>
      <w:tr>
        <w:trPr>
          <w:trHeight w:val="396"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803,454.00</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781,612.59</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471,870.86</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451,100.34</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试验检测鉴定费</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264,170.93</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107,321.12</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技术图书资料费</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162,011.51</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14,321.56</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129,863.57</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120,815.77</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79,108.05</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194,182.16</w:t>
            </w:r>
          </w:p>
        </w:tc>
      </w:tr>
      <w:tr>
        <w:trPr>
          <w:trHeight w:val="396"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专家咨询费</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10,000.00</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17,600.00</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318,834.09</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404,344.61</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105,853,249.54</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87,499,160.98</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42</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3190"/>
        <w:gridCol w:w="3190"/>
        <w:gridCol w:w="3190"/>
      </w:tblGrid>
      <w:tr>
        <w:trPr>
          <w:trHeight w:val="397" w:hRule="exact"/>
        </w:trPr>
        <w:tc>
          <w:tcPr>
            <w:tcW w:w="319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51" w:type="dxa"/>
        <w:tblLayout w:type="fixed"/>
        <w:tblCellMar>
          <w:top w:w="0" w:type="dxa"/>
          <w:left w:w="0" w:type="dxa"/>
          <w:bottom w:w="0" w:type="dxa"/>
          <w:right w:w="0" w:type="dxa"/>
        </w:tblCellMar>
        <w:tblLook w:val="01E0"/>
      </w:tblPr>
      <w:tblGrid>
        <w:gridCol w:w="3190"/>
        <w:gridCol w:w="3190"/>
        <w:gridCol w:w="3190"/>
      </w:tblGrid>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7,513,107.24</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14,355,684.25</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5,934,976.98</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2,610,946.83</w:t>
            </w:r>
          </w:p>
        </w:tc>
      </w:tr>
      <w:tr>
        <w:trPr>
          <w:trHeight w:val="396"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2" w:space="0" w:color="000000"/>
              <w:left w:val="single" w:sz="2" w:space="0" w:color="000000"/>
              <w:bottom w:val="single" w:sz="2" w:space="0" w:color="000000"/>
              <w:right w:val="single" w:sz="2" w:space="0" w:color="000000"/>
            </w:tcBorders>
          </w:tcPr>
          <w:p>
            <w:pPr/>
          </w:p>
        </w:tc>
        <w:tc>
          <w:tcPr>
            <w:tcW w:w="3190" w:type="dxa"/>
            <w:tcBorders>
              <w:top w:val="single" w:sz="2" w:space="0" w:color="000000"/>
              <w:left w:val="single" w:sz="2" w:space="0" w:color="000000"/>
              <w:bottom w:val="single" w:sz="2" w:space="0" w:color="000000"/>
              <w:right w:val="single" w:sz="2" w:space="0" w:color="000000"/>
            </w:tcBorders>
          </w:tcPr>
          <w:p>
            <w:pP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525,616.32</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236,334.83</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2,103,746.58</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11,981,072.25</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43</w:t>
      </w:r>
      <w:r>
        <w:rPr/>
        <w:t>、其他收益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3190"/>
        <w:gridCol w:w="3190"/>
        <w:gridCol w:w="3190"/>
      </w:tblGrid>
      <w:tr>
        <w:trPr>
          <w:trHeight w:val="397" w:hRule="exact"/>
        </w:trPr>
        <w:tc>
          <w:tcPr>
            <w:tcW w:w="319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781"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6"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增值税软件退税</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37,763,035.27</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30,451,389.23</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10,042,926.27</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223,875.00</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小巨人补贴</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09"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302" w:lineRule="auto" w:before="51"/>
              <w:ind w:left="25" w:right="24"/>
              <w:jc w:val="left"/>
              <w:rPr>
                <w:rFonts w:ascii="宋体" w:hAnsi="宋体" w:cs="宋体" w:eastAsia="宋体" w:hint="default"/>
                <w:sz w:val="18"/>
                <w:szCs w:val="18"/>
              </w:rPr>
            </w:pPr>
            <w:r>
              <w:rPr>
                <w:rFonts w:ascii="宋体" w:hAnsi="宋体" w:cs="宋体" w:eastAsia="宋体" w:hint="default"/>
                <w:sz w:val="18"/>
                <w:szCs w:val="18"/>
              </w:rPr>
              <w:t>郑州市</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年科技型企业研发费用后补 助专项资金</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2" w:space="0" w:color="000000"/>
              <w:left w:val="single" w:sz="2" w:space="0" w:color="000000"/>
              <w:bottom w:val="single" w:sz="2" w:space="0" w:color="000000"/>
              <w:right w:val="single" w:sz="2" w:space="0" w:color="000000"/>
            </w:tcBorders>
          </w:tcPr>
          <w:p>
            <w:pPr/>
          </w:p>
        </w:tc>
      </w:tr>
      <w:tr>
        <w:trPr>
          <w:trHeight w:val="709"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基于大数据行为分析系统的移动校园</w:t>
            </w:r>
          </w:p>
          <w:p>
            <w:pPr>
              <w:pStyle w:val="TableParagraph"/>
              <w:spacing w:line="240" w:lineRule="auto" w:before="116"/>
              <w:ind w:left="25" w:right="0"/>
              <w:jc w:val="left"/>
              <w:rPr>
                <w:rFonts w:ascii="Times New Roman" w:hAnsi="Times New Roman" w:cs="Times New Roman" w:eastAsia="Times New Roman" w:hint="default"/>
                <w:sz w:val="18"/>
                <w:szCs w:val="18"/>
              </w:rPr>
            </w:pPr>
            <w:r>
              <w:rPr>
                <w:rFonts w:ascii="Times New Roman"/>
                <w:sz w:val="18"/>
              </w:rPr>
              <w:t>APP</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1,320,000.00</w:t>
            </w:r>
          </w:p>
        </w:tc>
        <w:tc>
          <w:tcPr>
            <w:tcW w:w="3190" w:type="dxa"/>
            <w:tcBorders>
              <w:top w:val="single" w:sz="2" w:space="0" w:color="000000"/>
              <w:left w:val="single" w:sz="2" w:space="0" w:color="000000"/>
              <w:bottom w:val="single" w:sz="2" w:space="0" w:color="000000"/>
              <w:right w:val="single" w:sz="2" w:space="0" w:color="000000"/>
            </w:tcBorders>
          </w:tcPr>
          <w:p>
            <w:pP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年郑州市规上企业研发费用后补助</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1,200,000.00</w:t>
            </w:r>
          </w:p>
        </w:tc>
        <w:tc>
          <w:tcPr>
            <w:tcW w:w="3190" w:type="dxa"/>
            <w:tcBorders>
              <w:top w:val="single" w:sz="2" w:space="0" w:color="000000"/>
              <w:left w:val="single" w:sz="2" w:space="0" w:color="000000"/>
              <w:bottom w:val="single" w:sz="2" w:space="0" w:color="000000"/>
              <w:right w:val="single" w:sz="2" w:space="0" w:color="000000"/>
            </w:tcBorders>
          </w:tcPr>
          <w:p>
            <w:pPr/>
          </w:p>
        </w:tc>
      </w:tr>
      <w:tr>
        <w:trPr>
          <w:trHeight w:val="708"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51"/>
              <w:ind w:left="25"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年度河南省企业研究开发财政补助 资金</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1,100,000.00</w:t>
            </w:r>
          </w:p>
        </w:tc>
        <w:tc>
          <w:tcPr>
            <w:tcW w:w="3190" w:type="dxa"/>
            <w:tcBorders>
              <w:top w:val="single" w:sz="2" w:space="0" w:color="000000"/>
              <w:left w:val="single" w:sz="2" w:space="0" w:color="000000"/>
              <w:bottom w:val="single" w:sz="2" w:space="0" w:color="000000"/>
              <w:right w:val="single" w:sz="2" w:space="0" w:color="000000"/>
            </w:tcBorders>
          </w:tcPr>
          <w:p>
            <w:pP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郑州市支持企业上云奖补资金</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2" w:space="0" w:color="000000"/>
              <w:left w:val="single" w:sz="2" w:space="0" w:color="000000"/>
              <w:bottom w:val="single" w:sz="2" w:space="0" w:color="000000"/>
              <w:right w:val="single" w:sz="2" w:space="0" w:color="000000"/>
            </w:tcBorders>
          </w:tcPr>
          <w:p>
            <w:pP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电子信息关键制造企业培育奖励</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950,000.00</w:t>
            </w:r>
          </w:p>
        </w:tc>
        <w:tc>
          <w:tcPr>
            <w:tcW w:w="3190" w:type="dxa"/>
            <w:tcBorders>
              <w:top w:val="single" w:sz="2" w:space="0" w:color="000000"/>
              <w:left w:val="single" w:sz="2" w:space="0" w:color="000000"/>
              <w:bottom w:val="single" w:sz="2" w:space="0" w:color="000000"/>
              <w:right w:val="single" w:sz="2" w:space="0" w:color="000000"/>
            </w:tcBorders>
          </w:tcPr>
          <w:p>
            <w:pP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长宁区支持补贴</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937,000.00</w:t>
            </w:r>
          </w:p>
        </w:tc>
        <w:tc>
          <w:tcPr>
            <w:tcW w:w="3190" w:type="dxa"/>
            <w:tcBorders>
              <w:top w:val="single" w:sz="2" w:space="0" w:color="000000"/>
              <w:left w:val="single" w:sz="2" w:space="0" w:color="000000"/>
              <w:bottom w:val="single" w:sz="2" w:space="0" w:color="000000"/>
              <w:right w:val="single" w:sz="2" w:space="0" w:color="000000"/>
            </w:tcBorders>
          </w:tcPr>
          <w:p>
            <w:pPr/>
          </w:p>
        </w:tc>
      </w:tr>
      <w:tr>
        <w:trPr>
          <w:trHeight w:val="709"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51"/>
              <w:ind w:left="25" w:right="107"/>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NFC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技术的金融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卡移动支付综 合应用系统研发及产业化项目</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740,000.00</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431,666.67</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年河南省工程技术研究中心</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3190" w:type="dxa"/>
            <w:tcBorders>
              <w:top w:val="single" w:sz="2" w:space="0" w:color="000000"/>
              <w:left w:val="single" w:sz="2" w:space="0" w:color="000000"/>
              <w:bottom w:val="single" w:sz="2" w:space="0" w:color="000000"/>
              <w:right w:val="single" w:sz="2" w:space="0" w:color="000000"/>
            </w:tcBorders>
          </w:tcPr>
          <w:p>
            <w:pPr/>
          </w:p>
        </w:tc>
      </w:tr>
      <w:tr>
        <w:trPr>
          <w:trHeight w:val="396"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制造强市奖补资金</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3190" w:type="dxa"/>
            <w:tcBorders>
              <w:top w:val="single" w:sz="2" w:space="0" w:color="000000"/>
              <w:left w:val="single" w:sz="2" w:space="0" w:color="000000"/>
              <w:bottom w:val="single" w:sz="2" w:space="0" w:color="000000"/>
              <w:right w:val="single" w:sz="2" w:space="0" w:color="000000"/>
            </w:tcBorders>
          </w:tcPr>
          <w:p>
            <w:pPr/>
          </w:p>
        </w:tc>
      </w:tr>
      <w:tr>
        <w:trPr>
          <w:trHeight w:val="709"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52"/>
              <w:ind w:left="25" w:right="24"/>
              <w:jc w:val="left"/>
              <w:rPr>
                <w:rFonts w:ascii="宋体" w:hAnsi="宋体" w:cs="宋体" w:eastAsia="宋体" w:hint="default"/>
                <w:sz w:val="18"/>
                <w:szCs w:val="18"/>
              </w:rPr>
            </w:pPr>
            <w:r>
              <w:rPr>
                <w:rFonts w:ascii="宋体" w:hAnsi="宋体" w:cs="宋体" w:eastAsia="宋体" w:hint="default"/>
                <w:sz w:val="18"/>
                <w:szCs w:val="18"/>
              </w:rPr>
              <w:t>基于金融</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卡的移动支付信息化服务平 台与终端项目</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494,500.00</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494,500.00</w:t>
            </w:r>
          </w:p>
        </w:tc>
      </w:tr>
      <w:tr>
        <w:trPr>
          <w:trHeight w:val="1333"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51"/>
              <w:ind w:left="25" w:right="24"/>
              <w:jc w:val="both"/>
              <w:rPr>
                <w:rFonts w:ascii="宋体" w:hAnsi="宋体" w:cs="宋体" w:eastAsia="宋体" w:hint="default"/>
                <w:sz w:val="18"/>
                <w:szCs w:val="18"/>
              </w:rPr>
            </w:pPr>
            <w:r>
              <w:rPr>
                <w:rFonts w:ascii="宋体" w:hAnsi="宋体" w:cs="宋体" w:eastAsia="宋体" w:hint="default"/>
                <w:sz w:val="18"/>
                <w:szCs w:val="18"/>
              </w:rPr>
              <w:t>教科文处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年郑州市第二批科技计划 项目经费（郑州市科技计划经费</w:t>
            </w:r>
            <w:r>
              <w:rPr>
                <w:rFonts w:ascii="Times New Roman" w:hAnsi="Times New Roman" w:cs="Times New Roman" w:eastAsia="Times New Roman" w:hint="default"/>
                <w:sz w:val="18"/>
                <w:szCs w:val="18"/>
              </w:rPr>
              <w:t>"</w:t>
            </w:r>
            <w:r>
              <w:rPr>
                <w:rFonts w:ascii="宋体" w:hAnsi="宋体" w:cs="宋体" w:eastAsia="宋体" w:hint="default"/>
                <w:sz w:val="18"/>
                <w:szCs w:val="18"/>
              </w:rPr>
              <w:t>基于物 联网与金融</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卡的智能终端产业化项目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450,000.00</w:t>
            </w:r>
          </w:p>
        </w:tc>
        <w:tc>
          <w:tcPr>
            <w:tcW w:w="3190" w:type="dxa"/>
            <w:tcBorders>
              <w:top w:val="single" w:sz="2" w:space="0" w:color="000000"/>
              <w:left w:val="single" w:sz="2" w:space="0" w:color="000000"/>
              <w:bottom w:val="single" w:sz="2" w:space="0" w:color="000000"/>
              <w:right w:val="single" w:sz="2" w:space="0" w:color="000000"/>
            </w:tcBorders>
          </w:tcPr>
          <w:p>
            <w:pPr/>
          </w:p>
        </w:tc>
      </w:tr>
      <w:tr>
        <w:trPr>
          <w:trHeight w:val="709"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基于金融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卡智能终端产业化项目</w:t>
            </w:r>
          </w:p>
          <w:p>
            <w:pPr>
              <w:pStyle w:val="TableParagraph"/>
              <w:spacing w:line="240" w:lineRule="auto" w:before="64"/>
              <w:ind w:left="2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年省先进制造业专项引导资金）</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446,250.00</w:t>
            </w:r>
          </w:p>
        </w:tc>
        <w:tc>
          <w:tcPr>
            <w:tcW w:w="3190" w:type="dxa"/>
            <w:tcBorders>
              <w:top w:val="single" w:sz="2" w:space="0" w:color="000000"/>
              <w:left w:val="single" w:sz="2" w:space="0" w:color="000000"/>
              <w:bottom w:val="single" w:sz="2" w:space="0" w:color="000000"/>
              <w:right w:val="single" w:sz="2" w:space="0" w:color="000000"/>
            </w:tcBorders>
          </w:tcPr>
          <w:p>
            <w:pPr/>
          </w:p>
        </w:tc>
      </w:tr>
      <w:tr>
        <w:trPr>
          <w:trHeight w:val="709"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25" w:right="97"/>
              <w:jc w:val="left"/>
              <w:rPr>
                <w:rFonts w:ascii="宋体" w:hAnsi="宋体" w:cs="宋体" w:eastAsia="宋体" w:hint="default"/>
                <w:sz w:val="18"/>
                <w:szCs w:val="18"/>
              </w:rPr>
            </w:pPr>
            <w:r>
              <w:rPr>
                <w:rFonts w:ascii="宋体" w:hAnsi="宋体" w:cs="宋体" w:eastAsia="宋体" w:hint="default"/>
                <w:sz w:val="18"/>
                <w:szCs w:val="18"/>
              </w:rPr>
              <w:t>中央财政知识产权运营服务体系建设补 助资金</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3190" w:type="dxa"/>
            <w:tcBorders>
              <w:top w:val="single" w:sz="2" w:space="0" w:color="000000"/>
              <w:left w:val="single" w:sz="2" w:space="0" w:color="000000"/>
              <w:bottom w:val="single" w:sz="2" w:space="0" w:color="000000"/>
              <w:right w:val="single" w:sz="2" w:space="0" w:color="000000"/>
            </w:tcBorders>
          </w:tcPr>
          <w:p>
            <w:pP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见习补贴</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367,500.00</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59,000.00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51" w:type="dxa"/>
        <w:tblLayout w:type="fixed"/>
        <w:tblCellMar>
          <w:top w:w="0" w:type="dxa"/>
          <w:left w:w="0" w:type="dxa"/>
          <w:bottom w:w="0" w:type="dxa"/>
          <w:right w:w="0" w:type="dxa"/>
        </w:tblCellMar>
        <w:tblLook w:val="01E0"/>
      </w:tblPr>
      <w:tblGrid>
        <w:gridCol w:w="3190"/>
        <w:gridCol w:w="3190"/>
        <w:gridCol w:w="3190"/>
      </w:tblGrid>
      <w:tr>
        <w:trPr>
          <w:trHeight w:val="709"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51"/>
              <w:ind w:left="25" w:right="204"/>
              <w:jc w:val="left"/>
              <w:rPr>
                <w:rFonts w:ascii="Times New Roman" w:hAnsi="Times New Roman" w:cs="Times New Roman" w:eastAsia="Times New Roman" w:hint="default"/>
                <w:sz w:val="18"/>
                <w:szCs w:val="18"/>
              </w:rPr>
            </w:pPr>
            <w:r>
              <w:rPr>
                <w:rFonts w:ascii="宋体" w:hAnsi="宋体" w:cs="宋体" w:eastAsia="宋体" w:hint="default"/>
                <w:sz w:val="18"/>
                <w:szCs w:val="18"/>
              </w:rPr>
              <w:t>郑州市信息化发展专项资金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金融支付 系统及终端项目</w:t>
            </w:r>
            <w:r>
              <w:rPr>
                <w:rFonts w:ascii="Times New Roman" w:hAnsi="Times New Roman" w:cs="Times New Roman" w:eastAsia="Times New Roman" w:hint="default"/>
                <w:sz w:val="18"/>
                <w:szCs w:val="18"/>
              </w:rPr>
              <w:t>"</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260,000.00</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260,000.00</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国内专利申请奖励</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180,000.00</w:t>
            </w:r>
          </w:p>
        </w:tc>
        <w:tc>
          <w:tcPr>
            <w:tcW w:w="3190" w:type="dxa"/>
            <w:tcBorders>
              <w:top w:val="single" w:sz="2" w:space="0" w:color="000000"/>
              <w:left w:val="single" w:sz="2" w:space="0" w:color="000000"/>
              <w:bottom w:val="single" w:sz="2" w:space="0" w:color="000000"/>
              <w:right w:val="single" w:sz="2" w:space="0" w:color="000000"/>
            </w:tcBorders>
          </w:tcPr>
          <w:p>
            <w:pPr/>
          </w:p>
        </w:tc>
      </w:tr>
      <w:tr>
        <w:trPr>
          <w:trHeight w:val="1020"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309" w:lineRule="auto" w:before="51"/>
              <w:ind w:left="25" w:right="24"/>
              <w:jc w:val="left"/>
              <w:rPr>
                <w:rFonts w:ascii="宋体" w:hAnsi="宋体" w:cs="宋体" w:eastAsia="宋体" w:hint="default"/>
                <w:sz w:val="18"/>
                <w:szCs w:val="18"/>
              </w:rPr>
            </w:pPr>
            <w:r>
              <w:rPr>
                <w:rFonts w:ascii="宋体" w:hAnsi="宋体" w:cs="宋体" w:eastAsia="宋体" w:hint="default"/>
                <w:sz w:val="18"/>
                <w:szCs w:val="18"/>
              </w:rPr>
              <w:t>基于物联网应用的系列智能终端与（高 新区财政局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年物联网发展专项资金 款）</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3190" w:type="dxa"/>
            <w:tcBorders>
              <w:top w:val="single" w:sz="2" w:space="0" w:color="000000"/>
              <w:left w:val="single" w:sz="2" w:space="0" w:color="000000"/>
              <w:bottom w:val="single" w:sz="2" w:space="0" w:color="000000"/>
              <w:right w:val="single" w:sz="2" w:space="0" w:color="000000"/>
            </w:tcBorders>
          </w:tcPr>
          <w:p>
            <w:pPr/>
          </w:p>
        </w:tc>
      </w:tr>
      <w:tr>
        <w:trPr>
          <w:trHeight w:val="709"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2"/>
              <w:ind w:left="25" w:right="97"/>
              <w:jc w:val="left"/>
              <w:rPr>
                <w:rFonts w:ascii="宋体" w:hAnsi="宋体" w:cs="宋体" w:eastAsia="宋体" w:hint="default"/>
                <w:sz w:val="18"/>
                <w:szCs w:val="18"/>
              </w:rPr>
            </w:pPr>
            <w:r>
              <w:rPr>
                <w:rFonts w:ascii="宋体" w:hAnsi="宋体" w:cs="宋体" w:eastAsia="宋体" w:hint="default"/>
                <w:sz w:val="18"/>
                <w:szCs w:val="18"/>
              </w:rPr>
              <w:t>基于远距离射频识别技术的终端产品研 究与开发</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3190" w:type="dxa"/>
            <w:tcBorders>
              <w:top w:val="single" w:sz="2" w:space="0" w:color="000000"/>
              <w:left w:val="single" w:sz="2" w:space="0" w:color="000000"/>
              <w:bottom w:val="single" w:sz="2" w:space="0" w:color="000000"/>
              <w:right w:val="single" w:sz="2" w:space="0" w:color="000000"/>
            </w:tcBorders>
          </w:tcPr>
          <w:p>
            <w:pPr/>
          </w:p>
        </w:tc>
      </w:tr>
      <w:tr>
        <w:trPr>
          <w:trHeight w:val="709"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302" w:lineRule="auto" w:before="51"/>
              <w:ind w:left="25" w:right="24"/>
              <w:jc w:val="left"/>
              <w:rPr>
                <w:rFonts w:ascii="宋体" w:hAnsi="宋体" w:cs="宋体" w:eastAsia="宋体" w:hint="default"/>
                <w:sz w:val="18"/>
                <w:szCs w:val="18"/>
              </w:rPr>
            </w:pPr>
            <w:r>
              <w:rPr>
                <w:rFonts w:ascii="宋体" w:hAnsi="宋体" w:cs="宋体" w:eastAsia="宋体" w:hint="default"/>
                <w:sz w:val="18"/>
                <w:szCs w:val="18"/>
              </w:rPr>
              <w:t>基于云架构的金融</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卡公共服务运营平 台及终端项目</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3190" w:type="dxa"/>
            <w:tcBorders>
              <w:top w:val="single" w:sz="2" w:space="0" w:color="000000"/>
              <w:left w:val="single" w:sz="2" w:space="0" w:color="000000"/>
              <w:bottom w:val="single" w:sz="2" w:space="0" w:color="000000"/>
              <w:right w:val="single" w:sz="2" w:space="0" w:color="000000"/>
            </w:tcBorders>
          </w:tcPr>
          <w:p>
            <w:pP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重大科技专项基于电信运营的小额支付</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150,000.00</w:t>
            </w:r>
          </w:p>
        </w:tc>
        <w:tc>
          <w:tcPr>
            <w:tcW w:w="3190" w:type="dxa"/>
            <w:tcBorders>
              <w:top w:val="single" w:sz="2" w:space="0" w:color="000000"/>
              <w:left w:val="single" w:sz="2" w:space="0" w:color="000000"/>
              <w:bottom w:val="single" w:sz="2" w:space="0" w:color="000000"/>
              <w:right w:val="single" w:sz="2" w:space="0" w:color="000000"/>
            </w:tcBorders>
          </w:tcPr>
          <w:p>
            <w:pP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收到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年度科技小巨人奖励</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131,000.00</w:t>
            </w:r>
          </w:p>
        </w:tc>
        <w:tc>
          <w:tcPr>
            <w:tcW w:w="3190" w:type="dxa"/>
            <w:tcBorders>
              <w:top w:val="single" w:sz="2" w:space="0" w:color="000000"/>
              <w:left w:val="single" w:sz="2" w:space="0" w:color="000000"/>
              <w:bottom w:val="single" w:sz="2" w:space="0" w:color="000000"/>
              <w:right w:val="single" w:sz="2" w:space="0" w:color="000000"/>
            </w:tcBorders>
          </w:tcPr>
          <w:p>
            <w:pPr/>
          </w:p>
        </w:tc>
      </w:tr>
      <w:tr>
        <w:trPr>
          <w:trHeight w:val="709"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25" w:right="97"/>
              <w:jc w:val="left"/>
              <w:rPr>
                <w:rFonts w:ascii="宋体" w:hAnsi="宋体" w:cs="宋体" w:eastAsia="宋体" w:hint="default"/>
                <w:sz w:val="18"/>
                <w:szCs w:val="18"/>
              </w:rPr>
            </w:pPr>
            <w:r>
              <w:rPr>
                <w:rFonts w:ascii="宋体" w:hAnsi="宋体" w:cs="宋体" w:eastAsia="宋体" w:hint="default"/>
                <w:sz w:val="18"/>
                <w:szCs w:val="18"/>
              </w:rPr>
              <w:t>物联网通信与组网关键技术的研究及应 用</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105,000.00</w:t>
            </w:r>
          </w:p>
        </w:tc>
        <w:tc>
          <w:tcPr>
            <w:tcW w:w="3190" w:type="dxa"/>
            <w:tcBorders>
              <w:top w:val="single" w:sz="2" w:space="0" w:color="000000"/>
              <w:left w:val="single" w:sz="2" w:space="0" w:color="000000"/>
              <w:bottom w:val="single" w:sz="2" w:space="0" w:color="000000"/>
              <w:right w:val="single" w:sz="2" w:space="0" w:color="000000"/>
            </w:tcBorders>
          </w:tcPr>
          <w:p>
            <w:pPr/>
          </w:p>
        </w:tc>
      </w:tr>
      <w:tr>
        <w:trPr>
          <w:trHeight w:val="396"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郑州高新区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年度知识产权优秀企业</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2" w:space="0" w:color="000000"/>
              <w:left w:val="single" w:sz="2" w:space="0" w:color="000000"/>
              <w:bottom w:val="single" w:sz="2" w:space="0" w:color="000000"/>
              <w:right w:val="single" w:sz="2" w:space="0" w:color="000000"/>
            </w:tcBorders>
          </w:tcPr>
          <w:p>
            <w:pP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郑州市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年第三批专利资助</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82,200.00</w:t>
            </w:r>
          </w:p>
        </w:tc>
        <w:tc>
          <w:tcPr>
            <w:tcW w:w="3190" w:type="dxa"/>
            <w:tcBorders>
              <w:top w:val="single" w:sz="2" w:space="0" w:color="000000"/>
              <w:left w:val="single" w:sz="2" w:space="0" w:color="000000"/>
              <w:bottom w:val="single" w:sz="2" w:space="0" w:color="000000"/>
              <w:right w:val="single" w:sz="2" w:space="0" w:color="000000"/>
            </w:tcBorders>
          </w:tcPr>
          <w:p>
            <w:pPr/>
          </w:p>
        </w:tc>
      </w:tr>
      <w:tr>
        <w:trPr>
          <w:trHeight w:val="1021"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309" w:lineRule="auto" w:before="51"/>
              <w:ind w:left="25" w:right="59"/>
              <w:jc w:val="both"/>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年度高新技术开发区技术研究与开 发经费（郑州市财政局产业技术创新专 项资金）</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75,000.00</w:t>
            </w:r>
          </w:p>
        </w:tc>
        <w:tc>
          <w:tcPr>
            <w:tcW w:w="3190" w:type="dxa"/>
            <w:tcBorders>
              <w:top w:val="single" w:sz="2" w:space="0" w:color="000000"/>
              <w:left w:val="single" w:sz="2" w:space="0" w:color="000000"/>
              <w:bottom w:val="single" w:sz="2" w:space="0" w:color="000000"/>
              <w:right w:val="single" w:sz="2" w:space="0" w:color="000000"/>
            </w:tcBorders>
          </w:tcPr>
          <w:p>
            <w:pPr/>
          </w:p>
        </w:tc>
      </w:tr>
      <w:tr>
        <w:trPr>
          <w:trHeight w:val="1021"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51"/>
              <w:ind w:left="25" w:right="24"/>
              <w:jc w:val="both"/>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年郑州市第三批技术研究与开发经 </w:t>
            </w:r>
            <w:r>
              <w:rPr>
                <w:rFonts w:ascii="宋体" w:hAnsi="宋体" w:cs="宋体" w:eastAsia="宋体" w:hint="default"/>
                <w:spacing w:val="-10"/>
                <w:sz w:val="18"/>
                <w:szCs w:val="18"/>
              </w:rPr>
              <w:t>费项目：智能卡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支付与识别产品产 业化</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66,666.67</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r>
      <w:tr>
        <w:trPr>
          <w:trHeight w:val="709"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25" w:right="97"/>
              <w:jc w:val="left"/>
              <w:rPr>
                <w:rFonts w:ascii="宋体" w:hAnsi="宋体" w:cs="宋体" w:eastAsia="宋体" w:hint="default"/>
                <w:sz w:val="18"/>
                <w:szCs w:val="18"/>
              </w:rPr>
            </w:pPr>
            <w:r>
              <w:rPr>
                <w:rFonts w:ascii="宋体" w:hAnsi="宋体" w:cs="宋体" w:eastAsia="宋体" w:hint="default"/>
                <w:sz w:val="18"/>
                <w:szCs w:val="18"/>
              </w:rPr>
              <w:t>支持外贸中小企业开拓市场项目补助资 金</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53,700.00</w:t>
            </w:r>
          </w:p>
        </w:tc>
        <w:tc>
          <w:tcPr>
            <w:tcW w:w="3190" w:type="dxa"/>
            <w:tcBorders>
              <w:top w:val="single" w:sz="2" w:space="0" w:color="000000"/>
              <w:left w:val="single" w:sz="2" w:space="0" w:color="000000"/>
              <w:bottom w:val="single" w:sz="2" w:space="0" w:color="000000"/>
              <w:right w:val="single" w:sz="2" w:space="0" w:color="000000"/>
            </w:tcBorders>
          </w:tcPr>
          <w:p>
            <w:pPr/>
          </w:p>
        </w:tc>
      </w:tr>
      <w:tr>
        <w:trPr>
          <w:trHeight w:val="709"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51"/>
              <w:ind w:left="25" w:right="24"/>
              <w:jc w:val="left"/>
              <w:rPr>
                <w:rFonts w:ascii="宋体" w:hAnsi="宋体" w:cs="宋体" w:eastAsia="宋体" w:hint="default"/>
                <w:sz w:val="18"/>
                <w:szCs w:val="18"/>
              </w:rPr>
            </w:pPr>
            <w:r>
              <w:rPr>
                <w:rFonts w:ascii="宋体" w:hAnsi="宋体" w:cs="宋体" w:eastAsia="宋体" w:hint="default"/>
                <w:sz w:val="18"/>
                <w:szCs w:val="18"/>
              </w:rPr>
              <w:t>高新区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年度新增限上规上企业奖励 金</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50,000.00</w:t>
            </w:r>
          </w:p>
        </w:tc>
        <w:tc>
          <w:tcPr>
            <w:tcW w:w="3190" w:type="dxa"/>
            <w:tcBorders>
              <w:top w:val="single" w:sz="2" w:space="0" w:color="000000"/>
              <w:left w:val="single" w:sz="2" w:space="0" w:color="000000"/>
              <w:bottom w:val="single" w:sz="2" w:space="0" w:color="000000"/>
              <w:right w:val="single" w:sz="2" w:space="0" w:color="000000"/>
            </w:tcBorders>
          </w:tcPr>
          <w:p>
            <w:pPr/>
          </w:p>
        </w:tc>
      </w:tr>
      <w:tr>
        <w:trPr>
          <w:trHeight w:val="708"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51"/>
              <w:ind w:left="25" w:right="107"/>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NFC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技术的金融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卡移动支付综 合应用系统</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45,000.00</w:t>
            </w:r>
          </w:p>
        </w:tc>
        <w:tc>
          <w:tcPr>
            <w:tcW w:w="3190" w:type="dxa"/>
            <w:tcBorders>
              <w:top w:val="single" w:sz="2" w:space="0" w:color="000000"/>
              <w:left w:val="single" w:sz="2" w:space="0" w:color="000000"/>
              <w:bottom w:val="single" w:sz="2" w:space="0" w:color="000000"/>
              <w:right w:val="single" w:sz="2" w:space="0" w:color="000000"/>
            </w:tcBorders>
          </w:tcPr>
          <w:p>
            <w:pP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软件著作权奖励</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38,000.00</w:t>
            </w:r>
          </w:p>
        </w:tc>
        <w:tc>
          <w:tcPr>
            <w:tcW w:w="3190" w:type="dxa"/>
            <w:tcBorders>
              <w:top w:val="single" w:sz="2" w:space="0" w:color="000000"/>
              <w:left w:val="single" w:sz="2" w:space="0" w:color="000000"/>
              <w:bottom w:val="single" w:sz="2" w:space="0" w:color="000000"/>
              <w:right w:val="single" w:sz="2" w:space="0" w:color="000000"/>
            </w:tcBorders>
          </w:tcPr>
          <w:p>
            <w:pP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驾校综合管理系统研发</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30,000.00</w:t>
            </w:r>
          </w:p>
        </w:tc>
        <w:tc>
          <w:tcPr>
            <w:tcW w:w="3190" w:type="dxa"/>
            <w:tcBorders>
              <w:top w:val="single" w:sz="2" w:space="0" w:color="000000"/>
              <w:left w:val="single" w:sz="2" w:space="0" w:color="000000"/>
              <w:bottom w:val="single" w:sz="2" w:space="0" w:color="000000"/>
              <w:right w:val="single" w:sz="2" w:space="0" w:color="000000"/>
            </w:tcBorders>
          </w:tcPr>
          <w:p>
            <w:pP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科技创新补助资金</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29,000.00</w:t>
            </w:r>
          </w:p>
        </w:tc>
        <w:tc>
          <w:tcPr>
            <w:tcW w:w="3190" w:type="dxa"/>
            <w:tcBorders>
              <w:top w:val="single" w:sz="2" w:space="0" w:color="000000"/>
              <w:left w:val="single" w:sz="2" w:space="0" w:color="000000"/>
              <w:bottom w:val="single" w:sz="2" w:space="0" w:color="000000"/>
              <w:right w:val="single" w:sz="2" w:space="0" w:color="000000"/>
            </w:tcBorders>
          </w:tcPr>
          <w:p>
            <w:pPr/>
          </w:p>
        </w:tc>
      </w:tr>
      <w:tr>
        <w:trPr>
          <w:trHeight w:val="709"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25" w:right="97"/>
              <w:jc w:val="left"/>
              <w:rPr>
                <w:rFonts w:ascii="宋体" w:hAnsi="宋体" w:cs="宋体" w:eastAsia="宋体" w:hint="default"/>
                <w:sz w:val="18"/>
                <w:szCs w:val="18"/>
              </w:rPr>
            </w:pPr>
            <w:r>
              <w:rPr>
                <w:rFonts w:ascii="宋体" w:hAnsi="宋体" w:cs="宋体" w:eastAsia="宋体" w:hint="default"/>
                <w:sz w:val="18"/>
                <w:szCs w:val="18"/>
              </w:rPr>
              <w:t>中关村示范区科技型小微企业研发费用 支持资金</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28,049.00</w:t>
            </w:r>
          </w:p>
        </w:tc>
        <w:tc>
          <w:tcPr>
            <w:tcW w:w="3190" w:type="dxa"/>
            <w:tcBorders>
              <w:top w:val="single" w:sz="2" w:space="0" w:color="000000"/>
              <w:left w:val="single" w:sz="2" w:space="0" w:color="000000"/>
              <w:bottom w:val="single" w:sz="2" w:space="0" w:color="000000"/>
              <w:right w:val="single" w:sz="2" w:space="0" w:color="000000"/>
            </w:tcBorders>
          </w:tcPr>
          <w:p>
            <w:pPr/>
          </w:p>
        </w:tc>
      </w:tr>
      <w:tr>
        <w:trPr>
          <w:trHeight w:val="709"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51"/>
              <w:ind w:left="25"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年第二批省科技基础条件建设专项 奖励</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20,000.00</w:t>
            </w:r>
          </w:p>
        </w:tc>
        <w:tc>
          <w:tcPr>
            <w:tcW w:w="3190" w:type="dxa"/>
            <w:tcBorders>
              <w:top w:val="single" w:sz="2" w:space="0" w:color="000000"/>
              <w:left w:val="single" w:sz="2" w:space="0" w:color="000000"/>
              <w:bottom w:val="single" w:sz="2" w:space="0" w:color="000000"/>
              <w:right w:val="single" w:sz="2" w:space="0" w:color="000000"/>
            </w:tcBorders>
          </w:tcPr>
          <w:p>
            <w:pPr/>
          </w:p>
        </w:tc>
      </w:tr>
      <w:tr>
        <w:trPr>
          <w:trHeight w:val="396"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国内专利授权奖励</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5,000.00</w:t>
            </w:r>
          </w:p>
        </w:tc>
        <w:tc>
          <w:tcPr>
            <w:tcW w:w="3190" w:type="dxa"/>
            <w:tcBorders>
              <w:top w:val="single" w:sz="2" w:space="0" w:color="000000"/>
              <w:left w:val="single" w:sz="2" w:space="0" w:color="000000"/>
              <w:bottom w:val="single" w:sz="2" w:space="0" w:color="000000"/>
              <w:right w:val="single" w:sz="2" w:space="0" w:color="000000"/>
            </w:tcBorders>
          </w:tcPr>
          <w:p>
            <w:pP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企业知识产权管理人员奖励</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4,000.00</w:t>
            </w:r>
          </w:p>
        </w:tc>
        <w:tc>
          <w:tcPr>
            <w:tcW w:w="3190" w:type="dxa"/>
            <w:tcBorders>
              <w:top w:val="single" w:sz="2" w:space="0" w:color="000000"/>
              <w:left w:val="single" w:sz="2" w:space="0" w:color="000000"/>
              <w:bottom w:val="single" w:sz="2" w:space="0" w:color="000000"/>
              <w:right w:val="single" w:sz="2" w:space="0" w:color="000000"/>
            </w:tcBorders>
          </w:tcPr>
          <w:p>
            <w:pP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知识产权奖励</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51" w:type="dxa"/>
        <w:tblLayout w:type="fixed"/>
        <w:tblCellMar>
          <w:top w:w="0" w:type="dxa"/>
          <w:left w:w="0" w:type="dxa"/>
          <w:bottom w:w="0" w:type="dxa"/>
          <w:right w:w="0" w:type="dxa"/>
        </w:tblCellMar>
        <w:tblLook w:val="01E0"/>
      </w:tblPr>
      <w:tblGrid>
        <w:gridCol w:w="3190"/>
        <w:gridCol w:w="3190"/>
        <w:gridCol w:w="3190"/>
      </w:tblGrid>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年区科技计划尾款</w:t>
            </w:r>
          </w:p>
        </w:tc>
        <w:tc>
          <w:tcPr>
            <w:tcW w:w="3190" w:type="dxa"/>
            <w:tcBorders>
              <w:top w:val="single" w:sz="2" w:space="0" w:color="000000"/>
              <w:left w:val="single" w:sz="2" w:space="0" w:color="000000"/>
              <w:bottom w:val="single" w:sz="2" w:space="0" w:color="000000"/>
              <w:right w:val="single" w:sz="2" w:space="0" w:color="000000"/>
            </w:tcBorders>
          </w:tcPr>
          <w:p>
            <w:pP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45,000.00</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年科技小巨人奖励金</w:t>
            </w:r>
          </w:p>
        </w:tc>
        <w:tc>
          <w:tcPr>
            <w:tcW w:w="3190" w:type="dxa"/>
            <w:tcBorders>
              <w:top w:val="single" w:sz="2" w:space="0" w:color="000000"/>
              <w:left w:val="single" w:sz="2" w:space="0" w:color="000000"/>
              <w:bottom w:val="single" w:sz="2" w:space="0" w:color="000000"/>
              <w:right w:val="single" w:sz="2" w:space="0" w:color="000000"/>
            </w:tcBorders>
          </w:tcPr>
          <w:p>
            <w:pP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r>
      <w:tr>
        <w:trPr>
          <w:trHeight w:val="708"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51"/>
              <w:ind w:left="25"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年科技小巨人领军企业加计扣除奖 励经费</w:t>
            </w:r>
          </w:p>
        </w:tc>
        <w:tc>
          <w:tcPr>
            <w:tcW w:w="3190" w:type="dxa"/>
            <w:tcBorders>
              <w:top w:val="single" w:sz="2" w:space="0" w:color="000000"/>
              <w:left w:val="single" w:sz="2" w:space="0" w:color="000000"/>
              <w:bottom w:val="single" w:sz="2" w:space="0" w:color="000000"/>
              <w:right w:val="single" w:sz="2" w:space="0" w:color="000000"/>
            </w:tcBorders>
          </w:tcPr>
          <w:p>
            <w:pP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45,000.00</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年创新券补助</w:t>
            </w:r>
          </w:p>
        </w:tc>
        <w:tc>
          <w:tcPr>
            <w:tcW w:w="3190" w:type="dxa"/>
            <w:tcBorders>
              <w:top w:val="single" w:sz="2" w:space="0" w:color="000000"/>
              <w:left w:val="single" w:sz="2" w:space="0" w:color="000000"/>
              <w:bottom w:val="single" w:sz="2" w:space="0" w:color="000000"/>
              <w:right w:val="single" w:sz="2" w:space="0" w:color="000000"/>
            </w:tcBorders>
          </w:tcPr>
          <w:p>
            <w:pP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34,000.00</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年科技小巨人奖励金</w:t>
            </w:r>
          </w:p>
        </w:tc>
        <w:tc>
          <w:tcPr>
            <w:tcW w:w="3190" w:type="dxa"/>
            <w:tcBorders>
              <w:top w:val="single" w:sz="2" w:space="0" w:color="000000"/>
              <w:left w:val="single" w:sz="2" w:space="0" w:color="000000"/>
              <w:bottom w:val="single" w:sz="2" w:space="0" w:color="000000"/>
              <w:right w:val="single" w:sz="2" w:space="0" w:color="000000"/>
            </w:tcBorders>
          </w:tcPr>
          <w:p>
            <w:pP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76,000.00</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郑州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年度信息化发展专项资金</w:t>
            </w:r>
          </w:p>
        </w:tc>
        <w:tc>
          <w:tcPr>
            <w:tcW w:w="3190" w:type="dxa"/>
            <w:tcBorders>
              <w:top w:val="single" w:sz="2" w:space="0" w:color="000000"/>
              <w:left w:val="single" w:sz="2" w:space="0" w:color="000000"/>
              <w:bottom w:val="single" w:sz="2" w:space="0" w:color="000000"/>
              <w:right w:val="single" w:sz="2" w:space="0" w:color="000000"/>
            </w:tcBorders>
          </w:tcPr>
          <w:p>
            <w:pP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20,000.00</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政府奖励商务车一辆</w:t>
            </w:r>
          </w:p>
        </w:tc>
        <w:tc>
          <w:tcPr>
            <w:tcW w:w="3190" w:type="dxa"/>
            <w:tcBorders>
              <w:top w:val="single" w:sz="2" w:space="0" w:color="000000"/>
              <w:left w:val="single" w:sz="2" w:space="0" w:color="000000"/>
              <w:bottom w:val="single" w:sz="2" w:space="0" w:color="000000"/>
              <w:right w:val="single" w:sz="2" w:space="0" w:color="000000"/>
            </w:tcBorders>
          </w:tcPr>
          <w:p>
            <w:pP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69,075.00</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进项税加计抵减</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139,552.13</w:t>
            </w:r>
          </w:p>
        </w:tc>
        <w:tc>
          <w:tcPr>
            <w:tcW w:w="3190" w:type="dxa"/>
            <w:tcBorders>
              <w:top w:val="single" w:sz="2" w:space="0" w:color="000000"/>
              <w:left w:val="single" w:sz="2" w:space="0" w:color="000000"/>
              <w:bottom w:val="single" w:sz="2" w:space="0" w:color="000000"/>
              <w:right w:val="single" w:sz="2" w:space="0" w:color="000000"/>
            </w:tcBorders>
          </w:tcPr>
          <w:p>
            <w:pPr/>
          </w:p>
        </w:tc>
      </w:tr>
      <w:tr>
        <w:trPr>
          <w:trHeight w:val="396"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个人所得税手续费返还</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35,660.81</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11,030.19</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66,289,540.15</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33,520,686.09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13"/>
        <w:jc w:val="left"/>
        <w:rPr>
          <w:b w:val="0"/>
          <w:bCs w:val="0"/>
        </w:rPr>
      </w:pPr>
      <w:r>
        <w:rPr>
          <w:rFonts w:ascii="Times New Roman" w:hAnsi="Times New Roman" w:cs="Times New Roman" w:eastAsia="Times New Roman" w:hint="default"/>
        </w:rPr>
        <w:t>44</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51" w:type="dxa"/>
        <w:tblLayout w:type="fixed"/>
        <w:tblCellMar>
          <w:top w:w="0" w:type="dxa"/>
          <w:left w:w="0" w:type="dxa"/>
          <w:bottom w:w="0" w:type="dxa"/>
          <w:right w:w="0" w:type="dxa"/>
        </w:tblCellMar>
        <w:tblLook w:val="01E0"/>
      </w:tblPr>
      <w:tblGrid>
        <w:gridCol w:w="3460"/>
        <w:gridCol w:w="3191"/>
        <w:gridCol w:w="2917"/>
      </w:tblGrid>
      <w:tr>
        <w:trPr>
          <w:trHeight w:val="397" w:hRule="exact"/>
        </w:trPr>
        <w:tc>
          <w:tcPr>
            <w:tcW w:w="346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7" w:hRule="exact"/>
        </w:trPr>
        <w:tc>
          <w:tcPr>
            <w:tcW w:w="346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-4,193,635.96</w:t>
            </w:r>
          </w:p>
        </w:tc>
        <w:tc>
          <w:tcPr>
            <w:tcW w:w="2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2,748,983.29</w:t>
            </w:r>
          </w:p>
        </w:tc>
      </w:tr>
      <w:tr>
        <w:trPr>
          <w:trHeight w:val="396" w:hRule="exact"/>
        </w:trPr>
        <w:tc>
          <w:tcPr>
            <w:tcW w:w="34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希嘉购买日投资亏损</w:t>
            </w:r>
          </w:p>
        </w:tc>
        <w:tc>
          <w:tcPr>
            <w:tcW w:w="31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-299,435.39</w:t>
            </w:r>
          </w:p>
        </w:tc>
        <w:tc>
          <w:tcPr>
            <w:tcW w:w="2917" w:type="dxa"/>
            <w:tcBorders>
              <w:top w:val="single" w:sz="2" w:space="0" w:color="000000"/>
              <w:left w:val="single" w:sz="2" w:space="0" w:color="000000"/>
              <w:bottom w:val="single" w:sz="2" w:space="0" w:color="000000"/>
              <w:right w:val="single" w:sz="2" w:space="0" w:color="000000"/>
            </w:tcBorders>
          </w:tcPr>
          <w:p>
            <w:pPr/>
          </w:p>
        </w:tc>
      </w:tr>
      <w:tr>
        <w:trPr>
          <w:trHeight w:val="397" w:hRule="exact"/>
        </w:trPr>
        <w:tc>
          <w:tcPr>
            <w:tcW w:w="34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衍生金融资产在持有期间取得的投资收益</w:t>
            </w:r>
          </w:p>
        </w:tc>
        <w:tc>
          <w:tcPr>
            <w:tcW w:w="31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6,534,000.00</w:t>
            </w:r>
          </w:p>
        </w:tc>
        <w:tc>
          <w:tcPr>
            <w:tcW w:w="2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397" w:hRule="exact"/>
        </w:trPr>
        <w:tc>
          <w:tcPr>
            <w:tcW w:w="34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现金管理形成的投资收益</w:t>
            </w:r>
          </w:p>
        </w:tc>
        <w:tc>
          <w:tcPr>
            <w:tcW w:w="31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9,165,845.38</w:t>
            </w:r>
          </w:p>
        </w:tc>
        <w:tc>
          <w:tcPr>
            <w:tcW w:w="2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4,355,383.66</w:t>
            </w:r>
          </w:p>
        </w:tc>
      </w:tr>
      <w:tr>
        <w:trPr>
          <w:trHeight w:val="397" w:hRule="exact"/>
        </w:trPr>
        <w:tc>
          <w:tcPr>
            <w:tcW w:w="346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11,206,774.03</w:t>
            </w:r>
          </w:p>
        </w:tc>
        <w:tc>
          <w:tcPr>
            <w:tcW w:w="2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10,104,366.95</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45</w:t>
      </w:r>
      <w:r>
        <w:rPr/>
        <w:t>、公允价值变动收益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3187"/>
        <w:gridCol w:w="3193"/>
        <w:gridCol w:w="3188"/>
      </w:tblGrid>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42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-3,402,000.00</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3,402,000.00</w:t>
            </w:r>
          </w:p>
        </w:tc>
      </w:tr>
      <w:tr>
        <w:trPr>
          <w:trHeight w:val="709"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9" w:lineRule="auto" w:before="51"/>
              <w:ind w:left="25" w:right="95" w:firstLine="36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 值变动收益</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-3,402,000.00</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3,402,000.00</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-3,402,000.00</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3,402,000.00</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46</w:t>
      </w:r>
      <w:r>
        <w:rPr/>
        <w:t>、信用减值损失</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3190"/>
        <w:gridCol w:w="3190"/>
        <w:gridCol w:w="3190"/>
      </w:tblGrid>
      <w:tr>
        <w:trPr>
          <w:trHeight w:val="397" w:hRule="exact"/>
        </w:trPr>
        <w:tc>
          <w:tcPr>
            <w:tcW w:w="319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-1,226,592.66</w:t>
            </w:r>
          </w:p>
        </w:tc>
        <w:tc>
          <w:tcPr>
            <w:tcW w:w="3190" w:type="dxa"/>
            <w:tcBorders>
              <w:top w:val="single" w:sz="2" w:space="0" w:color="000000"/>
              <w:left w:val="single" w:sz="2" w:space="0" w:color="000000"/>
              <w:bottom w:val="single" w:sz="2" w:space="0" w:color="000000"/>
              <w:right w:val="single" w:sz="2" w:space="0" w:color="000000"/>
            </w:tcBorders>
          </w:tcPr>
          <w:p>
            <w:pP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-18,475,600.00</w:t>
            </w:r>
          </w:p>
        </w:tc>
        <w:tc>
          <w:tcPr>
            <w:tcW w:w="3190" w:type="dxa"/>
            <w:tcBorders>
              <w:top w:val="single" w:sz="2" w:space="0" w:color="000000"/>
              <w:left w:val="single" w:sz="2" w:space="0" w:color="000000"/>
              <w:bottom w:val="single" w:sz="2" w:space="0" w:color="000000"/>
              <w:right w:val="single" w:sz="2" w:space="0" w:color="000000"/>
            </w:tcBorders>
          </w:tcPr>
          <w:p>
            <w:pPr/>
          </w:p>
        </w:tc>
      </w:tr>
    </w:tbl>
    <w:p>
      <w:pPr>
        <w:spacing w:after="0"/>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51" w:type="dxa"/>
        <w:tblLayout w:type="fixed"/>
        <w:tblCellMar>
          <w:top w:w="0" w:type="dxa"/>
          <w:left w:w="0" w:type="dxa"/>
          <w:bottom w:w="0" w:type="dxa"/>
          <w:right w:w="0" w:type="dxa"/>
        </w:tblCellMar>
        <w:tblLook w:val="01E0"/>
      </w:tblPr>
      <w:tblGrid>
        <w:gridCol w:w="3190"/>
        <w:gridCol w:w="3190"/>
        <w:gridCol w:w="3190"/>
      </w:tblGrid>
      <w:tr>
        <w:trPr>
          <w:trHeight w:val="397" w:hRule="exact"/>
        </w:trPr>
        <w:tc>
          <w:tcPr>
            <w:tcW w:w="319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left="2065" w:right="0"/>
              <w:jc w:val="left"/>
              <w:rPr>
                <w:rFonts w:ascii="Times New Roman" w:hAnsi="Times New Roman" w:cs="Times New Roman" w:eastAsia="Times New Roman" w:hint="default"/>
                <w:sz w:val="18"/>
                <w:szCs w:val="18"/>
              </w:rPr>
            </w:pPr>
            <w:r>
              <w:rPr>
                <w:rFonts w:ascii="Times New Roman"/>
                <w:sz w:val="18"/>
              </w:rPr>
              <w:t>-19,702,192.66</w:t>
            </w:r>
          </w:p>
        </w:tc>
        <w:tc>
          <w:tcPr>
            <w:tcW w:w="3190" w:type="dxa"/>
            <w:tcBorders>
              <w:top w:val="single" w:sz="2" w:space="0" w:color="000000"/>
              <w:left w:val="single" w:sz="2" w:space="0" w:color="000000"/>
              <w:bottom w:val="single" w:sz="2" w:space="0" w:color="000000"/>
              <w:right w:val="single" w:sz="2"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47</w:t>
      </w:r>
      <w:r>
        <w:rPr/>
        <w:t>、资产减值损失</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240" w:lineRule="auto" w:before="10"/>
        <w:rPr>
          <w:rFonts w:ascii="宋体" w:hAnsi="宋体" w:cs="宋体" w:eastAsia="宋体" w:hint="default"/>
          <w:sz w:val="20"/>
          <w:szCs w:val="20"/>
        </w:rPr>
      </w:pPr>
    </w:p>
    <w:p>
      <w:pPr>
        <w:spacing w:before="0"/>
        <w:ind w:left="153"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6"/>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51" w:type="dxa"/>
        <w:tblLayout w:type="fixed"/>
        <w:tblCellMar>
          <w:top w:w="0" w:type="dxa"/>
          <w:left w:w="0" w:type="dxa"/>
          <w:bottom w:w="0" w:type="dxa"/>
          <w:right w:w="0" w:type="dxa"/>
        </w:tblCellMar>
        <w:tblLook w:val="01E0"/>
      </w:tblPr>
      <w:tblGrid>
        <w:gridCol w:w="3187"/>
        <w:gridCol w:w="3193"/>
        <w:gridCol w:w="3188"/>
      </w:tblGrid>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2" w:space="0" w:color="000000"/>
              <w:left w:val="single" w:sz="2" w:space="0" w:color="000000"/>
              <w:bottom w:val="single" w:sz="2" w:space="0" w:color="000000"/>
              <w:right w:val="single" w:sz="2" w:space="0" w:color="000000"/>
            </w:tcBorders>
          </w:tcPr>
          <w:p>
            <w:pP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-17,642,393.30</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2" w:space="0" w:color="000000"/>
              <w:left w:val="single" w:sz="2" w:space="0" w:color="000000"/>
              <w:bottom w:val="single" w:sz="2" w:space="0" w:color="000000"/>
              <w:right w:val="single" w:sz="2" w:space="0" w:color="000000"/>
            </w:tcBorders>
          </w:tcPr>
          <w:p>
            <w:pP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-17,642,393.30</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48</w:t>
      </w:r>
      <w:r>
        <w:rPr/>
        <w:t>、资产处置收益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51" w:type="dxa"/>
        <w:tblLayout w:type="fixed"/>
        <w:tblCellMar>
          <w:top w:w="0" w:type="dxa"/>
          <w:left w:w="0" w:type="dxa"/>
          <w:bottom w:w="0" w:type="dxa"/>
          <w:right w:w="0" w:type="dxa"/>
        </w:tblCellMar>
        <w:tblLook w:val="01E0"/>
      </w:tblPr>
      <w:tblGrid>
        <w:gridCol w:w="3190"/>
        <w:gridCol w:w="3190"/>
        <w:gridCol w:w="3190"/>
      </w:tblGrid>
      <w:tr>
        <w:trPr>
          <w:trHeight w:val="397" w:hRule="exact"/>
        </w:trPr>
        <w:tc>
          <w:tcPr>
            <w:tcW w:w="319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781"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-186,254.33</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-225,825.93</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49</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2389"/>
        <w:gridCol w:w="2395"/>
        <w:gridCol w:w="2392"/>
        <w:gridCol w:w="2392"/>
      </w:tblGrid>
      <w:tr>
        <w:trPr>
          <w:trHeight w:val="709" w:hRule="exact"/>
        </w:trPr>
        <w:tc>
          <w:tcPr>
            <w:tcW w:w="2389"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2"/>
              <w:ind w:left="1102" w:right="113"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7" w:hRule="exact"/>
        </w:trPr>
        <w:tc>
          <w:tcPr>
            <w:tcW w:w="2389"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3,101,100.00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50,000.00</w:t>
            </w:r>
          </w:p>
        </w:tc>
      </w:tr>
      <w:tr>
        <w:trPr>
          <w:trHeight w:val="397" w:hRule="exact"/>
        </w:trPr>
        <w:tc>
          <w:tcPr>
            <w:tcW w:w="23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8,000.00</w:t>
            </w:r>
          </w:p>
        </w:tc>
        <w:tc>
          <w:tcPr>
            <w:tcW w:w="2392" w:type="dxa"/>
            <w:tcBorders>
              <w:top w:val="single" w:sz="2" w:space="0" w:color="000000"/>
              <w:left w:val="single" w:sz="2" w:space="0" w:color="000000"/>
              <w:bottom w:val="single" w:sz="2" w:space="0" w:color="000000"/>
              <w:right w:val="single" w:sz="2" w:space="0" w:color="000000"/>
            </w:tcBorders>
          </w:tcPr>
          <w:p>
            <w:pP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8,000.00</w:t>
            </w:r>
          </w:p>
        </w:tc>
      </w:tr>
      <w:tr>
        <w:trPr>
          <w:trHeight w:val="397" w:hRule="exact"/>
        </w:trPr>
        <w:tc>
          <w:tcPr>
            <w:tcW w:w="23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16,362.11</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18,749.54</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16,362.11</w:t>
            </w:r>
          </w:p>
        </w:tc>
      </w:tr>
      <w:tr>
        <w:trPr>
          <w:trHeight w:val="397" w:hRule="exact"/>
        </w:trPr>
        <w:tc>
          <w:tcPr>
            <w:tcW w:w="2389"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74,362.11</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3,119,849.54</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74,362.11</w:t>
            </w: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line="240" w:lineRule="auto" w:before="6"/>
        <w:rPr>
          <w:rFonts w:ascii="宋体" w:hAnsi="宋体" w:cs="宋体" w:eastAsia="宋体" w:hint="default"/>
          <w:sz w:val="11"/>
          <w:szCs w:val="11"/>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1066"/>
        <w:gridCol w:w="1062"/>
        <w:gridCol w:w="850"/>
        <w:gridCol w:w="1559"/>
        <w:gridCol w:w="1134"/>
        <w:gridCol w:w="994"/>
        <w:gridCol w:w="991"/>
        <w:gridCol w:w="851"/>
        <w:gridCol w:w="1063"/>
      </w:tblGrid>
      <w:tr>
        <w:trPr>
          <w:trHeight w:val="709" w:hRule="exact"/>
        </w:trPr>
        <w:tc>
          <w:tcPr>
            <w:tcW w:w="1066"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85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发放原因</w:t>
            </w:r>
          </w:p>
        </w:tc>
        <w:tc>
          <w:tcPr>
            <w:tcW w:w="1559"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6"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13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114" w:right="113"/>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99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403" w:right="43"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991"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403" w:right="41"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851"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243" w:right="60" w:hanging="180"/>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00" w:lineRule="auto" w:before="51"/>
              <w:ind w:left="79" w:right="52"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44" w:hRule="exact"/>
        </w:trPr>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69" w:right="79" w:hanging="90"/>
              <w:jc w:val="left"/>
              <w:rPr>
                <w:rFonts w:ascii="宋体" w:hAnsi="宋体" w:cs="宋体" w:eastAsia="宋体" w:hint="default"/>
                <w:sz w:val="18"/>
                <w:szCs w:val="18"/>
              </w:rPr>
            </w:pPr>
            <w:r>
              <w:rPr>
                <w:rFonts w:ascii="宋体" w:hAnsi="宋体" w:cs="宋体" w:eastAsia="宋体" w:hint="default"/>
                <w:sz w:val="18"/>
                <w:szCs w:val="18"/>
              </w:rPr>
              <w:t>财政局纳税 大户奖励</w:t>
            </w:r>
          </w:p>
        </w:tc>
        <w:tc>
          <w:tcPr>
            <w:tcW w:w="10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hanging="2"/>
              <w:jc w:val="center"/>
              <w:rPr>
                <w:rFonts w:ascii="宋体" w:hAnsi="宋体" w:cs="宋体" w:eastAsia="宋体" w:hint="default"/>
                <w:sz w:val="18"/>
                <w:szCs w:val="18"/>
              </w:rPr>
            </w:pPr>
            <w:r>
              <w:rPr>
                <w:rFonts w:ascii="宋体" w:hAnsi="宋体" w:cs="宋体" w:eastAsia="宋体" w:hint="default"/>
                <w:sz w:val="18"/>
                <w:szCs w:val="18"/>
              </w:rPr>
              <w:t>福州高新区 </w:t>
            </w:r>
            <w:r>
              <w:rPr>
                <w:rFonts w:ascii="宋体" w:hAnsi="宋体" w:cs="宋体" w:eastAsia="宋体" w:hint="default"/>
                <w:spacing w:val="-13"/>
                <w:sz w:val="18"/>
                <w:szCs w:val="18"/>
              </w:rPr>
              <w:t>党工委、福州</w:t>
            </w:r>
            <w:r>
              <w:rPr>
                <w:rFonts w:ascii="宋体" w:hAnsi="宋体" w:cs="宋体" w:eastAsia="宋体" w:hint="default"/>
                <w:sz w:val="18"/>
                <w:szCs w:val="18"/>
              </w:rPr>
              <w:t> 高新区管委 会</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56" w:right="55"/>
              <w:jc w:val="both"/>
              <w:rPr>
                <w:rFonts w:ascii="宋体" w:hAnsi="宋体" w:cs="宋体" w:eastAsia="宋体" w:hint="default"/>
                <w:sz w:val="18"/>
                <w:szCs w:val="18"/>
              </w:rPr>
            </w:pPr>
            <w:r>
              <w:rPr>
                <w:rFonts w:ascii="宋体" w:hAnsi="宋体" w:cs="宋体" w:eastAsia="宋体" w:hint="default"/>
                <w:sz w:val="18"/>
                <w:szCs w:val="18"/>
              </w:rPr>
              <w:t>因从事国家鼓励和 扶持特定行业、产 业而获得的补助</w:t>
            </w:r>
          </w:p>
          <w:p>
            <w:pPr>
              <w:pStyle w:val="TableParagraph"/>
              <w:spacing w:line="319" w:lineRule="auto" w:before="19"/>
              <w:ind w:left="236" w:right="55" w:hanging="180"/>
              <w:jc w:val="left"/>
              <w:rPr>
                <w:rFonts w:ascii="宋体" w:hAnsi="宋体" w:cs="宋体" w:eastAsia="宋体" w:hint="default"/>
                <w:sz w:val="18"/>
                <w:szCs w:val="18"/>
              </w:rPr>
            </w:pPr>
            <w:r>
              <w:rPr>
                <w:rFonts w:ascii="宋体" w:hAnsi="宋体" w:cs="宋体" w:eastAsia="宋体" w:hint="default"/>
                <w:sz w:val="18"/>
                <w:szCs w:val="18"/>
              </w:rPr>
              <w:t>（按国家级政策规 定依法取得）</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50,000.00</w:t>
            </w:r>
          </w:p>
        </w:tc>
        <w:tc>
          <w:tcPr>
            <w:tcW w:w="851"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51" w:type="dxa"/>
        <w:tblLayout w:type="fixed"/>
        <w:tblCellMar>
          <w:top w:w="0" w:type="dxa"/>
          <w:left w:w="0" w:type="dxa"/>
          <w:bottom w:w="0" w:type="dxa"/>
          <w:right w:w="0" w:type="dxa"/>
        </w:tblCellMar>
        <w:tblLook w:val="01E0"/>
      </w:tblPr>
      <w:tblGrid>
        <w:gridCol w:w="1066"/>
        <w:gridCol w:w="1062"/>
        <w:gridCol w:w="850"/>
        <w:gridCol w:w="1559"/>
        <w:gridCol w:w="1134"/>
        <w:gridCol w:w="994"/>
        <w:gridCol w:w="991"/>
        <w:gridCol w:w="851"/>
        <w:gridCol w:w="1063"/>
      </w:tblGrid>
      <w:tr>
        <w:trPr>
          <w:trHeight w:val="1645" w:hRule="exact"/>
        </w:trPr>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79" w:right="79"/>
              <w:jc w:val="both"/>
              <w:rPr>
                <w:rFonts w:ascii="宋体" w:hAnsi="宋体" w:cs="宋体" w:eastAsia="宋体" w:hint="default"/>
                <w:sz w:val="18"/>
                <w:szCs w:val="18"/>
              </w:rPr>
            </w:pPr>
            <w:r>
              <w:rPr>
                <w:rFonts w:ascii="宋体" w:hAnsi="宋体" w:cs="宋体" w:eastAsia="宋体" w:hint="default"/>
                <w:sz w:val="18"/>
                <w:szCs w:val="18"/>
              </w:rPr>
              <w:t>郑州高新技 术产业开发 区郑州市第 三批专利</w:t>
            </w:r>
          </w:p>
        </w:tc>
        <w:tc>
          <w:tcPr>
            <w:tcW w:w="10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77" w:right="77"/>
              <w:jc w:val="both"/>
              <w:rPr>
                <w:rFonts w:ascii="宋体" w:hAnsi="宋体" w:cs="宋体" w:eastAsia="宋体" w:hint="default"/>
                <w:sz w:val="18"/>
                <w:szCs w:val="18"/>
              </w:rPr>
            </w:pPr>
            <w:r>
              <w:rPr>
                <w:rFonts w:ascii="宋体" w:hAnsi="宋体" w:cs="宋体" w:eastAsia="宋体" w:hint="default"/>
                <w:sz w:val="18"/>
                <w:szCs w:val="18"/>
              </w:rPr>
              <w:t>郑州高新技 术产业开发 区管委会财 政金融局</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56" w:right="55"/>
              <w:jc w:val="both"/>
              <w:rPr>
                <w:rFonts w:ascii="宋体" w:hAnsi="宋体" w:cs="宋体" w:eastAsia="宋体" w:hint="default"/>
                <w:sz w:val="18"/>
                <w:szCs w:val="18"/>
              </w:rPr>
            </w:pPr>
            <w:r>
              <w:rPr>
                <w:rFonts w:ascii="宋体" w:hAnsi="宋体" w:cs="宋体" w:eastAsia="宋体" w:hint="default"/>
                <w:sz w:val="18"/>
                <w:szCs w:val="18"/>
              </w:rPr>
              <w:t>因从事国家鼓励和 扶持特定行业、产 业而获得的补助</w:t>
            </w:r>
          </w:p>
          <w:p>
            <w:pPr>
              <w:pStyle w:val="TableParagraph"/>
              <w:spacing w:line="319" w:lineRule="auto" w:before="19"/>
              <w:ind w:left="236" w:right="55" w:hanging="180"/>
              <w:jc w:val="left"/>
              <w:rPr>
                <w:rFonts w:ascii="宋体" w:hAnsi="宋体" w:cs="宋体" w:eastAsia="宋体" w:hint="default"/>
                <w:sz w:val="18"/>
                <w:szCs w:val="18"/>
              </w:rPr>
            </w:pPr>
            <w:r>
              <w:rPr>
                <w:rFonts w:ascii="宋体" w:hAnsi="宋体" w:cs="宋体" w:eastAsia="宋体" w:hint="default"/>
                <w:sz w:val="18"/>
                <w:szCs w:val="18"/>
              </w:rPr>
              <w:t>（按国家级政策规 定依法取得）</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2" w:space="0" w:color="000000"/>
              <w:left w:val="single" w:sz="2" w:space="0" w:color="000000"/>
              <w:bottom w:val="single" w:sz="2" w:space="0" w:color="000000"/>
              <w:right w:val="single" w:sz="2" w:space="0" w:color="000000"/>
            </w:tcBorders>
          </w:tcPr>
          <w:p>
            <w:pP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4,500.00</w:t>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7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5" w:hRule="exact"/>
        </w:trPr>
        <w:tc>
          <w:tcPr>
            <w:tcW w:w="1066"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郑州高新技</w:t>
            </w:r>
          </w:p>
        </w:tc>
        <w:tc>
          <w:tcPr>
            <w:tcW w:w="1062"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郑州高新技</w:t>
            </w:r>
          </w:p>
        </w:tc>
        <w:tc>
          <w:tcPr>
            <w:tcW w:w="850" w:type="dxa"/>
            <w:tcBorders>
              <w:top w:val="single" w:sz="2" w:space="0" w:color="000000"/>
              <w:left w:val="single" w:sz="2" w:space="0" w:color="000000"/>
              <w:bottom w:val="nil" w:sz="6" w:space="0" w:color="auto"/>
              <w:right w:val="single" w:sz="2" w:space="0" w:color="000000"/>
            </w:tcBorders>
          </w:tcPr>
          <w:p>
            <w:pPr/>
          </w:p>
        </w:tc>
        <w:tc>
          <w:tcPr>
            <w:tcW w:w="1559"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因从事国家鼓励和</w:t>
            </w:r>
          </w:p>
        </w:tc>
        <w:tc>
          <w:tcPr>
            <w:tcW w:w="1134" w:type="dxa"/>
            <w:tcBorders>
              <w:top w:val="single" w:sz="2" w:space="0" w:color="000000"/>
              <w:left w:val="single" w:sz="2" w:space="0" w:color="000000"/>
              <w:bottom w:val="nil" w:sz="6" w:space="0" w:color="auto"/>
              <w:right w:val="single" w:sz="2" w:space="0" w:color="000000"/>
            </w:tcBorders>
          </w:tcPr>
          <w:p>
            <w:pPr/>
          </w:p>
        </w:tc>
        <w:tc>
          <w:tcPr>
            <w:tcW w:w="994" w:type="dxa"/>
            <w:tcBorders>
              <w:top w:val="single" w:sz="2" w:space="0" w:color="000000"/>
              <w:left w:val="single" w:sz="2" w:space="0" w:color="000000"/>
              <w:bottom w:val="nil" w:sz="6" w:space="0" w:color="auto"/>
              <w:right w:val="single" w:sz="2" w:space="0" w:color="000000"/>
            </w:tcBorders>
          </w:tcPr>
          <w:p>
            <w:pPr/>
          </w:p>
        </w:tc>
        <w:tc>
          <w:tcPr>
            <w:tcW w:w="991" w:type="dxa"/>
            <w:vMerge w:val="restart"/>
            <w:tcBorders>
              <w:top w:val="single" w:sz="2" w:space="0" w:color="000000"/>
              <w:left w:val="single" w:sz="2" w:space="0" w:color="000000"/>
              <w:right w:val="single" w:sz="2" w:space="0" w:color="000000"/>
            </w:tcBorders>
          </w:tcPr>
          <w:p>
            <w:pPr/>
          </w:p>
        </w:tc>
        <w:tc>
          <w:tcPr>
            <w:tcW w:w="851" w:type="dxa"/>
            <w:tcBorders>
              <w:top w:val="single" w:sz="2" w:space="0" w:color="000000"/>
              <w:left w:val="single" w:sz="2" w:space="0" w:color="000000"/>
              <w:bottom w:val="nil" w:sz="6" w:space="0" w:color="auto"/>
              <w:right w:val="single" w:sz="2" w:space="0" w:color="000000"/>
            </w:tcBorders>
          </w:tcPr>
          <w:p>
            <w:pPr/>
          </w:p>
        </w:tc>
        <w:tc>
          <w:tcPr>
            <w:tcW w:w="1063" w:type="dxa"/>
            <w:tcBorders>
              <w:top w:val="single" w:sz="2" w:space="0" w:color="000000"/>
              <w:left w:val="single" w:sz="2" w:space="0" w:color="000000"/>
              <w:bottom w:val="nil" w:sz="6" w:space="0" w:color="auto"/>
              <w:right w:val="single" w:sz="2" w:space="0" w:color="000000"/>
            </w:tcBorders>
          </w:tcPr>
          <w:p>
            <w:pPr/>
          </w:p>
        </w:tc>
      </w:tr>
      <w:tr>
        <w:trPr>
          <w:trHeight w:val="311" w:hRule="exact"/>
        </w:trPr>
        <w:tc>
          <w:tcPr>
            <w:tcW w:w="1066"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79" w:right="0"/>
              <w:jc w:val="left"/>
              <w:rPr>
                <w:rFonts w:ascii="宋体" w:hAnsi="宋体" w:cs="宋体" w:eastAsia="宋体" w:hint="default"/>
                <w:sz w:val="18"/>
                <w:szCs w:val="18"/>
              </w:rPr>
            </w:pPr>
            <w:r>
              <w:rPr>
                <w:rFonts w:ascii="宋体" w:hAnsi="宋体" w:cs="宋体" w:eastAsia="宋体" w:hint="default"/>
                <w:sz w:val="18"/>
                <w:szCs w:val="18"/>
              </w:rPr>
              <w:t>术产业开发</w:t>
            </w:r>
          </w:p>
        </w:tc>
        <w:tc>
          <w:tcPr>
            <w:tcW w:w="1062"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术产业开发</w:t>
            </w:r>
          </w:p>
        </w:tc>
        <w:tc>
          <w:tcPr>
            <w:tcW w:w="850" w:type="dxa"/>
            <w:tcBorders>
              <w:top w:val="nil" w:sz="6" w:space="0" w:color="auto"/>
              <w:left w:val="single" w:sz="2" w:space="0" w:color="000000"/>
              <w:bottom w:val="nil" w:sz="6" w:space="0" w:color="auto"/>
              <w:right w:val="single" w:sz="2" w:space="0" w:color="000000"/>
            </w:tcBorders>
          </w:tcPr>
          <w:p>
            <w:pPr/>
          </w:p>
        </w:tc>
        <w:tc>
          <w:tcPr>
            <w:tcW w:w="1559"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扶持特定行业、产</w:t>
            </w:r>
          </w:p>
        </w:tc>
        <w:tc>
          <w:tcPr>
            <w:tcW w:w="1134" w:type="dxa"/>
            <w:tcBorders>
              <w:top w:val="nil" w:sz="6" w:space="0" w:color="auto"/>
              <w:left w:val="single" w:sz="2" w:space="0" w:color="000000"/>
              <w:bottom w:val="nil" w:sz="6" w:space="0" w:color="auto"/>
              <w:right w:val="single" w:sz="2" w:space="0" w:color="000000"/>
            </w:tcBorders>
          </w:tcPr>
          <w:p>
            <w:pPr/>
          </w:p>
        </w:tc>
        <w:tc>
          <w:tcPr>
            <w:tcW w:w="994" w:type="dxa"/>
            <w:tcBorders>
              <w:top w:val="nil" w:sz="6" w:space="0" w:color="auto"/>
              <w:left w:val="single" w:sz="2" w:space="0" w:color="000000"/>
              <w:bottom w:val="nil" w:sz="6" w:space="0" w:color="auto"/>
              <w:right w:val="single" w:sz="2" w:space="0" w:color="000000"/>
            </w:tcBorders>
          </w:tcPr>
          <w:p>
            <w:pPr/>
          </w:p>
        </w:tc>
        <w:tc>
          <w:tcPr>
            <w:tcW w:w="991" w:type="dxa"/>
            <w:vMerge/>
            <w:tcBorders>
              <w:left w:val="single" w:sz="2" w:space="0" w:color="000000"/>
              <w:right w:val="single" w:sz="2" w:space="0" w:color="000000"/>
            </w:tcBorders>
          </w:tcPr>
          <w:p>
            <w:pPr/>
          </w:p>
        </w:tc>
        <w:tc>
          <w:tcPr>
            <w:tcW w:w="851" w:type="dxa"/>
            <w:tcBorders>
              <w:top w:val="nil" w:sz="6" w:space="0" w:color="auto"/>
              <w:left w:val="single" w:sz="2" w:space="0" w:color="000000"/>
              <w:bottom w:val="nil" w:sz="6" w:space="0" w:color="auto"/>
              <w:right w:val="single" w:sz="2" w:space="0" w:color="000000"/>
            </w:tcBorders>
          </w:tcPr>
          <w:p>
            <w:pPr/>
          </w:p>
        </w:tc>
        <w:tc>
          <w:tcPr>
            <w:tcW w:w="1063" w:type="dxa"/>
            <w:tcBorders>
              <w:top w:val="nil" w:sz="6" w:space="0" w:color="auto"/>
              <w:left w:val="single" w:sz="2" w:space="0" w:color="000000"/>
              <w:bottom w:val="nil" w:sz="6" w:space="0" w:color="auto"/>
              <w:right w:val="single" w:sz="2" w:space="0" w:color="000000"/>
            </w:tcBorders>
          </w:tcPr>
          <w:p>
            <w:pPr/>
          </w:p>
        </w:tc>
      </w:tr>
      <w:tr>
        <w:trPr>
          <w:trHeight w:val="317" w:hRule="exact"/>
        </w:trPr>
        <w:tc>
          <w:tcPr>
            <w:tcW w:w="1066"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w:t>
            </w:r>
          </w:p>
        </w:tc>
        <w:tc>
          <w:tcPr>
            <w:tcW w:w="1062"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区财政国库</w:t>
            </w:r>
          </w:p>
        </w:tc>
        <w:tc>
          <w:tcPr>
            <w:tcW w:w="850"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559"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业而获得的补助</w:t>
            </w:r>
          </w:p>
        </w:tc>
        <w:tc>
          <w:tcPr>
            <w:tcW w:w="1134"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1" w:type="dxa"/>
            <w:vMerge/>
            <w:tcBorders>
              <w:left w:val="single" w:sz="2" w:space="0" w:color="000000"/>
              <w:right w:val="single" w:sz="2" w:space="0" w:color="000000"/>
            </w:tcBorders>
          </w:tcPr>
          <w:p>
            <w:pPr/>
          </w:p>
        </w:tc>
        <w:tc>
          <w:tcPr>
            <w:tcW w:w="851" w:type="dxa"/>
            <w:tcBorders>
              <w:top w:val="nil" w:sz="6" w:space="0" w:color="auto"/>
              <w:left w:val="single" w:sz="2" w:space="0" w:color="000000"/>
              <w:bottom w:val="nil" w:sz="6" w:space="0" w:color="auto"/>
              <w:right w:val="single" w:sz="2"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13,500.00</w:t>
            </w:r>
          </w:p>
        </w:tc>
        <w:tc>
          <w:tcPr>
            <w:tcW w:w="1063"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right="7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8" w:hRule="exact"/>
        </w:trPr>
        <w:tc>
          <w:tcPr>
            <w:tcW w:w="1066"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79" w:right="0"/>
              <w:jc w:val="left"/>
              <w:rPr>
                <w:rFonts w:ascii="宋体" w:hAnsi="宋体" w:cs="宋体" w:eastAsia="宋体" w:hint="default"/>
                <w:sz w:val="18"/>
                <w:szCs w:val="18"/>
              </w:rPr>
            </w:pPr>
            <w:r>
              <w:rPr>
                <w:rFonts w:ascii="宋体" w:hAnsi="宋体" w:cs="宋体" w:eastAsia="宋体" w:hint="default"/>
                <w:sz w:val="18"/>
                <w:szCs w:val="18"/>
              </w:rPr>
              <w:t>技创新优秀</w:t>
            </w:r>
          </w:p>
        </w:tc>
        <w:tc>
          <w:tcPr>
            <w:tcW w:w="1062"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集中支付中</w:t>
            </w:r>
          </w:p>
        </w:tc>
        <w:tc>
          <w:tcPr>
            <w:tcW w:w="850" w:type="dxa"/>
            <w:tcBorders>
              <w:top w:val="nil" w:sz="6" w:space="0" w:color="auto"/>
              <w:left w:val="single" w:sz="2" w:space="0" w:color="000000"/>
              <w:bottom w:val="nil" w:sz="6" w:space="0" w:color="auto"/>
              <w:right w:val="single" w:sz="2" w:space="0" w:color="000000"/>
            </w:tcBorders>
          </w:tcPr>
          <w:p>
            <w:pPr/>
          </w:p>
        </w:tc>
        <w:tc>
          <w:tcPr>
            <w:tcW w:w="1559"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（按国家级政策规</w:t>
            </w:r>
          </w:p>
        </w:tc>
        <w:tc>
          <w:tcPr>
            <w:tcW w:w="1134" w:type="dxa"/>
            <w:tcBorders>
              <w:top w:val="nil" w:sz="6" w:space="0" w:color="auto"/>
              <w:left w:val="single" w:sz="2" w:space="0" w:color="000000"/>
              <w:bottom w:val="nil" w:sz="6" w:space="0" w:color="auto"/>
              <w:right w:val="single" w:sz="2" w:space="0" w:color="000000"/>
            </w:tcBorders>
          </w:tcPr>
          <w:p>
            <w:pPr/>
          </w:p>
        </w:tc>
        <w:tc>
          <w:tcPr>
            <w:tcW w:w="994" w:type="dxa"/>
            <w:tcBorders>
              <w:top w:val="nil" w:sz="6" w:space="0" w:color="auto"/>
              <w:left w:val="single" w:sz="2" w:space="0" w:color="000000"/>
              <w:bottom w:val="nil" w:sz="6" w:space="0" w:color="auto"/>
              <w:right w:val="single" w:sz="2" w:space="0" w:color="000000"/>
            </w:tcBorders>
          </w:tcPr>
          <w:p>
            <w:pPr/>
          </w:p>
        </w:tc>
        <w:tc>
          <w:tcPr>
            <w:tcW w:w="991" w:type="dxa"/>
            <w:vMerge/>
            <w:tcBorders>
              <w:left w:val="single" w:sz="2" w:space="0" w:color="000000"/>
              <w:right w:val="single" w:sz="2" w:space="0" w:color="000000"/>
            </w:tcBorders>
          </w:tcPr>
          <w:p>
            <w:pPr/>
          </w:p>
        </w:tc>
        <w:tc>
          <w:tcPr>
            <w:tcW w:w="851" w:type="dxa"/>
            <w:tcBorders>
              <w:top w:val="nil" w:sz="6" w:space="0" w:color="auto"/>
              <w:left w:val="single" w:sz="2" w:space="0" w:color="000000"/>
              <w:bottom w:val="nil" w:sz="6" w:space="0" w:color="auto"/>
              <w:right w:val="single" w:sz="2" w:space="0" w:color="000000"/>
            </w:tcBorders>
          </w:tcPr>
          <w:p>
            <w:pPr/>
          </w:p>
        </w:tc>
        <w:tc>
          <w:tcPr>
            <w:tcW w:w="1063" w:type="dxa"/>
            <w:tcBorders>
              <w:top w:val="nil" w:sz="6" w:space="0" w:color="auto"/>
              <w:left w:val="single" w:sz="2" w:space="0" w:color="000000"/>
              <w:bottom w:val="nil" w:sz="6" w:space="0" w:color="auto"/>
              <w:right w:val="single" w:sz="2" w:space="0" w:color="000000"/>
            </w:tcBorders>
          </w:tcPr>
          <w:p>
            <w:pPr/>
          </w:p>
        </w:tc>
      </w:tr>
      <w:tr>
        <w:trPr>
          <w:trHeight w:val="354" w:hRule="exact"/>
        </w:trPr>
        <w:tc>
          <w:tcPr>
            <w:tcW w:w="1066"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1"/>
              <w:ind w:left="169" w:right="0"/>
              <w:jc w:val="left"/>
              <w:rPr>
                <w:rFonts w:ascii="宋体" w:hAnsi="宋体" w:cs="宋体" w:eastAsia="宋体" w:hint="default"/>
                <w:sz w:val="18"/>
                <w:szCs w:val="18"/>
              </w:rPr>
            </w:pPr>
            <w:r>
              <w:rPr>
                <w:rFonts w:ascii="宋体" w:hAnsi="宋体" w:cs="宋体" w:eastAsia="宋体" w:hint="default"/>
                <w:sz w:val="18"/>
                <w:szCs w:val="18"/>
              </w:rPr>
              <w:t>企业奖励</w:t>
            </w:r>
          </w:p>
        </w:tc>
        <w:tc>
          <w:tcPr>
            <w:tcW w:w="1062"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心</w:t>
            </w:r>
          </w:p>
        </w:tc>
        <w:tc>
          <w:tcPr>
            <w:tcW w:w="850" w:type="dxa"/>
            <w:tcBorders>
              <w:top w:val="nil" w:sz="6" w:space="0" w:color="auto"/>
              <w:left w:val="single" w:sz="2" w:space="0" w:color="000000"/>
              <w:bottom w:val="single" w:sz="2" w:space="0" w:color="000000"/>
              <w:right w:val="single" w:sz="2" w:space="0" w:color="000000"/>
            </w:tcBorders>
          </w:tcPr>
          <w:p>
            <w:pPr/>
          </w:p>
        </w:tc>
        <w:tc>
          <w:tcPr>
            <w:tcW w:w="1559"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定依法取得）</w:t>
            </w:r>
          </w:p>
        </w:tc>
        <w:tc>
          <w:tcPr>
            <w:tcW w:w="1134" w:type="dxa"/>
            <w:tcBorders>
              <w:top w:val="nil" w:sz="6" w:space="0" w:color="auto"/>
              <w:left w:val="single" w:sz="2" w:space="0" w:color="000000"/>
              <w:bottom w:val="single" w:sz="2" w:space="0" w:color="000000"/>
              <w:right w:val="single" w:sz="2" w:space="0" w:color="000000"/>
            </w:tcBorders>
          </w:tcPr>
          <w:p>
            <w:pPr/>
          </w:p>
        </w:tc>
        <w:tc>
          <w:tcPr>
            <w:tcW w:w="994" w:type="dxa"/>
            <w:tcBorders>
              <w:top w:val="nil" w:sz="6" w:space="0" w:color="auto"/>
              <w:left w:val="single" w:sz="2" w:space="0" w:color="000000"/>
              <w:bottom w:val="single" w:sz="2" w:space="0" w:color="000000"/>
              <w:right w:val="single" w:sz="2" w:space="0" w:color="000000"/>
            </w:tcBorders>
          </w:tcPr>
          <w:p>
            <w:pPr/>
          </w:p>
        </w:tc>
        <w:tc>
          <w:tcPr>
            <w:tcW w:w="991" w:type="dxa"/>
            <w:vMerge/>
            <w:tcBorders>
              <w:left w:val="single" w:sz="2" w:space="0" w:color="000000"/>
              <w:bottom w:val="single" w:sz="2" w:space="0" w:color="000000"/>
              <w:right w:val="single" w:sz="2" w:space="0" w:color="000000"/>
            </w:tcBorders>
          </w:tcPr>
          <w:p>
            <w:pPr/>
          </w:p>
        </w:tc>
        <w:tc>
          <w:tcPr>
            <w:tcW w:w="851" w:type="dxa"/>
            <w:tcBorders>
              <w:top w:val="nil" w:sz="6" w:space="0" w:color="auto"/>
              <w:left w:val="single" w:sz="2" w:space="0" w:color="000000"/>
              <w:bottom w:val="single" w:sz="2" w:space="0" w:color="000000"/>
              <w:right w:val="single" w:sz="2" w:space="0" w:color="000000"/>
            </w:tcBorders>
          </w:tcPr>
          <w:p>
            <w:pPr/>
          </w:p>
        </w:tc>
        <w:tc>
          <w:tcPr>
            <w:tcW w:w="1063" w:type="dxa"/>
            <w:tcBorders>
              <w:top w:val="nil" w:sz="6" w:space="0" w:color="auto"/>
              <w:left w:val="single" w:sz="2" w:space="0" w:color="000000"/>
              <w:bottom w:val="single" w:sz="2" w:space="0" w:color="000000"/>
              <w:right w:val="single" w:sz="2" w:space="0" w:color="000000"/>
            </w:tcBorders>
          </w:tcPr>
          <w:p>
            <w:pPr/>
          </w:p>
        </w:tc>
      </w:tr>
      <w:tr>
        <w:trPr>
          <w:trHeight w:val="355" w:hRule="exact"/>
        </w:trPr>
        <w:tc>
          <w:tcPr>
            <w:tcW w:w="1066"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郑州高新技</w:t>
            </w:r>
          </w:p>
        </w:tc>
        <w:tc>
          <w:tcPr>
            <w:tcW w:w="1062" w:type="dxa"/>
            <w:tcBorders>
              <w:top w:val="single" w:sz="2" w:space="0" w:color="000000"/>
              <w:left w:val="single" w:sz="2" w:space="0" w:color="000000"/>
              <w:bottom w:val="nil" w:sz="6" w:space="0" w:color="auto"/>
              <w:right w:val="single" w:sz="2" w:space="0" w:color="000000"/>
            </w:tcBorders>
          </w:tcPr>
          <w:p>
            <w:pPr/>
          </w:p>
        </w:tc>
        <w:tc>
          <w:tcPr>
            <w:tcW w:w="850" w:type="dxa"/>
            <w:tcBorders>
              <w:top w:val="single" w:sz="2" w:space="0" w:color="000000"/>
              <w:left w:val="single" w:sz="2" w:space="0" w:color="000000"/>
              <w:bottom w:val="nil" w:sz="6" w:space="0" w:color="auto"/>
              <w:right w:val="single" w:sz="2" w:space="0" w:color="000000"/>
            </w:tcBorders>
          </w:tcPr>
          <w:p>
            <w:pPr/>
          </w:p>
        </w:tc>
        <w:tc>
          <w:tcPr>
            <w:tcW w:w="1559" w:type="dxa"/>
            <w:tcBorders>
              <w:top w:val="single" w:sz="2" w:space="0" w:color="000000"/>
              <w:left w:val="single" w:sz="2" w:space="0" w:color="000000"/>
              <w:bottom w:val="nil" w:sz="6" w:space="0" w:color="auto"/>
              <w:right w:val="single" w:sz="2" w:space="0" w:color="000000"/>
            </w:tcBorders>
          </w:tcPr>
          <w:p>
            <w:pPr/>
          </w:p>
        </w:tc>
        <w:tc>
          <w:tcPr>
            <w:tcW w:w="1134" w:type="dxa"/>
            <w:tcBorders>
              <w:top w:val="single" w:sz="2" w:space="0" w:color="000000"/>
              <w:left w:val="single" w:sz="2" w:space="0" w:color="000000"/>
              <w:bottom w:val="nil" w:sz="6" w:space="0" w:color="auto"/>
              <w:right w:val="single" w:sz="2" w:space="0" w:color="000000"/>
            </w:tcBorders>
          </w:tcPr>
          <w:p>
            <w:pPr/>
          </w:p>
        </w:tc>
        <w:tc>
          <w:tcPr>
            <w:tcW w:w="994" w:type="dxa"/>
            <w:tcBorders>
              <w:top w:val="single" w:sz="2" w:space="0" w:color="000000"/>
              <w:left w:val="single" w:sz="2" w:space="0" w:color="000000"/>
              <w:bottom w:val="nil" w:sz="6" w:space="0" w:color="auto"/>
              <w:right w:val="single" w:sz="2" w:space="0" w:color="000000"/>
            </w:tcBorders>
          </w:tcPr>
          <w:p>
            <w:pPr/>
          </w:p>
        </w:tc>
        <w:tc>
          <w:tcPr>
            <w:tcW w:w="991" w:type="dxa"/>
            <w:vMerge w:val="restart"/>
            <w:tcBorders>
              <w:top w:val="single" w:sz="2" w:space="0" w:color="000000"/>
              <w:left w:val="single" w:sz="2" w:space="0" w:color="000000"/>
              <w:right w:val="single" w:sz="2" w:space="0" w:color="000000"/>
            </w:tcBorders>
          </w:tcPr>
          <w:p>
            <w:pPr/>
          </w:p>
        </w:tc>
        <w:tc>
          <w:tcPr>
            <w:tcW w:w="851" w:type="dxa"/>
            <w:tcBorders>
              <w:top w:val="single" w:sz="2" w:space="0" w:color="000000"/>
              <w:left w:val="single" w:sz="2" w:space="0" w:color="000000"/>
              <w:bottom w:val="nil" w:sz="6" w:space="0" w:color="auto"/>
              <w:right w:val="single" w:sz="2" w:space="0" w:color="000000"/>
            </w:tcBorders>
          </w:tcPr>
          <w:p>
            <w:pPr/>
          </w:p>
        </w:tc>
        <w:tc>
          <w:tcPr>
            <w:tcW w:w="1063" w:type="dxa"/>
            <w:tcBorders>
              <w:top w:val="single" w:sz="2" w:space="0" w:color="000000"/>
              <w:left w:val="single" w:sz="2" w:space="0" w:color="000000"/>
              <w:bottom w:val="nil" w:sz="6" w:space="0" w:color="auto"/>
              <w:right w:val="single" w:sz="2" w:space="0" w:color="000000"/>
            </w:tcBorders>
          </w:tcPr>
          <w:p>
            <w:pPr/>
          </w:p>
        </w:tc>
      </w:tr>
      <w:tr>
        <w:trPr>
          <w:trHeight w:val="312" w:hRule="exact"/>
        </w:trPr>
        <w:tc>
          <w:tcPr>
            <w:tcW w:w="1066"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79" w:right="0"/>
              <w:jc w:val="left"/>
              <w:rPr>
                <w:rFonts w:ascii="宋体" w:hAnsi="宋体" w:cs="宋体" w:eastAsia="宋体" w:hint="default"/>
                <w:sz w:val="18"/>
                <w:szCs w:val="18"/>
              </w:rPr>
            </w:pPr>
            <w:r>
              <w:rPr>
                <w:rFonts w:ascii="宋体" w:hAnsi="宋体" w:cs="宋体" w:eastAsia="宋体" w:hint="default"/>
                <w:sz w:val="18"/>
                <w:szCs w:val="18"/>
              </w:rPr>
              <w:t>术产业开发</w:t>
            </w:r>
          </w:p>
        </w:tc>
        <w:tc>
          <w:tcPr>
            <w:tcW w:w="1062"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郑州高新技</w:t>
            </w:r>
          </w:p>
        </w:tc>
        <w:tc>
          <w:tcPr>
            <w:tcW w:w="850" w:type="dxa"/>
            <w:tcBorders>
              <w:top w:val="nil" w:sz="6" w:space="0" w:color="auto"/>
              <w:left w:val="single" w:sz="2" w:space="0" w:color="000000"/>
              <w:bottom w:val="nil" w:sz="6" w:space="0" w:color="auto"/>
              <w:right w:val="single" w:sz="2" w:space="0" w:color="000000"/>
            </w:tcBorders>
          </w:tcPr>
          <w:p>
            <w:pPr/>
          </w:p>
        </w:tc>
        <w:tc>
          <w:tcPr>
            <w:tcW w:w="1559"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因从事国家鼓励和</w:t>
            </w:r>
          </w:p>
        </w:tc>
        <w:tc>
          <w:tcPr>
            <w:tcW w:w="1134" w:type="dxa"/>
            <w:tcBorders>
              <w:top w:val="nil" w:sz="6" w:space="0" w:color="auto"/>
              <w:left w:val="single" w:sz="2" w:space="0" w:color="000000"/>
              <w:bottom w:val="nil" w:sz="6" w:space="0" w:color="auto"/>
              <w:right w:val="single" w:sz="2" w:space="0" w:color="000000"/>
            </w:tcBorders>
          </w:tcPr>
          <w:p>
            <w:pPr/>
          </w:p>
        </w:tc>
        <w:tc>
          <w:tcPr>
            <w:tcW w:w="994" w:type="dxa"/>
            <w:tcBorders>
              <w:top w:val="nil" w:sz="6" w:space="0" w:color="auto"/>
              <w:left w:val="single" w:sz="2" w:space="0" w:color="000000"/>
              <w:bottom w:val="nil" w:sz="6" w:space="0" w:color="auto"/>
              <w:right w:val="single" w:sz="2" w:space="0" w:color="000000"/>
            </w:tcBorders>
          </w:tcPr>
          <w:p>
            <w:pPr/>
          </w:p>
        </w:tc>
        <w:tc>
          <w:tcPr>
            <w:tcW w:w="991" w:type="dxa"/>
            <w:vMerge/>
            <w:tcBorders>
              <w:left w:val="single" w:sz="2" w:space="0" w:color="000000"/>
              <w:right w:val="single" w:sz="2" w:space="0" w:color="000000"/>
            </w:tcBorders>
          </w:tcPr>
          <w:p>
            <w:pPr/>
          </w:p>
        </w:tc>
        <w:tc>
          <w:tcPr>
            <w:tcW w:w="851" w:type="dxa"/>
            <w:tcBorders>
              <w:top w:val="nil" w:sz="6" w:space="0" w:color="auto"/>
              <w:left w:val="single" w:sz="2" w:space="0" w:color="000000"/>
              <w:bottom w:val="nil" w:sz="6" w:space="0" w:color="auto"/>
              <w:right w:val="single" w:sz="2" w:space="0" w:color="000000"/>
            </w:tcBorders>
          </w:tcPr>
          <w:p>
            <w:pPr/>
          </w:p>
        </w:tc>
        <w:tc>
          <w:tcPr>
            <w:tcW w:w="1063" w:type="dxa"/>
            <w:tcBorders>
              <w:top w:val="nil" w:sz="6" w:space="0" w:color="auto"/>
              <w:left w:val="single" w:sz="2" w:space="0" w:color="000000"/>
              <w:bottom w:val="nil" w:sz="6" w:space="0" w:color="auto"/>
              <w:right w:val="single" w:sz="2" w:space="0" w:color="000000"/>
            </w:tcBorders>
          </w:tcPr>
          <w:p>
            <w:pPr/>
          </w:p>
        </w:tc>
      </w:tr>
      <w:tr>
        <w:trPr>
          <w:trHeight w:val="316" w:hRule="exact"/>
        </w:trPr>
        <w:tc>
          <w:tcPr>
            <w:tcW w:w="1066"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5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区财政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tc>
        <w:tc>
          <w:tcPr>
            <w:tcW w:w="1062"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术产业开发</w:t>
            </w:r>
          </w:p>
        </w:tc>
        <w:tc>
          <w:tcPr>
            <w:tcW w:w="850" w:type="dxa"/>
            <w:tcBorders>
              <w:top w:val="nil" w:sz="6" w:space="0" w:color="auto"/>
              <w:left w:val="single" w:sz="2" w:space="0" w:color="000000"/>
              <w:bottom w:val="nil" w:sz="6" w:space="0" w:color="auto"/>
              <w:right w:val="single" w:sz="2" w:space="0" w:color="000000"/>
            </w:tcBorders>
          </w:tcPr>
          <w:p>
            <w:pPr/>
          </w:p>
        </w:tc>
        <w:tc>
          <w:tcPr>
            <w:tcW w:w="1559"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扶持特定行业、产</w:t>
            </w:r>
          </w:p>
        </w:tc>
        <w:tc>
          <w:tcPr>
            <w:tcW w:w="1134" w:type="dxa"/>
            <w:tcBorders>
              <w:top w:val="nil" w:sz="6" w:space="0" w:color="auto"/>
              <w:left w:val="single" w:sz="2" w:space="0" w:color="000000"/>
              <w:bottom w:val="nil" w:sz="6" w:space="0" w:color="auto"/>
              <w:right w:val="single" w:sz="2" w:space="0" w:color="000000"/>
            </w:tcBorders>
          </w:tcPr>
          <w:p>
            <w:pPr/>
          </w:p>
        </w:tc>
        <w:tc>
          <w:tcPr>
            <w:tcW w:w="994" w:type="dxa"/>
            <w:tcBorders>
              <w:top w:val="nil" w:sz="6" w:space="0" w:color="auto"/>
              <w:left w:val="single" w:sz="2" w:space="0" w:color="000000"/>
              <w:bottom w:val="nil" w:sz="6" w:space="0" w:color="auto"/>
              <w:right w:val="single" w:sz="2" w:space="0" w:color="000000"/>
            </w:tcBorders>
          </w:tcPr>
          <w:p>
            <w:pPr/>
          </w:p>
        </w:tc>
        <w:tc>
          <w:tcPr>
            <w:tcW w:w="991" w:type="dxa"/>
            <w:vMerge/>
            <w:tcBorders>
              <w:left w:val="single" w:sz="2" w:space="0" w:color="000000"/>
              <w:right w:val="single" w:sz="2" w:space="0" w:color="000000"/>
            </w:tcBorders>
          </w:tcPr>
          <w:p>
            <w:pPr/>
          </w:p>
        </w:tc>
        <w:tc>
          <w:tcPr>
            <w:tcW w:w="851" w:type="dxa"/>
            <w:tcBorders>
              <w:top w:val="nil" w:sz="6" w:space="0" w:color="auto"/>
              <w:left w:val="single" w:sz="2" w:space="0" w:color="000000"/>
              <w:bottom w:val="nil" w:sz="6" w:space="0" w:color="auto"/>
              <w:right w:val="single" w:sz="2" w:space="0" w:color="000000"/>
            </w:tcBorders>
          </w:tcPr>
          <w:p>
            <w:pPr/>
          </w:p>
        </w:tc>
        <w:tc>
          <w:tcPr>
            <w:tcW w:w="1063" w:type="dxa"/>
            <w:tcBorders>
              <w:top w:val="nil" w:sz="6" w:space="0" w:color="auto"/>
              <w:left w:val="single" w:sz="2" w:space="0" w:color="000000"/>
              <w:bottom w:val="nil" w:sz="6" w:space="0" w:color="auto"/>
              <w:right w:val="single" w:sz="2" w:space="0" w:color="000000"/>
            </w:tcBorders>
          </w:tcPr>
          <w:p>
            <w:pPr/>
          </w:p>
        </w:tc>
      </w:tr>
      <w:tr>
        <w:trPr>
          <w:trHeight w:val="311" w:hRule="exact"/>
        </w:trPr>
        <w:tc>
          <w:tcPr>
            <w:tcW w:w="1066"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79" w:right="0"/>
              <w:jc w:val="left"/>
              <w:rPr>
                <w:rFonts w:ascii="宋体" w:hAnsi="宋体" w:cs="宋体" w:eastAsia="宋体" w:hint="default"/>
                <w:sz w:val="18"/>
                <w:szCs w:val="18"/>
              </w:rPr>
            </w:pPr>
            <w:r>
              <w:rPr>
                <w:rFonts w:ascii="宋体" w:hAnsi="宋体" w:cs="宋体" w:eastAsia="宋体" w:hint="default"/>
                <w:sz w:val="18"/>
                <w:szCs w:val="18"/>
              </w:rPr>
              <w:t>年度科技创</w:t>
            </w:r>
          </w:p>
        </w:tc>
        <w:tc>
          <w:tcPr>
            <w:tcW w:w="1062"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区财政国库</w:t>
            </w:r>
          </w:p>
        </w:tc>
        <w:tc>
          <w:tcPr>
            <w:tcW w:w="850" w:type="dxa"/>
            <w:tcBorders>
              <w:top w:val="nil" w:sz="6" w:space="0" w:color="auto"/>
              <w:left w:val="single" w:sz="2" w:space="0" w:color="000000"/>
              <w:bottom w:val="nil" w:sz="6" w:space="0" w:color="auto"/>
              <w:right w:val="single" w:sz="2"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559"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业而获得的补助</w:t>
            </w:r>
          </w:p>
        </w:tc>
        <w:tc>
          <w:tcPr>
            <w:tcW w:w="1134" w:type="dxa"/>
            <w:tcBorders>
              <w:top w:val="nil" w:sz="6" w:space="0" w:color="auto"/>
              <w:left w:val="single" w:sz="2" w:space="0" w:color="000000"/>
              <w:bottom w:val="nil" w:sz="6" w:space="0" w:color="auto"/>
              <w:right w:val="single" w:sz="2"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nil" w:sz="6" w:space="0" w:color="auto"/>
              <w:left w:val="single" w:sz="2" w:space="0" w:color="000000"/>
              <w:bottom w:val="nil" w:sz="6" w:space="0" w:color="auto"/>
              <w:right w:val="single" w:sz="2"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1" w:type="dxa"/>
            <w:vMerge/>
            <w:tcBorders>
              <w:left w:val="single" w:sz="2" w:space="0" w:color="000000"/>
              <w:right w:val="single" w:sz="2" w:space="0" w:color="000000"/>
            </w:tcBorders>
          </w:tcPr>
          <w:p>
            <w:pPr/>
          </w:p>
        </w:tc>
        <w:tc>
          <w:tcPr>
            <w:tcW w:w="851" w:type="dxa"/>
            <w:tcBorders>
              <w:top w:val="nil" w:sz="6" w:space="0" w:color="auto"/>
              <w:left w:val="single" w:sz="2" w:space="0" w:color="000000"/>
              <w:bottom w:val="nil" w:sz="6" w:space="0" w:color="auto"/>
              <w:right w:val="single" w:sz="2" w:space="0" w:color="000000"/>
            </w:tcBorders>
          </w:tcPr>
          <w:p>
            <w:pPr>
              <w:pStyle w:val="TableParagraph"/>
              <w:spacing w:line="240" w:lineRule="auto" w:before="46"/>
              <w:ind w:left="2" w:right="0"/>
              <w:jc w:val="center"/>
              <w:rPr>
                <w:rFonts w:ascii="Times New Roman" w:hAnsi="Times New Roman" w:cs="Times New Roman" w:eastAsia="Times New Roman" w:hint="default"/>
                <w:sz w:val="18"/>
                <w:szCs w:val="18"/>
              </w:rPr>
            </w:pPr>
            <w:r>
              <w:rPr>
                <w:rFonts w:ascii="Times New Roman"/>
                <w:sz w:val="18"/>
              </w:rPr>
              <w:t>16,000.00</w:t>
            </w:r>
          </w:p>
        </w:tc>
        <w:tc>
          <w:tcPr>
            <w:tcW w:w="1063" w:type="dxa"/>
            <w:tcBorders>
              <w:top w:val="nil" w:sz="6" w:space="0" w:color="auto"/>
              <w:left w:val="single" w:sz="2" w:space="0" w:color="000000"/>
              <w:bottom w:val="nil" w:sz="6" w:space="0" w:color="auto"/>
              <w:right w:val="single" w:sz="2" w:space="0" w:color="000000"/>
            </w:tcBorders>
          </w:tcPr>
          <w:p>
            <w:pPr>
              <w:pStyle w:val="TableParagraph"/>
              <w:spacing w:line="240" w:lineRule="auto" w:before="6"/>
              <w:ind w:right="7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8" w:hRule="exact"/>
        </w:trPr>
        <w:tc>
          <w:tcPr>
            <w:tcW w:w="1066" w:type="dxa"/>
            <w:tcBorders>
              <w:top w:val="nil" w:sz="6" w:space="0" w:color="auto"/>
              <w:left w:val="single" w:sz="2" w:space="0" w:color="000000"/>
              <w:bottom w:val="nil" w:sz="6" w:space="0" w:color="auto"/>
              <w:right w:val="single" w:sz="2" w:space="0" w:color="000000"/>
            </w:tcBorders>
          </w:tcPr>
          <w:p>
            <w:pPr>
              <w:pStyle w:val="TableParagraph"/>
              <w:spacing w:line="240" w:lineRule="auto" w:before="6"/>
              <w:ind w:left="79" w:right="0"/>
              <w:jc w:val="left"/>
              <w:rPr>
                <w:rFonts w:ascii="宋体" w:hAnsi="宋体" w:cs="宋体" w:eastAsia="宋体" w:hint="default"/>
                <w:sz w:val="18"/>
                <w:szCs w:val="18"/>
              </w:rPr>
            </w:pPr>
            <w:r>
              <w:rPr>
                <w:rFonts w:ascii="宋体" w:hAnsi="宋体" w:cs="宋体" w:eastAsia="宋体" w:hint="default"/>
                <w:sz w:val="18"/>
                <w:szCs w:val="18"/>
              </w:rPr>
              <w:t>新优秀企业</w:t>
            </w:r>
          </w:p>
        </w:tc>
        <w:tc>
          <w:tcPr>
            <w:tcW w:w="1062" w:type="dxa"/>
            <w:tcBorders>
              <w:top w:val="nil" w:sz="6" w:space="0" w:color="auto"/>
              <w:left w:val="single" w:sz="2" w:space="0" w:color="000000"/>
              <w:bottom w:val="nil" w:sz="6" w:space="0" w:color="auto"/>
              <w:right w:val="single" w:sz="2"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集中支付中</w:t>
            </w:r>
          </w:p>
        </w:tc>
        <w:tc>
          <w:tcPr>
            <w:tcW w:w="850" w:type="dxa"/>
            <w:tcBorders>
              <w:top w:val="nil" w:sz="6" w:space="0" w:color="auto"/>
              <w:left w:val="single" w:sz="2" w:space="0" w:color="000000"/>
              <w:bottom w:val="nil" w:sz="6" w:space="0" w:color="auto"/>
              <w:right w:val="single" w:sz="2" w:space="0" w:color="000000"/>
            </w:tcBorders>
          </w:tcPr>
          <w:p>
            <w:pPr/>
          </w:p>
        </w:tc>
        <w:tc>
          <w:tcPr>
            <w:tcW w:w="1559" w:type="dxa"/>
            <w:tcBorders>
              <w:top w:val="nil" w:sz="6" w:space="0" w:color="auto"/>
              <w:left w:val="single" w:sz="2" w:space="0" w:color="000000"/>
              <w:bottom w:val="nil" w:sz="6" w:space="0" w:color="auto"/>
              <w:right w:val="single" w:sz="2"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（按国家级政策规</w:t>
            </w:r>
          </w:p>
        </w:tc>
        <w:tc>
          <w:tcPr>
            <w:tcW w:w="1134" w:type="dxa"/>
            <w:tcBorders>
              <w:top w:val="nil" w:sz="6" w:space="0" w:color="auto"/>
              <w:left w:val="single" w:sz="2" w:space="0" w:color="000000"/>
              <w:bottom w:val="nil" w:sz="6" w:space="0" w:color="auto"/>
              <w:right w:val="single" w:sz="2" w:space="0" w:color="000000"/>
            </w:tcBorders>
          </w:tcPr>
          <w:p>
            <w:pPr/>
          </w:p>
        </w:tc>
        <w:tc>
          <w:tcPr>
            <w:tcW w:w="994" w:type="dxa"/>
            <w:tcBorders>
              <w:top w:val="nil" w:sz="6" w:space="0" w:color="auto"/>
              <w:left w:val="single" w:sz="2" w:space="0" w:color="000000"/>
              <w:bottom w:val="nil" w:sz="6" w:space="0" w:color="auto"/>
              <w:right w:val="single" w:sz="2" w:space="0" w:color="000000"/>
            </w:tcBorders>
          </w:tcPr>
          <w:p>
            <w:pPr/>
          </w:p>
        </w:tc>
        <w:tc>
          <w:tcPr>
            <w:tcW w:w="991" w:type="dxa"/>
            <w:vMerge/>
            <w:tcBorders>
              <w:left w:val="single" w:sz="2" w:space="0" w:color="000000"/>
              <w:right w:val="single" w:sz="2" w:space="0" w:color="000000"/>
            </w:tcBorders>
          </w:tcPr>
          <w:p>
            <w:pPr/>
          </w:p>
        </w:tc>
        <w:tc>
          <w:tcPr>
            <w:tcW w:w="851" w:type="dxa"/>
            <w:tcBorders>
              <w:top w:val="nil" w:sz="6" w:space="0" w:color="auto"/>
              <w:left w:val="single" w:sz="2" w:space="0" w:color="000000"/>
              <w:bottom w:val="nil" w:sz="6" w:space="0" w:color="auto"/>
              <w:right w:val="single" w:sz="2" w:space="0" w:color="000000"/>
            </w:tcBorders>
          </w:tcPr>
          <w:p>
            <w:pPr/>
          </w:p>
        </w:tc>
        <w:tc>
          <w:tcPr>
            <w:tcW w:w="1063" w:type="dxa"/>
            <w:tcBorders>
              <w:top w:val="nil" w:sz="6" w:space="0" w:color="auto"/>
              <w:left w:val="single" w:sz="2" w:space="0" w:color="000000"/>
              <w:bottom w:val="nil" w:sz="6" w:space="0" w:color="auto"/>
              <w:right w:val="single" w:sz="2" w:space="0" w:color="000000"/>
            </w:tcBorders>
          </w:tcPr>
          <w:p>
            <w:pPr/>
          </w:p>
        </w:tc>
      </w:tr>
      <w:tr>
        <w:trPr>
          <w:trHeight w:val="313" w:hRule="exact"/>
        </w:trPr>
        <w:tc>
          <w:tcPr>
            <w:tcW w:w="1066"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pacing w:val="-12"/>
                <w:sz w:val="18"/>
                <w:szCs w:val="18"/>
              </w:rPr>
              <w:t>奖励（软件著</w:t>
            </w:r>
          </w:p>
        </w:tc>
        <w:tc>
          <w:tcPr>
            <w:tcW w:w="1062"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心</w:t>
            </w:r>
          </w:p>
        </w:tc>
        <w:tc>
          <w:tcPr>
            <w:tcW w:w="850" w:type="dxa"/>
            <w:tcBorders>
              <w:top w:val="nil" w:sz="6" w:space="0" w:color="auto"/>
              <w:left w:val="single" w:sz="2" w:space="0" w:color="000000"/>
              <w:bottom w:val="nil" w:sz="6" w:space="0" w:color="auto"/>
              <w:right w:val="single" w:sz="2" w:space="0" w:color="000000"/>
            </w:tcBorders>
          </w:tcPr>
          <w:p>
            <w:pPr/>
          </w:p>
        </w:tc>
        <w:tc>
          <w:tcPr>
            <w:tcW w:w="1559"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定依法取得）</w:t>
            </w:r>
          </w:p>
        </w:tc>
        <w:tc>
          <w:tcPr>
            <w:tcW w:w="1134" w:type="dxa"/>
            <w:tcBorders>
              <w:top w:val="nil" w:sz="6" w:space="0" w:color="auto"/>
              <w:left w:val="single" w:sz="2" w:space="0" w:color="000000"/>
              <w:bottom w:val="nil" w:sz="6" w:space="0" w:color="auto"/>
              <w:right w:val="single" w:sz="2" w:space="0" w:color="000000"/>
            </w:tcBorders>
          </w:tcPr>
          <w:p>
            <w:pPr/>
          </w:p>
        </w:tc>
        <w:tc>
          <w:tcPr>
            <w:tcW w:w="994" w:type="dxa"/>
            <w:tcBorders>
              <w:top w:val="nil" w:sz="6" w:space="0" w:color="auto"/>
              <w:left w:val="single" w:sz="2" w:space="0" w:color="000000"/>
              <w:bottom w:val="nil" w:sz="6" w:space="0" w:color="auto"/>
              <w:right w:val="single" w:sz="2" w:space="0" w:color="000000"/>
            </w:tcBorders>
          </w:tcPr>
          <w:p>
            <w:pPr/>
          </w:p>
        </w:tc>
        <w:tc>
          <w:tcPr>
            <w:tcW w:w="991" w:type="dxa"/>
            <w:vMerge/>
            <w:tcBorders>
              <w:left w:val="single" w:sz="2" w:space="0" w:color="000000"/>
              <w:right w:val="single" w:sz="2" w:space="0" w:color="000000"/>
            </w:tcBorders>
          </w:tcPr>
          <w:p>
            <w:pPr/>
          </w:p>
        </w:tc>
        <w:tc>
          <w:tcPr>
            <w:tcW w:w="851" w:type="dxa"/>
            <w:tcBorders>
              <w:top w:val="nil" w:sz="6" w:space="0" w:color="auto"/>
              <w:left w:val="single" w:sz="2" w:space="0" w:color="000000"/>
              <w:bottom w:val="nil" w:sz="6" w:space="0" w:color="auto"/>
              <w:right w:val="single" w:sz="2" w:space="0" w:color="000000"/>
            </w:tcBorders>
          </w:tcPr>
          <w:p>
            <w:pPr/>
          </w:p>
        </w:tc>
        <w:tc>
          <w:tcPr>
            <w:tcW w:w="1063" w:type="dxa"/>
            <w:tcBorders>
              <w:top w:val="nil" w:sz="6" w:space="0" w:color="auto"/>
              <w:left w:val="single" w:sz="2" w:space="0" w:color="000000"/>
              <w:bottom w:val="nil" w:sz="6" w:space="0" w:color="auto"/>
              <w:right w:val="single" w:sz="2" w:space="0" w:color="000000"/>
            </w:tcBorders>
          </w:tcPr>
          <w:p>
            <w:pPr/>
          </w:p>
        </w:tc>
      </w:tr>
      <w:tr>
        <w:trPr>
          <w:trHeight w:val="353" w:hRule="exact"/>
        </w:trPr>
        <w:tc>
          <w:tcPr>
            <w:tcW w:w="1066"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0"/>
              <w:ind w:left="79" w:right="0"/>
              <w:jc w:val="left"/>
              <w:rPr>
                <w:rFonts w:ascii="宋体" w:hAnsi="宋体" w:cs="宋体" w:eastAsia="宋体" w:hint="default"/>
                <w:sz w:val="18"/>
                <w:szCs w:val="18"/>
              </w:rPr>
            </w:pPr>
            <w:r>
              <w:rPr>
                <w:rFonts w:ascii="宋体" w:hAnsi="宋体" w:cs="宋体" w:eastAsia="宋体" w:hint="default"/>
                <w:sz w:val="18"/>
                <w:szCs w:val="18"/>
              </w:rPr>
              <w:t>作权资助）</w:t>
            </w:r>
          </w:p>
        </w:tc>
        <w:tc>
          <w:tcPr>
            <w:tcW w:w="1062" w:type="dxa"/>
            <w:tcBorders>
              <w:top w:val="nil" w:sz="6" w:space="0" w:color="auto"/>
              <w:left w:val="single" w:sz="2" w:space="0" w:color="000000"/>
              <w:bottom w:val="single" w:sz="2" w:space="0" w:color="000000"/>
              <w:right w:val="single" w:sz="2" w:space="0" w:color="000000"/>
            </w:tcBorders>
          </w:tcPr>
          <w:p>
            <w:pPr/>
          </w:p>
        </w:tc>
        <w:tc>
          <w:tcPr>
            <w:tcW w:w="850" w:type="dxa"/>
            <w:tcBorders>
              <w:top w:val="nil" w:sz="6" w:space="0" w:color="auto"/>
              <w:left w:val="single" w:sz="2" w:space="0" w:color="000000"/>
              <w:bottom w:val="single" w:sz="2" w:space="0" w:color="000000"/>
              <w:right w:val="single" w:sz="2" w:space="0" w:color="000000"/>
            </w:tcBorders>
          </w:tcPr>
          <w:p>
            <w:pPr/>
          </w:p>
        </w:tc>
        <w:tc>
          <w:tcPr>
            <w:tcW w:w="1559" w:type="dxa"/>
            <w:tcBorders>
              <w:top w:val="nil" w:sz="6" w:space="0" w:color="auto"/>
              <w:left w:val="single" w:sz="2" w:space="0" w:color="000000"/>
              <w:bottom w:val="single" w:sz="2" w:space="0" w:color="000000"/>
              <w:right w:val="single" w:sz="2" w:space="0" w:color="000000"/>
            </w:tcBorders>
          </w:tcPr>
          <w:p>
            <w:pPr/>
          </w:p>
        </w:tc>
        <w:tc>
          <w:tcPr>
            <w:tcW w:w="1134" w:type="dxa"/>
            <w:tcBorders>
              <w:top w:val="nil" w:sz="6" w:space="0" w:color="auto"/>
              <w:left w:val="single" w:sz="2" w:space="0" w:color="000000"/>
              <w:bottom w:val="single" w:sz="2" w:space="0" w:color="000000"/>
              <w:right w:val="single" w:sz="2" w:space="0" w:color="000000"/>
            </w:tcBorders>
          </w:tcPr>
          <w:p>
            <w:pPr/>
          </w:p>
        </w:tc>
        <w:tc>
          <w:tcPr>
            <w:tcW w:w="994" w:type="dxa"/>
            <w:tcBorders>
              <w:top w:val="nil" w:sz="6" w:space="0" w:color="auto"/>
              <w:left w:val="single" w:sz="2" w:space="0" w:color="000000"/>
              <w:bottom w:val="single" w:sz="2" w:space="0" w:color="000000"/>
              <w:right w:val="single" w:sz="2" w:space="0" w:color="000000"/>
            </w:tcBorders>
          </w:tcPr>
          <w:p>
            <w:pPr/>
          </w:p>
        </w:tc>
        <w:tc>
          <w:tcPr>
            <w:tcW w:w="991" w:type="dxa"/>
            <w:vMerge/>
            <w:tcBorders>
              <w:left w:val="single" w:sz="2" w:space="0" w:color="000000"/>
              <w:bottom w:val="single" w:sz="2" w:space="0" w:color="000000"/>
              <w:right w:val="single" w:sz="2" w:space="0" w:color="000000"/>
            </w:tcBorders>
          </w:tcPr>
          <w:p>
            <w:pPr/>
          </w:p>
        </w:tc>
        <w:tc>
          <w:tcPr>
            <w:tcW w:w="851" w:type="dxa"/>
            <w:tcBorders>
              <w:top w:val="nil" w:sz="6" w:space="0" w:color="auto"/>
              <w:left w:val="single" w:sz="2" w:space="0" w:color="000000"/>
              <w:bottom w:val="single" w:sz="2" w:space="0" w:color="000000"/>
              <w:right w:val="single" w:sz="2" w:space="0" w:color="000000"/>
            </w:tcBorders>
          </w:tcPr>
          <w:p>
            <w:pPr/>
          </w:p>
        </w:tc>
        <w:tc>
          <w:tcPr>
            <w:tcW w:w="1063" w:type="dxa"/>
            <w:tcBorders>
              <w:top w:val="nil" w:sz="6" w:space="0" w:color="auto"/>
              <w:left w:val="single" w:sz="2" w:space="0" w:color="000000"/>
              <w:bottom w:val="single" w:sz="2" w:space="0" w:color="000000"/>
              <w:right w:val="single" w:sz="2" w:space="0" w:color="000000"/>
            </w:tcBorders>
          </w:tcPr>
          <w:p>
            <w:pPr/>
          </w:p>
        </w:tc>
      </w:tr>
      <w:tr>
        <w:trPr>
          <w:trHeight w:val="356" w:hRule="exact"/>
        </w:trPr>
        <w:tc>
          <w:tcPr>
            <w:tcW w:w="1066"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2"/>
              <w:ind w:left="79" w:right="0"/>
              <w:jc w:val="left"/>
              <w:rPr>
                <w:rFonts w:ascii="宋体" w:hAnsi="宋体" w:cs="宋体" w:eastAsia="宋体" w:hint="default"/>
                <w:sz w:val="18"/>
                <w:szCs w:val="18"/>
              </w:rPr>
            </w:pPr>
            <w:r>
              <w:rPr>
                <w:rFonts w:ascii="宋体" w:hAnsi="宋体" w:cs="宋体" w:eastAsia="宋体" w:hint="default"/>
                <w:sz w:val="18"/>
                <w:szCs w:val="18"/>
              </w:rPr>
              <w:t>郑州高新技</w:t>
            </w:r>
          </w:p>
        </w:tc>
        <w:tc>
          <w:tcPr>
            <w:tcW w:w="1062"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郑州高新技</w:t>
            </w:r>
          </w:p>
        </w:tc>
        <w:tc>
          <w:tcPr>
            <w:tcW w:w="850" w:type="dxa"/>
            <w:tcBorders>
              <w:top w:val="single" w:sz="2" w:space="0" w:color="000000"/>
              <w:left w:val="single" w:sz="2" w:space="0" w:color="000000"/>
              <w:bottom w:val="nil" w:sz="6" w:space="0" w:color="auto"/>
              <w:right w:val="single" w:sz="2" w:space="0" w:color="000000"/>
            </w:tcBorders>
          </w:tcPr>
          <w:p>
            <w:pPr/>
          </w:p>
        </w:tc>
        <w:tc>
          <w:tcPr>
            <w:tcW w:w="1559"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因从事国家鼓励和</w:t>
            </w:r>
          </w:p>
        </w:tc>
        <w:tc>
          <w:tcPr>
            <w:tcW w:w="1134" w:type="dxa"/>
            <w:tcBorders>
              <w:top w:val="single" w:sz="2" w:space="0" w:color="000000"/>
              <w:left w:val="single" w:sz="2" w:space="0" w:color="000000"/>
              <w:bottom w:val="nil" w:sz="6" w:space="0" w:color="auto"/>
              <w:right w:val="single" w:sz="2" w:space="0" w:color="000000"/>
            </w:tcBorders>
          </w:tcPr>
          <w:p>
            <w:pPr/>
          </w:p>
        </w:tc>
        <w:tc>
          <w:tcPr>
            <w:tcW w:w="994" w:type="dxa"/>
            <w:tcBorders>
              <w:top w:val="single" w:sz="2" w:space="0" w:color="000000"/>
              <w:left w:val="single" w:sz="2" w:space="0" w:color="000000"/>
              <w:bottom w:val="nil" w:sz="6" w:space="0" w:color="auto"/>
              <w:right w:val="single" w:sz="2" w:space="0" w:color="000000"/>
            </w:tcBorders>
          </w:tcPr>
          <w:p>
            <w:pPr/>
          </w:p>
        </w:tc>
        <w:tc>
          <w:tcPr>
            <w:tcW w:w="991" w:type="dxa"/>
            <w:vMerge w:val="restart"/>
            <w:tcBorders>
              <w:top w:val="single" w:sz="2" w:space="0" w:color="000000"/>
              <w:left w:val="single" w:sz="2" w:space="0" w:color="000000"/>
              <w:right w:val="single" w:sz="2" w:space="0" w:color="000000"/>
            </w:tcBorders>
          </w:tcPr>
          <w:p>
            <w:pPr/>
          </w:p>
        </w:tc>
        <w:tc>
          <w:tcPr>
            <w:tcW w:w="851" w:type="dxa"/>
            <w:tcBorders>
              <w:top w:val="single" w:sz="2" w:space="0" w:color="000000"/>
              <w:left w:val="single" w:sz="2" w:space="0" w:color="000000"/>
              <w:bottom w:val="nil" w:sz="6" w:space="0" w:color="auto"/>
              <w:right w:val="single" w:sz="2" w:space="0" w:color="000000"/>
            </w:tcBorders>
          </w:tcPr>
          <w:p>
            <w:pPr/>
          </w:p>
        </w:tc>
        <w:tc>
          <w:tcPr>
            <w:tcW w:w="1063" w:type="dxa"/>
            <w:tcBorders>
              <w:top w:val="single" w:sz="2" w:space="0" w:color="000000"/>
              <w:left w:val="single" w:sz="2" w:space="0" w:color="000000"/>
              <w:bottom w:val="nil" w:sz="6" w:space="0" w:color="auto"/>
              <w:right w:val="single" w:sz="2" w:space="0" w:color="000000"/>
            </w:tcBorders>
          </w:tcPr>
          <w:p>
            <w:pPr/>
          </w:p>
        </w:tc>
      </w:tr>
      <w:tr>
        <w:trPr>
          <w:trHeight w:val="311" w:hRule="exact"/>
        </w:trPr>
        <w:tc>
          <w:tcPr>
            <w:tcW w:w="1066"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79" w:right="0"/>
              <w:jc w:val="left"/>
              <w:rPr>
                <w:rFonts w:ascii="宋体" w:hAnsi="宋体" w:cs="宋体" w:eastAsia="宋体" w:hint="default"/>
                <w:sz w:val="18"/>
                <w:szCs w:val="18"/>
              </w:rPr>
            </w:pPr>
            <w:r>
              <w:rPr>
                <w:rFonts w:ascii="宋体" w:hAnsi="宋体" w:cs="宋体" w:eastAsia="宋体" w:hint="default"/>
                <w:sz w:val="18"/>
                <w:szCs w:val="18"/>
              </w:rPr>
              <w:t>术产业开发</w:t>
            </w:r>
          </w:p>
        </w:tc>
        <w:tc>
          <w:tcPr>
            <w:tcW w:w="1062"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术产业开发</w:t>
            </w:r>
          </w:p>
        </w:tc>
        <w:tc>
          <w:tcPr>
            <w:tcW w:w="850" w:type="dxa"/>
            <w:tcBorders>
              <w:top w:val="nil" w:sz="6" w:space="0" w:color="auto"/>
              <w:left w:val="single" w:sz="2" w:space="0" w:color="000000"/>
              <w:bottom w:val="nil" w:sz="6" w:space="0" w:color="auto"/>
              <w:right w:val="single" w:sz="2" w:space="0" w:color="000000"/>
            </w:tcBorders>
          </w:tcPr>
          <w:p>
            <w:pPr/>
          </w:p>
        </w:tc>
        <w:tc>
          <w:tcPr>
            <w:tcW w:w="1559"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扶持特定行业、产</w:t>
            </w:r>
          </w:p>
        </w:tc>
        <w:tc>
          <w:tcPr>
            <w:tcW w:w="1134" w:type="dxa"/>
            <w:tcBorders>
              <w:top w:val="nil" w:sz="6" w:space="0" w:color="auto"/>
              <w:left w:val="single" w:sz="2" w:space="0" w:color="000000"/>
              <w:bottom w:val="nil" w:sz="6" w:space="0" w:color="auto"/>
              <w:right w:val="single" w:sz="2" w:space="0" w:color="000000"/>
            </w:tcBorders>
          </w:tcPr>
          <w:p>
            <w:pPr/>
          </w:p>
        </w:tc>
        <w:tc>
          <w:tcPr>
            <w:tcW w:w="994" w:type="dxa"/>
            <w:tcBorders>
              <w:top w:val="nil" w:sz="6" w:space="0" w:color="auto"/>
              <w:left w:val="single" w:sz="2" w:space="0" w:color="000000"/>
              <w:bottom w:val="nil" w:sz="6" w:space="0" w:color="auto"/>
              <w:right w:val="single" w:sz="2" w:space="0" w:color="000000"/>
            </w:tcBorders>
          </w:tcPr>
          <w:p>
            <w:pPr/>
          </w:p>
        </w:tc>
        <w:tc>
          <w:tcPr>
            <w:tcW w:w="991" w:type="dxa"/>
            <w:vMerge/>
            <w:tcBorders>
              <w:left w:val="single" w:sz="2" w:space="0" w:color="000000"/>
              <w:right w:val="single" w:sz="2" w:space="0" w:color="000000"/>
            </w:tcBorders>
          </w:tcPr>
          <w:p>
            <w:pPr/>
          </w:p>
        </w:tc>
        <w:tc>
          <w:tcPr>
            <w:tcW w:w="851" w:type="dxa"/>
            <w:tcBorders>
              <w:top w:val="nil" w:sz="6" w:space="0" w:color="auto"/>
              <w:left w:val="single" w:sz="2" w:space="0" w:color="000000"/>
              <w:bottom w:val="nil" w:sz="6" w:space="0" w:color="auto"/>
              <w:right w:val="single" w:sz="2" w:space="0" w:color="000000"/>
            </w:tcBorders>
          </w:tcPr>
          <w:p>
            <w:pPr/>
          </w:p>
        </w:tc>
        <w:tc>
          <w:tcPr>
            <w:tcW w:w="1063" w:type="dxa"/>
            <w:tcBorders>
              <w:top w:val="nil" w:sz="6" w:space="0" w:color="auto"/>
              <w:left w:val="single" w:sz="2" w:space="0" w:color="000000"/>
              <w:bottom w:val="nil" w:sz="6" w:space="0" w:color="auto"/>
              <w:right w:val="single" w:sz="2" w:space="0" w:color="000000"/>
            </w:tcBorders>
          </w:tcPr>
          <w:p>
            <w:pPr/>
          </w:p>
        </w:tc>
      </w:tr>
      <w:tr>
        <w:trPr>
          <w:trHeight w:val="317" w:hRule="exact"/>
        </w:trPr>
        <w:tc>
          <w:tcPr>
            <w:tcW w:w="1066"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062"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区财政国库</w:t>
            </w:r>
          </w:p>
        </w:tc>
        <w:tc>
          <w:tcPr>
            <w:tcW w:w="850"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559"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业而获得的补助</w:t>
            </w:r>
          </w:p>
        </w:tc>
        <w:tc>
          <w:tcPr>
            <w:tcW w:w="1134"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1" w:type="dxa"/>
            <w:vMerge/>
            <w:tcBorders>
              <w:left w:val="single" w:sz="2" w:space="0" w:color="000000"/>
              <w:right w:val="single" w:sz="2" w:space="0" w:color="000000"/>
            </w:tcBorders>
          </w:tcPr>
          <w:p>
            <w:pPr/>
          </w:p>
        </w:tc>
        <w:tc>
          <w:tcPr>
            <w:tcW w:w="851" w:type="dxa"/>
            <w:tcBorders>
              <w:top w:val="nil" w:sz="6" w:space="0" w:color="auto"/>
              <w:left w:val="single" w:sz="2" w:space="0" w:color="000000"/>
              <w:bottom w:val="nil" w:sz="6" w:space="0" w:color="auto"/>
              <w:right w:val="single" w:sz="2"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20,000.00</w:t>
            </w:r>
          </w:p>
        </w:tc>
        <w:tc>
          <w:tcPr>
            <w:tcW w:w="1063"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right="7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8" w:hRule="exact"/>
        </w:trPr>
        <w:tc>
          <w:tcPr>
            <w:tcW w:w="1066"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79" w:right="0"/>
              <w:jc w:val="left"/>
              <w:rPr>
                <w:rFonts w:ascii="宋体" w:hAnsi="宋体" w:cs="宋体" w:eastAsia="宋体" w:hint="default"/>
                <w:sz w:val="18"/>
                <w:szCs w:val="18"/>
              </w:rPr>
            </w:pPr>
            <w:r>
              <w:rPr>
                <w:rFonts w:ascii="宋体" w:hAnsi="宋体" w:cs="宋体" w:eastAsia="宋体" w:hint="default"/>
                <w:sz w:val="18"/>
                <w:szCs w:val="18"/>
              </w:rPr>
              <w:t>科技优秀企</w:t>
            </w:r>
          </w:p>
        </w:tc>
        <w:tc>
          <w:tcPr>
            <w:tcW w:w="1062"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集中支付中</w:t>
            </w:r>
          </w:p>
        </w:tc>
        <w:tc>
          <w:tcPr>
            <w:tcW w:w="850" w:type="dxa"/>
            <w:tcBorders>
              <w:top w:val="nil" w:sz="6" w:space="0" w:color="auto"/>
              <w:left w:val="single" w:sz="2" w:space="0" w:color="000000"/>
              <w:bottom w:val="nil" w:sz="6" w:space="0" w:color="auto"/>
              <w:right w:val="single" w:sz="2" w:space="0" w:color="000000"/>
            </w:tcBorders>
          </w:tcPr>
          <w:p>
            <w:pPr/>
          </w:p>
        </w:tc>
        <w:tc>
          <w:tcPr>
            <w:tcW w:w="1559"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（按国家级政策规</w:t>
            </w:r>
          </w:p>
        </w:tc>
        <w:tc>
          <w:tcPr>
            <w:tcW w:w="1134" w:type="dxa"/>
            <w:tcBorders>
              <w:top w:val="nil" w:sz="6" w:space="0" w:color="auto"/>
              <w:left w:val="single" w:sz="2" w:space="0" w:color="000000"/>
              <w:bottom w:val="nil" w:sz="6" w:space="0" w:color="auto"/>
              <w:right w:val="single" w:sz="2" w:space="0" w:color="000000"/>
            </w:tcBorders>
          </w:tcPr>
          <w:p>
            <w:pPr/>
          </w:p>
        </w:tc>
        <w:tc>
          <w:tcPr>
            <w:tcW w:w="994" w:type="dxa"/>
            <w:tcBorders>
              <w:top w:val="nil" w:sz="6" w:space="0" w:color="auto"/>
              <w:left w:val="single" w:sz="2" w:space="0" w:color="000000"/>
              <w:bottom w:val="nil" w:sz="6" w:space="0" w:color="auto"/>
              <w:right w:val="single" w:sz="2" w:space="0" w:color="000000"/>
            </w:tcBorders>
          </w:tcPr>
          <w:p>
            <w:pPr/>
          </w:p>
        </w:tc>
        <w:tc>
          <w:tcPr>
            <w:tcW w:w="991" w:type="dxa"/>
            <w:vMerge/>
            <w:tcBorders>
              <w:left w:val="single" w:sz="2" w:space="0" w:color="000000"/>
              <w:right w:val="single" w:sz="2" w:space="0" w:color="000000"/>
            </w:tcBorders>
          </w:tcPr>
          <w:p>
            <w:pPr/>
          </w:p>
        </w:tc>
        <w:tc>
          <w:tcPr>
            <w:tcW w:w="851" w:type="dxa"/>
            <w:tcBorders>
              <w:top w:val="nil" w:sz="6" w:space="0" w:color="auto"/>
              <w:left w:val="single" w:sz="2" w:space="0" w:color="000000"/>
              <w:bottom w:val="nil" w:sz="6" w:space="0" w:color="auto"/>
              <w:right w:val="single" w:sz="2" w:space="0" w:color="000000"/>
            </w:tcBorders>
          </w:tcPr>
          <w:p>
            <w:pPr/>
          </w:p>
        </w:tc>
        <w:tc>
          <w:tcPr>
            <w:tcW w:w="1063" w:type="dxa"/>
            <w:tcBorders>
              <w:top w:val="nil" w:sz="6" w:space="0" w:color="auto"/>
              <w:left w:val="single" w:sz="2" w:space="0" w:color="000000"/>
              <w:bottom w:val="nil" w:sz="6" w:space="0" w:color="auto"/>
              <w:right w:val="single" w:sz="2" w:space="0" w:color="000000"/>
            </w:tcBorders>
          </w:tcPr>
          <w:p>
            <w:pPr/>
          </w:p>
        </w:tc>
      </w:tr>
      <w:tr>
        <w:trPr>
          <w:trHeight w:val="353" w:hRule="exact"/>
        </w:trPr>
        <w:tc>
          <w:tcPr>
            <w:tcW w:w="1066"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1"/>
              <w:ind w:left="259" w:right="0"/>
              <w:jc w:val="left"/>
              <w:rPr>
                <w:rFonts w:ascii="宋体" w:hAnsi="宋体" w:cs="宋体" w:eastAsia="宋体" w:hint="default"/>
                <w:sz w:val="18"/>
                <w:szCs w:val="18"/>
              </w:rPr>
            </w:pPr>
            <w:r>
              <w:rPr>
                <w:rFonts w:ascii="宋体" w:hAnsi="宋体" w:cs="宋体" w:eastAsia="宋体" w:hint="default"/>
                <w:sz w:val="18"/>
                <w:szCs w:val="18"/>
              </w:rPr>
              <w:t>业奖励</w:t>
            </w:r>
          </w:p>
        </w:tc>
        <w:tc>
          <w:tcPr>
            <w:tcW w:w="1062"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心</w:t>
            </w:r>
          </w:p>
        </w:tc>
        <w:tc>
          <w:tcPr>
            <w:tcW w:w="850" w:type="dxa"/>
            <w:tcBorders>
              <w:top w:val="nil" w:sz="6" w:space="0" w:color="auto"/>
              <w:left w:val="single" w:sz="2" w:space="0" w:color="000000"/>
              <w:bottom w:val="single" w:sz="2" w:space="0" w:color="000000"/>
              <w:right w:val="single" w:sz="2" w:space="0" w:color="000000"/>
            </w:tcBorders>
          </w:tcPr>
          <w:p>
            <w:pPr/>
          </w:p>
        </w:tc>
        <w:tc>
          <w:tcPr>
            <w:tcW w:w="1559"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定依法取得）</w:t>
            </w:r>
          </w:p>
        </w:tc>
        <w:tc>
          <w:tcPr>
            <w:tcW w:w="1134" w:type="dxa"/>
            <w:tcBorders>
              <w:top w:val="nil" w:sz="6" w:space="0" w:color="auto"/>
              <w:left w:val="single" w:sz="2" w:space="0" w:color="000000"/>
              <w:bottom w:val="single" w:sz="2" w:space="0" w:color="000000"/>
              <w:right w:val="single" w:sz="2" w:space="0" w:color="000000"/>
            </w:tcBorders>
          </w:tcPr>
          <w:p>
            <w:pPr/>
          </w:p>
        </w:tc>
        <w:tc>
          <w:tcPr>
            <w:tcW w:w="994" w:type="dxa"/>
            <w:tcBorders>
              <w:top w:val="nil" w:sz="6" w:space="0" w:color="auto"/>
              <w:left w:val="single" w:sz="2" w:space="0" w:color="000000"/>
              <w:bottom w:val="single" w:sz="2" w:space="0" w:color="000000"/>
              <w:right w:val="single" w:sz="2" w:space="0" w:color="000000"/>
            </w:tcBorders>
          </w:tcPr>
          <w:p>
            <w:pPr/>
          </w:p>
        </w:tc>
        <w:tc>
          <w:tcPr>
            <w:tcW w:w="991" w:type="dxa"/>
            <w:vMerge/>
            <w:tcBorders>
              <w:left w:val="single" w:sz="2" w:space="0" w:color="000000"/>
              <w:bottom w:val="single" w:sz="2" w:space="0" w:color="000000"/>
              <w:right w:val="single" w:sz="2" w:space="0" w:color="000000"/>
            </w:tcBorders>
          </w:tcPr>
          <w:p>
            <w:pPr/>
          </w:p>
        </w:tc>
        <w:tc>
          <w:tcPr>
            <w:tcW w:w="851" w:type="dxa"/>
            <w:tcBorders>
              <w:top w:val="nil" w:sz="6" w:space="0" w:color="auto"/>
              <w:left w:val="single" w:sz="2" w:space="0" w:color="000000"/>
              <w:bottom w:val="single" w:sz="2" w:space="0" w:color="000000"/>
              <w:right w:val="single" w:sz="2" w:space="0" w:color="000000"/>
            </w:tcBorders>
          </w:tcPr>
          <w:p>
            <w:pPr/>
          </w:p>
        </w:tc>
        <w:tc>
          <w:tcPr>
            <w:tcW w:w="1063" w:type="dxa"/>
            <w:tcBorders>
              <w:top w:val="nil" w:sz="6" w:space="0" w:color="auto"/>
              <w:left w:val="single" w:sz="2" w:space="0" w:color="000000"/>
              <w:bottom w:val="single" w:sz="2" w:space="0" w:color="000000"/>
              <w:right w:val="single" w:sz="2" w:space="0" w:color="000000"/>
            </w:tcBorders>
          </w:tcPr>
          <w:p>
            <w:pPr/>
          </w:p>
        </w:tc>
      </w:tr>
      <w:tr>
        <w:trPr>
          <w:trHeight w:val="1645" w:hRule="exact"/>
        </w:trPr>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79" w:right="79"/>
              <w:jc w:val="both"/>
              <w:rPr>
                <w:rFonts w:ascii="宋体" w:hAnsi="宋体" w:cs="宋体" w:eastAsia="宋体" w:hint="default"/>
                <w:sz w:val="18"/>
                <w:szCs w:val="18"/>
              </w:rPr>
            </w:pPr>
            <w:r>
              <w:rPr>
                <w:rFonts w:ascii="宋体" w:hAnsi="宋体" w:cs="宋体" w:eastAsia="宋体" w:hint="default"/>
                <w:sz w:val="18"/>
                <w:szCs w:val="18"/>
              </w:rPr>
              <w:t>郑州高新技 术产业开发 区专利申请 资助资金</w:t>
            </w:r>
          </w:p>
        </w:tc>
        <w:tc>
          <w:tcPr>
            <w:tcW w:w="10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77" w:right="77"/>
              <w:jc w:val="both"/>
              <w:rPr>
                <w:rFonts w:ascii="宋体" w:hAnsi="宋体" w:cs="宋体" w:eastAsia="宋体" w:hint="default"/>
                <w:sz w:val="18"/>
                <w:szCs w:val="18"/>
              </w:rPr>
            </w:pPr>
            <w:r>
              <w:rPr>
                <w:rFonts w:ascii="宋体" w:hAnsi="宋体" w:cs="宋体" w:eastAsia="宋体" w:hint="default"/>
                <w:sz w:val="18"/>
                <w:szCs w:val="18"/>
              </w:rPr>
              <w:t>郑州高新技 术产业开发 区管委会财 政金融局</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56" w:right="55"/>
              <w:jc w:val="both"/>
              <w:rPr>
                <w:rFonts w:ascii="宋体" w:hAnsi="宋体" w:cs="宋体" w:eastAsia="宋体" w:hint="default"/>
                <w:sz w:val="18"/>
                <w:szCs w:val="18"/>
              </w:rPr>
            </w:pPr>
            <w:r>
              <w:rPr>
                <w:rFonts w:ascii="宋体" w:hAnsi="宋体" w:cs="宋体" w:eastAsia="宋体" w:hint="default"/>
                <w:sz w:val="18"/>
                <w:szCs w:val="18"/>
              </w:rPr>
              <w:t>因从事国家鼓励和 扶持特定行业、产 业而获得的补助</w:t>
            </w:r>
          </w:p>
          <w:p>
            <w:pPr>
              <w:pStyle w:val="TableParagraph"/>
              <w:spacing w:line="319" w:lineRule="auto" w:before="19"/>
              <w:ind w:left="236" w:right="55" w:hanging="180"/>
              <w:jc w:val="left"/>
              <w:rPr>
                <w:rFonts w:ascii="宋体" w:hAnsi="宋体" w:cs="宋体" w:eastAsia="宋体" w:hint="default"/>
                <w:sz w:val="18"/>
                <w:szCs w:val="18"/>
              </w:rPr>
            </w:pPr>
            <w:r>
              <w:rPr>
                <w:rFonts w:ascii="宋体" w:hAnsi="宋体" w:cs="宋体" w:eastAsia="宋体" w:hint="default"/>
                <w:sz w:val="18"/>
                <w:szCs w:val="18"/>
              </w:rPr>
              <w:t>（按国家级政策规 定依法取得）</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2" w:space="0" w:color="000000"/>
              <w:left w:val="single" w:sz="2" w:space="0" w:color="000000"/>
              <w:bottom w:val="single" w:sz="2" w:space="0" w:color="000000"/>
              <w:right w:val="single" w:sz="2" w:space="0" w:color="000000"/>
            </w:tcBorders>
          </w:tcPr>
          <w:p>
            <w:pP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68,000.00</w:t>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7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5" w:hRule="exact"/>
        </w:trPr>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5" w:right="24" w:firstLine="54"/>
              <w:jc w:val="both"/>
              <w:rPr>
                <w:rFonts w:ascii="宋体" w:hAnsi="宋体" w:cs="宋体" w:eastAsia="宋体" w:hint="default"/>
                <w:sz w:val="18"/>
                <w:szCs w:val="18"/>
              </w:rPr>
            </w:pPr>
            <w:r>
              <w:rPr>
                <w:rFonts w:ascii="宋体" w:hAnsi="宋体" w:cs="宋体" w:eastAsia="宋体" w:hint="default"/>
                <w:sz w:val="18"/>
                <w:szCs w:val="18"/>
              </w:rPr>
              <w:t>郑州高新技 术产业开发 </w:t>
            </w:r>
            <w:r>
              <w:rPr>
                <w:rFonts w:ascii="宋体" w:hAnsi="宋体" w:cs="宋体" w:eastAsia="宋体" w:hint="default"/>
                <w:spacing w:val="-11"/>
                <w:sz w:val="18"/>
                <w:szCs w:val="18"/>
              </w:rPr>
              <w:t>区郑开管（</w:t>
            </w:r>
            <w:r>
              <w:rPr>
                <w:rFonts w:ascii="Times New Roman" w:hAnsi="Times New Roman" w:cs="Times New Roman" w:eastAsia="Times New Roman" w:hint="default"/>
                <w:spacing w:val="-11"/>
                <w:sz w:val="18"/>
                <w:szCs w:val="18"/>
              </w:rPr>
              <w:t>13</w:t>
            </w:r>
            <w:r>
              <w:rPr>
                <w:rFonts w:ascii="Times New Roman" w:hAnsi="Times New Roman" w:cs="Times New Roman" w:eastAsia="Times New Roman" w:hint="default"/>
                <w:spacing w:val="-39"/>
                <w:sz w:val="18"/>
                <w:szCs w:val="18"/>
              </w:rPr>
              <w:t> </w:t>
            </w:r>
            <w:r>
              <w:rPr>
                <w:rFonts w:ascii="宋体" w:hAnsi="宋体" w:cs="宋体" w:eastAsia="宋体" w:hint="default"/>
                <w:spacing w:val="-12"/>
                <w:sz w:val="18"/>
                <w:szCs w:val="18"/>
              </w:rPr>
              <w:t>号）专利奖励</w:t>
            </w:r>
          </w:p>
        </w:tc>
        <w:tc>
          <w:tcPr>
            <w:tcW w:w="1062" w:type="dxa"/>
            <w:tcBorders>
              <w:top w:val="single" w:sz="2" w:space="0" w:color="000000"/>
              <w:left w:val="single" w:sz="2" w:space="0" w:color="000000"/>
              <w:bottom w:val="single" w:sz="2" w:space="0" w:color="000000"/>
              <w:right w:val="single" w:sz="2" w:space="0" w:color="000000"/>
            </w:tcBorders>
          </w:tcPr>
          <w:p>
            <w:pPr>
              <w:pStyle w:val="TableParagraph"/>
              <w:spacing w:line="319" w:lineRule="auto" w:before="51"/>
              <w:ind w:left="77" w:right="77"/>
              <w:jc w:val="center"/>
              <w:rPr>
                <w:rFonts w:ascii="宋体" w:hAnsi="宋体" w:cs="宋体" w:eastAsia="宋体" w:hint="default"/>
                <w:sz w:val="18"/>
                <w:szCs w:val="18"/>
              </w:rPr>
            </w:pPr>
            <w:r>
              <w:rPr>
                <w:rFonts w:ascii="宋体" w:hAnsi="宋体" w:cs="宋体" w:eastAsia="宋体" w:hint="default"/>
                <w:sz w:val="18"/>
                <w:szCs w:val="18"/>
              </w:rPr>
              <w:t>郑州高新技 术产业开发 区财政国库 集中支付中 心</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56" w:right="55"/>
              <w:jc w:val="both"/>
              <w:rPr>
                <w:rFonts w:ascii="宋体" w:hAnsi="宋体" w:cs="宋体" w:eastAsia="宋体" w:hint="default"/>
                <w:sz w:val="18"/>
                <w:szCs w:val="18"/>
              </w:rPr>
            </w:pPr>
            <w:r>
              <w:rPr>
                <w:rFonts w:ascii="宋体" w:hAnsi="宋体" w:cs="宋体" w:eastAsia="宋体" w:hint="default"/>
                <w:sz w:val="18"/>
                <w:szCs w:val="18"/>
              </w:rPr>
              <w:t>因从事国家鼓励和 扶持特定行业、产 业而获得的补助</w:t>
            </w:r>
          </w:p>
          <w:p>
            <w:pPr>
              <w:pStyle w:val="TableParagraph"/>
              <w:spacing w:line="319" w:lineRule="auto" w:before="19"/>
              <w:ind w:left="236" w:right="55" w:hanging="180"/>
              <w:jc w:val="left"/>
              <w:rPr>
                <w:rFonts w:ascii="宋体" w:hAnsi="宋体" w:cs="宋体" w:eastAsia="宋体" w:hint="default"/>
                <w:sz w:val="18"/>
                <w:szCs w:val="18"/>
              </w:rPr>
            </w:pPr>
            <w:r>
              <w:rPr>
                <w:rFonts w:ascii="宋体" w:hAnsi="宋体" w:cs="宋体" w:eastAsia="宋体" w:hint="default"/>
                <w:sz w:val="18"/>
                <w:szCs w:val="18"/>
              </w:rPr>
              <w:t>（按国家级政策规 定依法取得）</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2" w:space="0" w:color="000000"/>
              <w:left w:val="single" w:sz="2" w:space="0" w:color="000000"/>
              <w:bottom w:val="single" w:sz="2" w:space="0" w:color="000000"/>
              <w:right w:val="single" w:sz="2" w:space="0" w:color="000000"/>
            </w:tcBorders>
          </w:tcPr>
          <w:p>
            <w:pP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 w:right="0"/>
              <w:jc w:val="center"/>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6"/>
              <w:ind w:left="2" w:right="0"/>
              <w:jc w:val="center"/>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7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5" w:hRule="exact"/>
        </w:trPr>
        <w:tc>
          <w:tcPr>
            <w:tcW w:w="1066"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郑州高新技</w:t>
            </w:r>
          </w:p>
        </w:tc>
        <w:tc>
          <w:tcPr>
            <w:tcW w:w="1062" w:type="dxa"/>
            <w:tcBorders>
              <w:top w:val="single" w:sz="2" w:space="0" w:color="000000"/>
              <w:left w:val="single" w:sz="2" w:space="0" w:color="000000"/>
              <w:bottom w:val="nil" w:sz="6" w:space="0" w:color="auto"/>
              <w:right w:val="single" w:sz="2" w:space="0" w:color="000000"/>
            </w:tcBorders>
          </w:tcPr>
          <w:p>
            <w:pPr/>
          </w:p>
        </w:tc>
        <w:tc>
          <w:tcPr>
            <w:tcW w:w="850" w:type="dxa"/>
            <w:tcBorders>
              <w:top w:val="single" w:sz="2" w:space="0" w:color="000000"/>
              <w:left w:val="single" w:sz="2" w:space="0" w:color="000000"/>
              <w:bottom w:val="nil" w:sz="6" w:space="0" w:color="auto"/>
              <w:right w:val="single" w:sz="2" w:space="0" w:color="000000"/>
            </w:tcBorders>
          </w:tcPr>
          <w:p>
            <w:pPr/>
          </w:p>
        </w:tc>
        <w:tc>
          <w:tcPr>
            <w:tcW w:w="1559" w:type="dxa"/>
            <w:tcBorders>
              <w:top w:val="single" w:sz="2" w:space="0" w:color="000000"/>
              <w:left w:val="single" w:sz="2" w:space="0" w:color="000000"/>
              <w:bottom w:val="nil" w:sz="6" w:space="0" w:color="auto"/>
              <w:right w:val="single" w:sz="2" w:space="0" w:color="000000"/>
            </w:tcBorders>
          </w:tcPr>
          <w:p>
            <w:pPr/>
          </w:p>
        </w:tc>
        <w:tc>
          <w:tcPr>
            <w:tcW w:w="1134" w:type="dxa"/>
            <w:tcBorders>
              <w:top w:val="single" w:sz="2" w:space="0" w:color="000000"/>
              <w:left w:val="single" w:sz="2" w:space="0" w:color="000000"/>
              <w:bottom w:val="nil" w:sz="6" w:space="0" w:color="auto"/>
              <w:right w:val="single" w:sz="2" w:space="0" w:color="000000"/>
            </w:tcBorders>
          </w:tcPr>
          <w:p>
            <w:pPr/>
          </w:p>
        </w:tc>
        <w:tc>
          <w:tcPr>
            <w:tcW w:w="994" w:type="dxa"/>
            <w:tcBorders>
              <w:top w:val="single" w:sz="2" w:space="0" w:color="000000"/>
              <w:left w:val="single" w:sz="2" w:space="0" w:color="000000"/>
              <w:bottom w:val="nil" w:sz="6" w:space="0" w:color="auto"/>
              <w:right w:val="single" w:sz="2" w:space="0" w:color="000000"/>
            </w:tcBorders>
          </w:tcPr>
          <w:p>
            <w:pPr/>
          </w:p>
        </w:tc>
        <w:tc>
          <w:tcPr>
            <w:tcW w:w="991" w:type="dxa"/>
            <w:vMerge w:val="restart"/>
            <w:tcBorders>
              <w:top w:val="single" w:sz="2" w:space="0" w:color="000000"/>
              <w:left w:val="single" w:sz="2" w:space="0" w:color="000000"/>
              <w:right w:val="single" w:sz="2" w:space="0" w:color="000000"/>
            </w:tcBorders>
          </w:tcPr>
          <w:p>
            <w:pPr/>
          </w:p>
        </w:tc>
        <w:tc>
          <w:tcPr>
            <w:tcW w:w="851" w:type="dxa"/>
            <w:tcBorders>
              <w:top w:val="single" w:sz="2" w:space="0" w:color="000000"/>
              <w:left w:val="single" w:sz="2" w:space="0" w:color="000000"/>
              <w:bottom w:val="nil" w:sz="6" w:space="0" w:color="auto"/>
              <w:right w:val="single" w:sz="2" w:space="0" w:color="000000"/>
            </w:tcBorders>
          </w:tcPr>
          <w:p>
            <w:pPr/>
          </w:p>
        </w:tc>
        <w:tc>
          <w:tcPr>
            <w:tcW w:w="1063" w:type="dxa"/>
            <w:tcBorders>
              <w:top w:val="single" w:sz="2" w:space="0" w:color="000000"/>
              <w:left w:val="single" w:sz="2" w:space="0" w:color="000000"/>
              <w:bottom w:val="nil" w:sz="6" w:space="0" w:color="auto"/>
              <w:right w:val="single" w:sz="2" w:space="0" w:color="000000"/>
            </w:tcBorders>
          </w:tcPr>
          <w:p>
            <w:pPr/>
          </w:p>
        </w:tc>
      </w:tr>
      <w:tr>
        <w:trPr>
          <w:trHeight w:val="1561" w:hRule="exact"/>
        </w:trPr>
        <w:tc>
          <w:tcPr>
            <w:tcW w:w="1066" w:type="dxa"/>
            <w:tcBorders>
              <w:top w:val="nil" w:sz="6" w:space="0" w:color="auto"/>
              <w:left w:val="single" w:sz="2" w:space="0" w:color="000000"/>
              <w:bottom w:val="nil" w:sz="6" w:space="0" w:color="auto"/>
              <w:right w:val="single" w:sz="2" w:space="0" w:color="000000"/>
            </w:tcBorders>
          </w:tcPr>
          <w:p>
            <w:pPr>
              <w:pStyle w:val="TableParagraph"/>
              <w:spacing w:line="314" w:lineRule="auto" w:before="10"/>
              <w:ind w:left="34" w:right="35" w:firstLine="44"/>
              <w:jc w:val="both"/>
              <w:rPr>
                <w:rFonts w:ascii="宋体" w:hAnsi="宋体" w:cs="宋体" w:eastAsia="宋体" w:hint="default"/>
                <w:sz w:val="18"/>
                <w:szCs w:val="18"/>
              </w:rPr>
            </w:pPr>
            <w:r>
              <w:rPr>
                <w:rFonts w:ascii="宋体" w:hAnsi="宋体" w:cs="宋体" w:eastAsia="宋体" w:hint="default"/>
                <w:sz w:val="18"/>
                <w:szCs w:val="18"/>
              </w:rPr>
              <w:t>术产业开发 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市科 技服务后补 助大型仪器 设施共享使</w:t>
            </w:r>
          </w:p>
        </w:tc>
        <w:tc>
          <w:tcPr>
            <w:tcW w:w="1062" w:type="dxa"/>
            <w:tcBorders>
              <w:top w:val="nil" w:sz="6" w:space="0" w:color="auto"/>
              <w:left w:val="single" w:sz="2" w:space="0" w:color="000000"/>
              <w:bottom w:val="nil" w:sz="6" w:space="0" w:color="auto"/>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77" w:right="77"/>
              <w:jc w:val="both"/>
              <w:rPr>
                <w:rFonts w:ascii="宋体" w:hAnsi="宋体" w:cs="宋体" w:eastAsia="宋体" w:hint="default"/>
                <w:sz w:val="18"/>
                <w:szCs w:val="18"/>
              </w:rPr>
            </w:pPr>
            <w:r>
              <w:rPr>
                <w:rFonts w:ascii="宋体" w:hAnsi="宋体" w:cs="宋体" w:eastAsia="宋体" w:hint="default"/>
                <w:sz w:val="18"/>
                <w:szCs w:val="18"/>
              </w:rPr>
              <w:t>郑州高新技 术产业开发 区管委会财 政金融局</w:t>
            </w:r>
          </w:p>
        </w:tc>
        <w:tc>
          <w:tcPr>
            <w:tcW w:w="850" w:type="dxa"/>
            <w:tcBorders>
              <w:top w:val="nil" w:sz="6" w:space="0" w:color="auto"/>
              <w:left w:val="single" w:sz="2" w:space="0" w:color="000000"/>
              <w:bottom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559" w:type="dxa"/>
            <w:tcBorders>
              <w:top w:val="nil" w:sz="6" w:space="0" w:color="auto"/>
              <w:left w:val="single" w:sz="2" w:space="0" w:color="000000"/>
              <w:bottom w:val="nil" w:sz="6" w:space="0" w:color="auto"/>
              <w:right w:val="single" w:sz="2" w:space="0" w:color="000000"/>
            </w:tcBorders>
          </w:tcPr>
          <w:p>
            <w:pPr>
              <w:pStyle w:val="TableParagraph"/>
              <w:spacing w:line="316" w:lineRule="auto" w:before="11"/>
              <w:ind w:left="56" w:right="55"/>
              <w:jc w:val="both"/>
              <w:rPr>
                <w:rFonts w:ascii="宋体" w:hAnsi="宋体" w:cs="宋体" w:eastAsia="宋体" w:hint="default"/>
                <w:sz w:val="18"/>
                <w:szCs w:val="18"/>
              </w:rPr>
            </w:pPr>
            <w:r>
              <w:rPr>
                <w:rFonts w:ascii="宋体" w:hAnsi="宋体" w:cs="宋体" w:eastAsia="宋体" w:hint="default"/>
                <w:sz w:val="18"/>
                <w:szCs w:val="18"/>
              </w:rPr>
              <w:t>因从事国家鼓励和 扶持特定行业、产 业而获得的补助</w:t>
            </w:r>
          </w:p>
          <w:p>
            <w:pPr>
              <w:pStyle w:val="TableParagraph"/>
              <w:spacing w:line="319" w:lineRule="auto" w:before="19"/>
              <w:ind w:left="236" w:right="55" w:hanging="180"/>
              <w:jc w:val="left"/>
              <w:rPr>
                <w:rFonts w:ascii="宋体" w:hAnsi="宋体" w:cs="宋体" w:eastAsia="宋体" w:hint="default"/>
                <w:sz w:val="18"/>
                <w:szCs w:val="18"/>
              </w:rPr>
            </w:pPr>
            <w:r>
              <w:rPr>
                <w:rFonts w:ascii="宋体" w:hAnsi="宋体" w:cs="宋体" w:eastAsia="宋体" w:hint="default"/>
                <w:sz w:val="18"/>
                <w:szCs w:val="18"/>
              </w:rPr>
              <w:t>（按国家级政策规 定依法取得）</w:t>
            </w:r>
          </w:p>
        </w:tc>
        <w:tc>
          <w:tcPr>
            <w:tcW w:w="1134" w:type="dxa"/>
            <w:tcBorders>
              <w:top w:val="nil" w:sz="6" w:space="0" w:color="auto"/>
              <w:left w:val="single" w:sz="2" w:space="0" w:color="000000"/>
              <w:bottom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nil" w:sz="6" w:space="0" w:color="auto"/>
              <w:left w:val="single" w:sz="2" w:space="0" w:color="000000"/>
              <w:bottom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1" w:type="dxa"/>
            <w:vMerge/>
            <w:tcBorders>
              <w:left w:val="single" w:sz="2" w:space="0" w:color="000000"/>
              <w:right w:val="single" w:sz="2" w:space="0" w:color="000000"/>
            </w:tcBorders>
          </w:tcPr>
          <w:p>
            <w:pPr/>
          </w:p>
        </w:tc>
        <w:tc>
          <w:tcPr>
            <w:tcW w:w="851" w:type="dxa"/>
            <w:tcBorders>
              <w:top w:val="nil" w:sz="6" w:space="0" w:color="auto"/>
              <w:left w:val="single" w:sz="2" w:space="0" w:color="000000"/>
              <w:bottom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129,100.0</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0</w:t>
            </w:r>
          </w:p>
        </w:tc>
        <w:tc>
          <w:tcPr>
            <w:tcW w:w="1063" w:type="dxa"/>
            <w:tcBorders>
              <w:top w:val="nil" w:sz="6" w:space="0" w:color="auto"/>
              <w:left w:val="single" w:sz="2" w:space="0" w:color="000000"/>
              <w:bottom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7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4" w:hRule="exact"/>
        </w:trPr>
        <w:tc>
          <w:tcPr>
            <w:tcW w:w="1066"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0"/>
              <w:ind w:left="259" w:right="0"/>
              <w:jc w:val="left"/>
              <w:rPr>
                <w:rFonts w:ascii="宋体" w:hAnsi="宋体" w:cs="宋体" w:eastAsia="宋体" w:hint="default"/>
                <w:sz w:val="18"/>
                <w:szCs w:val="18"/>
              </w:rPr>
            </w:pPr>
            <w:r>
              <w:rPr>
                <w:rFonts w:ascii="宋体" w:hAnsi="宋体" w:cs="宋体" w:eastAsia="宋体" w:hint="default"/>
                <w:sz w:val="18"/>
                <w:szCs w:val="18"/>
              </w:rPr>
              <w:t>用奖励</w:t>
            </w:r>
          </w:p>
        </w:tc>
        <w:tc>
          <w:tcPr>
            <w:tcW w:w="1062" w:type="dxa"/>
            <w:tcBorders>
              <w:top w:val="nil" w:sz="6" w:space="0" w:color="auto"/>
              <w:left w:val="single" w:sz="2" w:space="0" w:color="000000"/>
              <w:bottom w:val="single" w:sz="2" w:space="0" w:color="000000"/>
              <w:right w:val="single" w:sz="2" w:space="0" w:color="000000"/>
            </w:tcBorders>
          </w:tcPr>
          <w:p>
            <w:pPr/>
          </w:p>
        </w:tc>
        <w:tc>
          <w:tcPr>
            <w:tcW w:w="850" w:type="dxa"/>
            <w:tcBorders>
              <w:top w:val="nil" w:sz="6" w:space="0" w:color="auto"/>
              <w:left w:val="single" w:sz="2" w:space="0" w:color="000000"/>
              <w:bottom w:val="single" w:sz="2" w:space="0" w:color="000000"/>
              <w:right w:val="single" w:sz="2" w:space="0" w:color="000000"/>
            </w:tcBorders>
          </w:tcPr>
          <w:p>
            <w:pPr/>
          </w:p>
        </w:tc>
        <w:tc>
          <w:tcPr>
            <w:tcW w:w="1559" w:type="dxa"/>
            <w:tcBorders>
              <w:top w:val="nil" w:sz="6" w:space="0" w:color="auto"/>
              <w:left w:val="single" w:sz="2" w:space="0" w:color="000000"/>
              <w:bottom w:val="single" w:sz="2" w:space="0" w:color="000000"/>
              <w:right w:val="single" w:sz="2" w:space="0" w:color="000000"/>
            </w:tcBorders>
          </w:tcPr>
          <w:p>
            <w:pPr/>
          </w:p>
        </w:tc>
        <w:tc>
          <w:tcPr>
            <w:tcW w:w="1134" w:type="dxa"/>
            <w:tcBorders>
              <w:top w:val="nil" w:sz="6" w:space="0" w:color="auto"/>
              <w:left w:val="single" w:sz="2" w:space="0" w:color="000000"/>
              <w:bottom w:val="single" w:sz="2" w:space="0" w:color="000000"/>
              <w:right w:val="single" w:sz="2" w:space="0" w:color="000000"/>
            </w:tcBorders>
          </w:tcPr>
          <w:p>
            <w:pPr/>
          </w:p>
        </w:tc>
        <w:tc>
          <w:tcPr>
            <w:tcW w:w="994" w:type="dxa"/>
            <w:tcBorders>
              <w:top w:val="nil" w:sz="6" w:space="0" w:color="auto"/>
              <w:left w:val="single" w:sz="2" w:space="0" w:color="000000"/>
              <w:bottom w:val="single" w:sz="2" w:space="0" w:color="000000"/>
              <w:right w:val="single" w:sz="2" w:space="0" w:color="000000"/>
            </w:tcBorders>
          </w:tcPr>
          <w:p>
            <w:pPr/>
          </w:p>
        </w:tc>
        <w:tc>
          <w:tcPr>
            <w:tcW w:w="991" w:type="dxa"/>
            <w:vMerge/>
            <w:tcBorders>
              <w:left w:val="single" w:sz="2" w:space="0" w:color="000000"/>
              <w:bottom w:val="single" w:sz="2" w:space="0" w:color="000000"/>
              <w:right w:val="single" w:sz="2" w:space="0" w:color="000000"/>
            </w:tcBorders>
          </w:tcPr>
          <w:p>
            <w:pPr/>
          </w:p>
        </w:tc>
        <w:tc>
          <w:tcPr>
            <w:tcW w:w="851" w:type="dxa"/>
            <w:tcBorders>
              <w:top w:val="nil" w:sz="6" w:space="0" w:color="auto"/>
              <w:left w:val="single" w:sz="2" w:space="0" w:color="000000"/>
              <w:bottom w:val="single" w:sz="2" w:space="0" w:color="000000"/>
              <w:right w:val="single" w:sz="2" w:space="0" w:color="000000"/>
            </w:tcBorders>
          </w:tcPr>
          <w:p>
            <w:pPr/>
          </w:p>
        </w:tc>
        <w:tc>
          <w:tcPr>
            <w:tcW w:w="1063" w:type="dxa"/>
            <w:tcBorders>
              <w:top w:val="nil" w:sz="6" w:space="0" w:color="auto"/>
              <w:left w:val="single" w:sz="2" w:space="0" w:color="000000"/>
              <w:bottom w:val="single" w:sz="2" w:space="0" w:color="000000"/>
              <w:right w:val="single" w:sz="2" w:space="0" w:color="000000"/>
            </w:tcBorders>
          </w:tcPr>
          <w:p>
            <w:pPr/>
          </w:p>
        </w:tc>
      </w:tr>
    </w:tbl>
    <w:p>
      <w:pPr>
        <w:spacing w:after="0"/>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51" w:type="dxa"/>
        <w:tblLayout w:type="fixed"/>
        <w:tblCellMar>
          <w:top w:w="0" w:type="dxa"/>
          <w:left w:w="0" w:type="dxa"/>
          <w:bottom w:w="0" w:type="dxa"/>
          <w:right w:w="0" w:type="dxa"/>
        </w:tblCellMar>
        <w:tblLook w:val="01E0"/>
      </w:tblPr>
      <w:tblGrid>
        <w:gridCol w:w="1066"/>
        <w:gridCol w:w="1062"/>
        <w:gridCol w:w="850"/>
        <w:gridCol w:w="1559"/>
        <w:gridCol w:w="1134"/>
        <w:gridCol w:w="994"/>
        <w:gridCol w:w="991"/>
        <w:gridCol w:w="851"/>
        <w:gridCol w:w="1063"/>
      </w:tblGrid>
      <w:tr>
        <w:trPr>
          <w:trHeight w:val="1957" w:hRule="exact"/>
        </w:trPr>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79" w:right="79"/>
              <w:jc w:val="both"/>
              <w:rPr>
                <w:rFonts w:ascii="宋体" w:hAnsi="宋体" w:cs="宋体" w:eastAsia="宋体" w:hint="default"/>
                <w:sz w:val="18"/>
                <w:szCs w:val="18"/>
              </w:rPr>
            </w:pPr>
            <w:r>
              <w:rPr>
                <w:rFonts w:ascii="宋体" w:hAnsi="宋体" w:cs="宋体" w:eastAsia="宋体" w:hint="default"/>
                <w:sz w:val="18"/>
                <w:szCs w:val="18"/>
              </w:rPr>
              <w:t>郑州高新技 术产业开发 区管理委员 会财政局中 小企业发展 专项奖励</w:t>
            </w:r>
          </w:p>
        </w:tc>
        <w:tc>
          <w:tcPr>
            <w:tcW w:w="10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77" w:right="77"/>
              <w:jc w:val="center"/>
              <w:rPr>
                <w:rFonts w:ascii="宋体" w:hAnsi="宋体" w:cs="宋体" w:eastAsia="宋体" w:hint="default"/>
                <w:sz w:val="18"/>
                <w:szCs w:val="18"/>
              </w:rPr>
            </w:pPr>
            <w:r>
              <w:rPr>
                <w:rFonts w:ascii="宋体" w:hAnsi="宋体" w:cs="宋体" w:eastAsia="宋体" w:hint="default"/>
                <w:sz w:val="18"/>
                <w:szCs w:val="18"/>
              </w:rPr>
              <w:t>郑州高新技 术产业开发 区财政国库 集中支付中 心</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56" w:right="55"/>
              <w:jc w:val="both"/>
              <w:rPr>
                <w:rFonts w:ascii="宋体" w:hAnsi="宋体" w:cs="宋体" w:eastAsia="宋体" w:hint="default"/>
                <w:sz w:val="18"/>
                <w:szCs w:val="18"/>
              </w:rPr>
            </w:pPr>
            <w:r>
              <w:rPr>
                <w:rFonts w:ascii="宋体" w:hAnsi="宋体" w:cs="宋体" w:eastAsia="宋体" w:hint="default"/>
                <w:sz w:val="18"/>
                <w:szCs w:val="18"/>
              </w:rPr>
              <w:t>因从事国家鼓励和 扶持特定行业、产 业而获得的补助</w:t>
            </w:r>
          </w:p>
          <w:p>
            <w:pPr>
              <w:pStyle w:val="TableParagraph"/>
              <w:spacing w:line="319" w:lineRule="auto" w:before="19"/>
              <w:ind w:left="236" w:right="55" w:hanging="180"/>
              <w:jc w:val="left"/>
              <w:rPr>
                <w:rFonts w:ascii="宋体" w:hAnsi="宋体" w:cs="宋体" w:eastAsia="宋体" w:hint="default"/>
                <w:sz w:val="18"/>
                <w:szCs w:val="18"/>
              </w:rPr>
            </w:pPr>
            <w:r>
              <w:rPr>
                <w:rFonts w:ascii="宋体" w:hAnsi="宋体" w:cs="宋体" w:eastAsia="宋体" w:hint="default"/>
                <w:sz w:val="18"/>
                <w:szCs w:val="18"/>
              </w:rPr>
              <w:t>（按国家级政策规 定依法取得）</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2" w:space="0" w:color="000000"/>
              <w:left w:val="single" w:sz="2" w:space="0" w:color="000000"/>
              <w:bottom w:val="single" w:sz="2" w:space="0" w:color="000000"/>
              <w:right w:val="single" w:sz="2" w:space="0" w:color="000000"/>
            </w:tcBorders>
          </w:tcPr>
          <w:p>
            <w:pP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5" w:hRule="exact"/>
        </w:trPr>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57" w:right="56" w:hanging="2"/>
              <w:jc w:val="center"/>
              <w:rPr>
                <w:rFonts w:ascii="宋体" w:hAnsi="宋体" w:cs="宋体" w:eastAsia="宋体" w:hint="default"/>
                <w:sz w:val="18"/>
                <w:szCs w:val="18"/>
              </w:rPr>
            </w:pPr>
            <w:r>
              <w:rPr>
                <w:rFonts w:ascii="宋体" w:hAnsi="宋体" w:cs="宋体" w:eastAsia="宋体" w:hint="default"/>
                <w:sz w:val="18"/>
                <w:szCs w:val="18"/>
              </w:rPr>
              <w:t>郑州高新区 管委会付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年高成 长奖励</w:t>
            </w:r>
          </w:p>
        </w:tc>
        <w:tc>
          <w:tcPr>
            <w:tcW w:w="1062"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77" w:right="77"/>
              <w:jc w:val="center"/>
              <w:rPr>
                <w:rFonts w:ascii="宋体" w:hAnsi="宋体" w:cs="宋体" w:eastAsia="宋体" w:hint="default"/>
                <w:sz w:val="18"/>
                <w:szCs w:val="18"/>
              </w:rPr>
            </w:pPr>
            <w:r>
              <w:rPr>
                <w:rFonts w:ascii="宋体" w:hAnsi="宋体" w:cs="宋体" w:eastAsia="宋体" w:hint="default"/>
                <w:sz w:val="18"/>
                <w:szCs w:val="18"/>
              </w:rPr>
              <w:t>郑州高新技 术产业开发 区财政国库 集中支付中 心</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56" w:right="55"/>
              <w:jc w:val="both"/>
              <w:rPr>
                <w:rFonts w:ascii="宋体" w:hAnsi="宋体" w:cs="宋体" w:eastAsia="宋体" w:hint="default"/>
                <w:sz w:val="18"/>
                <w:szCs w:val="18"/>
              </w:rPr>
            </w:pPr>
            <w:r>
              <w:rPr>
                <w:rFonts w:ascii="宋体" w:hAnsi="宋体" w:cs="宋体" w:eastAsia="宋体" w:hint="default"/>
                <w:sz w:val="18"/>
                <w:szCs w:val="18"/>
              </w:rPr>
              <w:t>因从事国家鼓励和 扶持特定行业、产 业而获得的补助</w:t>
            </w:r>
          </w:p>
          <w:p>
            <w:pPr>
              <w:pStyle w:val="TableParagraph"/>
              <w:spacing w:line="319" w:lineRule="auto" w:before="19"/>
              <w:ind w:left="236" w:right="55" w:hanging="180"/>
              <w:jc w:val="left"/>
              <w:rPr>
                <w:rFonts w:ascii="宋体" w:hAnsi="宋体" w:cs="宋体" w:eastAsia="宋体" w:hint="default"/>
                <w:sz w:val="18"/>
                <w:szCs w:val="18"/>
              </w:rPr>
            </w:pPr>
            <w:r>
              <w:rPr>
                <w:rFonts w:ascii="宋体" w:hAnsi="宋体" w:cs="宋体" w:eastAsia="宋体" w:hint="default"/>
                <w:sz w:val="18"/>
                <w:szCs w:val="18"/>
              </w:rPr>
              <w:t>（按国家级政策规 定依法取得）</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2" w:space="0" w:color="000000"/>
              <w:left w:val="single" w:sz="2" w:space="0" w:color="000000"/>
              <w:bottom w:val="single" w:sz="2" w:space="0" w:color="000000"/>
              <w:right w:val="single" w:sz="2" w:space="0" w:color="000000"/>
            </w:tcBorders>
          </w:tcPr>
          <w:p>
            <w:pP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 w:right="0"/>
              <w:jc w:val="center"/>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4" w:hRule="exact"/>
        </w:trPr>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59" w:right="79" w:hanging="180"/>
              <w:jc w:val="left"/>
              <w:rPr>
                <w:rFonts w:ascii="宋体" w:hAnsi="宋体" w:cs="宋体" w:eastAsia="宋体" w:hint="default"/>
                <w:sz w:val="18"/>
                <w:szCs w:val="18"/>
              </w:rPr>
            </w:pPr>
            <w:r>
              <w:rPr>
                <w:rFonts w:ascii="宋体" w:hAnsi="宋体" w:cs="宋体" w:eastAsia="宋体" w:hint="default"/>
                <w:sz w:val="18"/>
                <w:szCs w:val="18"/>
              </w:rPr>
              <w:t>社区财政高 新奖励</w:t>
            </w:r>
          </w:p>
        </w:tc>
        <w:tc>
          <w:tcPr>
            <w:tcW w:w="10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67" w:right="77" w:hanging="90"/>
              <w:jc w:val="left"/>
              <w:rPr>
                <w:rFonts w:ascii="宋体" w:hAnsi="宋体" w:cs="宋体" w:eastAsia="宋体" w:hint="default"/>
                <w:sz w:val="18"/>
                <w:szCs w:val="18"/>
              </w:rPr>
            </w:pPr>
            <w:r>
              <w:rPr>
                <w:rFonts w:ascii="宋体" w:hAnsi="宋体" w:cs="宋体" w:eastAsia="宋体" w:hint="default"/>
                <w:sz w:val="18"/>
                <w:szCs w:val="18"/>
              </w:rPr>
              <w:t>上海市长宁 区财政局</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56" w:right="55"/>
              <w:jc w:val="both"/>
              <w:rPr>
                <w:rFonts w:ascii="宋体" w:hAnsi="宋体" w:cs="宋体" w:eastAsia="宋体" w:hint="default"/>
                <w:sz w:val="18"/>
                <w:szCs w:val="18"/>
              </w:rPr>
            </w:pPr>
            <w:r>
              <w:rPr>
                <w:rFonts w:ascii="宋体" w:hAnsi="宋体" w:cs="宋体" w:eastAsia="宋体" w:hint="default"/>
                <w:sz w:val="18"/>
                <w:szCs w:val="18"/>
              </w:rPr>
              <w:t>因从事国家鼓励和 扶持特定行业、产 业而获得的补助</w:t>
            </w:r>
          </w:p>
          <w:p>
            <w:pPr>
              <w:pStyle w:val="TableParagraph"/>
              <w:spacing w:line="319" w:lineRule="auto" w:before="19"/>
              <w:ind w:left="236" w:right="55" w:hanging="180"/>
              <w:jc w:val="left"/>
              <w:rPr>
                <w:rFonts w:ascii="宋体" w:hAnsi="宋体" w:cs="宋体" w:eastAsia="宋体" w:hint="default"/>
                <w:sz w:val="18"/>
                <w:szCs w:val="18"/>
              </w:rPr>
            </w:pPr>
            <w:r>
              <w:rPr>
                <w:rFonts w:ascii="宋体" w:hAnsi="宋体" w:cs="宋体" w:eastAsia="宋体" w:hint="default"/>
                <w:sz w:val="18"/>
                <w:szCs w:val="18"/>
              </w:rPr>
              <w:t>（按国家级政策规 定依法取得）</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2" w:space="0" w:color="000000"/>
              <w:left w:val="single" w:sz="2" w:space="0" w:color="000000"/>
              <w:bottom w:val="single" w:sz="2" w:space="0" w:color="000000"/>
              <w:right w:val="single" w:sz="2" w:space="0" w:color="000000"/>
            </w:tcBorders>
          </w:tcPr>
          <w:p>
            <w:pP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 w:right="0"/>
              <w:jc w:val="center"/>
              <w:rPr>
                <w:rFonts w:ascii="Times New Roman" w:hAnsi="Times New Roman" w:cs="Times New Roman" w:eastAsia="Times New Roman" w:hint="default"/>
                <w:sz w:val="18"/>
                <w:szCs w:val="18"/>
              </w:rPr>
            </w:pPr>
            <w:r>
              <w:rPr>
                <w:rFonts w:ascii="Times New Roman"/>
                <w:sz w:val="18"/>
              </w:rPr>
              <w:t>660,000.0</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5" w:hRule="exact"/>
        </w:trPr>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2" w:lineRule="auto"/>
              <w:ind w:left="34" w:right="35" w:firstLine="44"/>
              <w:jc w:val="both"/>
              <w:rPr>
                <w:rFonts w:ascii="宋体" w:hAnsi="宋体" w:cs="宋体" w:eastAsia="宋体" w:hint="default"/>
                <w:sz w:val="18"/>
                <w:szCs w:val="18"/>
              </w:rPr>
            </w:pPr>
            <w:r>
              <w:rPr>
                <w:rFonts w:ascii="宋体" w:hAnsi="宋体" w:cs="宋体" w:eastAsia="宋体" w:hint="default"/>
                <w:sz w:val="18"/>
                <w:szCs w:val="18"/>
              </w:rPr>
              <w:t>郑州高新技 术产业开发 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省研 究开发补助</w:t>
            </w:r>
          </w:p>
        </w:tc>
        <w:tc>
          <w:tcPr>
            <w:tcW w:w="10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77" w:right="77"/>
              <w:jc w:val="both"/>
              <w:rPr>
                <w:rFonts w:ascii="宋体" w:hAnsi="宋体" w:cs="宋体" w:eastAsia="宋体" w:hint="default"/>
                <w:sz w:val="18"/>
                <w:szCs w:val="18"/>
              </w:rPr>
            </w:pPr>
            <w:r>
              <w:rPr>
                <w:rFonts w:ascii="宋体" w:hAnsi="宋体" w:cs="宋体" w:eastAsia="宋体" w:hint="default"/>
                <w:sz w:val="18"/>
                <w:szCs w:val="18"/>
              </w:rPr>
              <w:t>郑州高新技 术产业开发 区管委会财 政金融局</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2"/>
              <w:ind w:left="56" w:right="55"/>
              <w:jc w:val="both"/>
              <w:rPr>
                <w:rFonts w:ascii="宋体" w:hAnsi="宋体" w:cs="宋体" w:eastAsia="宋体" w:hint="default"/>
                <w:sz w:val="18"/>
                <w:szCs w:val="18"/>
              </w:rPr>
            </w:pPr>
            <w:r>
              <w:rPr>
                <w:rFonts w:ascii="宋体" w:hAnsi="宋体" w:cs="宋体" w:eastAsia="宋体" w:hint="default"/>
                <w:sz w:val="18"/>
                <w:szCs w:val="18"/>
              </w:rPr>
              <w:t>因从事国家鼓励和 扶持特定行业、产 业而获得的补助</w:t>
            </w:r>
          </w:p>
          <w:p>
            <w:pPr>
              <w:pStyle w:val="TableParagraph"/>
              <w:spacing w:line="319" w:lineRule="auto" w:before="19"/>
              <w:ind w:left="236" w:right="55" w:hanging="180"/>
              <w:jc w:val="left"/>
              <w:rPr>
                <w:rFonts w:ascii="宋体" w:hAnsi="宋体" w:cs="宋体" w:eastAsia="宋体" w:hint="default"/>
                <w:sz w:val="18"/>
                <w:szCs w:val="18"/>
              </w:rPr>
            </w:pPr>
            <w:r>
              <w:rPr>
                <w:rFonts w:ascii="宋体" w:hAnsi="宋体" w:cs="宋体" w:eastAsia="宋体" w:hint="default"/>
                <w:sz w:val="18"/>
                <w:szCs w:val="18"/>
              </w:rPr>
              <w:t>（按国家级政策规 定依法取得）</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2" w:space="0" w:color="000000"/>
              <w:left w:val="single" w:sz="2" w:space="0" w:color="000000"/>
              <w:bottom w:val="single" w:sz="2" w:space="0" w:color="000000"/>
              <w:right w:val="single" w:sz="2" w:space="0" w:color="000000"/>
            </w:tcBorders>
          </w:tcPr>
          <w:p>
            <w:pP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 w:right="0"/>
              <w:jc w:val="center"/>
              <w:rPr>
                <w:rFonts w:ascii="Times New Roman" w:hAnsi="Times New Roman" w:cs="Times New Roman" w:eastAsia="Times New Roman" w:hint="default"/>
                <w:sz w:val="18"/>
                <w:szCs w:val="18"/>
              </w:rPr>
            </w:pPr>
            <w:r>
              <w:rPr>
                <w:rFonts w:ascii="Times New Roman"/>
                <w:sz w:val="18"/>
              </w:rPr>
              <w:t>1,370,000.</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09" w:hRule="exact"/>
        </w:trPr>
        <w:tc>
          <w:tcPr>
            <w:tcW w:w="6664" w:type="dxa"/>
            <w:gridSpan w:val="6"/>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50,000.00</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3,101,100.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13"/>
        <w:jc w:val="left"/>
        <w:rPr>
          <w:b w:val="0"/>
          <w:bCs w:val="0"/>
        </w:rPr>
      </w:pPr>
      <w:r>
        <w:rPr>
          <w:rFonts w:ascii="Times New Roman" w:hAnsi="Times New Roman" w:cs="Times New Roman" w:eastAsia="Times New Roman" w:hint="default"/>
        </w:rPr>
        <w:t>50</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2389"/>
        <w:gridCol w:w="2395"/>
        <w:gridCol w:w="2392"/>
        <w:gridCol w:w="2392"/>
      </w:tblGrid>
      <w:tr>
        <w:trPr>
          <w:trHeight w:val="709" w:hRule="exact"/>
        </w:trPr>
        <w:tc>
          <w:tcPr>
            <w:tcW w:w="2389"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1102" w:right="113"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6" w:hRule="exact"/>
        </w:trPr>
        <w:tc>
          <w:tcPr>
            <w:tcW w:w="2389"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510,000.00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780,000.00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510,000.00</w:t>
            </w:r>
          </w:p>
        </w:tc>
      </w:tr>
      <w:tr>
        <w:trPr>
          <w:trHeight w:val="397" w:hRule="exact"/>
        </w:trPr>
        <w:tc>
          <w:tcPr>
            <w:tcW w:w="23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41,155.29</w:t>
            </w:r>
          </w:p>
        </w:tc>
        <w:tc>
          <w:tcPr>
            <w:tcW w:w="2392" w:type="dxa"/>
            <w:tcBorders>
              <w:top w:val="single" w:sz="2" w:space="0" w:color="000000"/>
              <w:left w:val="single" w:sz="2" w:space="0" w:color="000000"/>
              <w:bottom w:val="single" w:sz="2" w:space="0" w:color="000000"/>
              <w:right w:val="single" w:sz="2" w:space="0" w:color="000000"/>
            </w:tcBorders>
          </w:tcPr>
          <w:p>
            <w:pP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41,155.29</w:t>
            </w:r>
          </w:p>
        </w:tc>
      </w:tr>
      <w:tr>
        <w:trPr>
          <w:trHeight w:val="397" w:hRule="exact"/>
        </w:trPr>
        <w:tc>
          <w:tcPr>
            <w:tcW w:w="23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654,961.57</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233,307.56</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654,961.57</w:t>
            </w:r>
          </w:p>
        </w:tc>
      </w:tr>
      <w:tr>
        <w:trPr>
          <w:trHeight w:val="397" w:hRule="exact"/>
        </w:trPr>
        <w:tc>
          <w:tcPr>
            <w:tcW w:w="2389"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1,206,116.86</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1,013,307.56</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1,206,116.86</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51</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1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3187"/>
        <w:gridCol w:w="3193"/>
        <w:gridCol w:w="3188"/>
      </w:tblGrid>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23,179,537.01</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14,451,184.75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51" w:type="dxa"/>
        <w:tblLayout w:type="fixed"/>
        <w:tblCellMar>
          <w:top w:w="0" w:type="dxa"/>
          <w:left w:w="0" w:type="dxa"/>
          <w:bottom w:w="0" w:type="dxa"/>
          <w:right w:w="0" w:type="dxa"/>
        </w:tblCellMar>
        <w:tblLook w:val="01E0"/>
      </w:tblPr>
      <w:tblGrid>
        <w:gridCol w:w="3187"/>
        <w:gridCol w:w="3193"/>
        <w:gridCol w:w="3188"/>
      </w:tblGrid>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-2,956,565.46</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-2,460,697.64</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20,222,971.55</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11,990,487.11</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51" w:type="dxa"/>
        <w:tblLayout w:type="fixed"/>
        <w:tblCellMar>
          <w:top w:w="0" w:type="dxa"/>
          <w:left w:w="0" w:type="dxa"/>
          <w:bottom w:w="0" w:type="dxa"/>
          <w:right w:w="0" w:type="dxa"/>
        </w:tblCellMar>
        <w:tblLook w:val="01E0"/>
      </w:tblPr>
      <w:tblGrid>
        <w:gridCol w:w="4780"/>
        <w:gridCol w:w="4788"/>
      </w:tblGrid>
      <w:tr>
        <w:trPr>
          <w:trHeight w:val="397" w:hRule="exact"/>
        </w:trPr>
        <w:tc>
          <w:tcPr>
            <w:tcW w:w="478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397" w:hRule="exact"/>
        </w:trPr>
        <w:tc>
          <w:tcPr>
            <w:tcW w:w="478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178,191,104.66</w:t>
            </w:r>
          </w:p>
        </w:tc>
      </w:tr>
      <w:tr>
        <w:trPr>
          <w:trHeight w:val="397" w:hRule="exact"/>
        </w:trPr>
        <w:tc>
          <w:tcPr>
            <w:tcW w:w="478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26,728,665.70</w:t>
            </w:r>
          </w:p>
        </w:tc>
      </w:tr>
      <w:tr>
        <w:trPr>
          <w:trHeight w:val="397" w:hRule="exact"/>
        </w:trPr>
        <w:tc>
          <w:tcPr>
            <w:tcW w:w="478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-1,913,161.06</w:t>
            </w:r>
          </w:p>
        </w:tc>
      </w:tr>
      <w:tr>
        <w:trPr>
          <w:trHeight w:val="396" w:hRule="exact"/>
        </w:trPr>
        <w:tc>
          <w:tcPr>
            <w:tcW w:w="478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-5,035,409.90</w:t>
            </w:r>
          </w:p>
        </w:tc>
      </w:tr>
      <w:tr>
        <w:trPr>
          <w:trHeight w:val="397" w:hRule="exact"/>
        </w:trPr>
        <w:tc>
          <w:tcPr>
            <w:tcW w:w="478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7,623,460.42</w:t>
            </w:r>
          </w:p>
        </w:tc>
      </w:tr>
      <w:tr>
        <w:trPr>
          <w:trHeight w:val="397" w:hRule="exact"/>
        </w:trPr>
        <w:tc>
          <w:tcPr>
            <w:tcW w:w="47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税法规定加计扣除研发费用</w:t>
            </w:r>
          </w:p>
        </w:tc>
        <w:tc>
          <w:tcPr>
            <w:tcW w:w="4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-7,180,583.61</w:t>
            </w:r>
          </w:p>
        </w:tc>
      </w:tr>
      <w:tr>
        <w:trPr>
          <w:trHeight w:val="397" w:hRule="exact"/>
        </w:trPr>
        <w:tc>
          <w:tcPr>
            <w:tcW w:w="478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20,222,971.55</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52</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3187"/>
        <w:gridCol w:w="3193"/>
        <w:gridCol w:w="3188"/>
      </w:tblGrid>
      <w:tr>
        <w:trPr>
          <w:trHeight w:val="396"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5,934,976.98</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2,610,946.83</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租金收入</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4,179,700.00</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4,064,000.00</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23,789,593.72</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4,695,155.19</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977,290.02</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662,023.69</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34,881,560.72</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12,032,125.71</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51" w:type="dxa"/>
        <w:tblLayout w:type="fixed"/>
        <w:tblCellMar>
          <w:top w:w="0" w:type="dxa"/>
          <w:left w:w="0" w:type="dxa"/>
          <w:bottom w:w="0" w:type="dxa"/>
          <w:right w:w="0" w:type="dxa"/>
        </w:tblCellMar>
        <w:tblLook w:val="01E0"/>
      </w:tblPr>
      <w:tblGrid>
        <w:gridCol w:w="3187"/>
        <w:gridCol w:w="3193"/>
        <w:gridCol w:w="3188"/>
      </w:tblGrid>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30,035,358.68</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27,292,122.88</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21,362,480.24</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19,883,425.47</w:t>
            </w:r>
          </w:p>
        </w:tc>
      </w:tr>
      <w:tr>
        <w:trPr>
          <w:trHeight w:val="396"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17,311,733.88</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15,797,072.19</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49,571,764.36</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54,745,534.91</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7,504,334.05</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7,734,593.22</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3,521,169.07</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3,195,592.64</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3,381,240.77</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1,544,973.12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51" w:type="dxa"/>
        <w:tblLayout w:type="fixed"/>
        <w:tblCellMar>
          <w:top w:w="0" w:type="dxa"/>
          <w:left w:w="0" w:type="dxa"/>
          <w:bottom w:w="0" w:type="dxa"/>
          <w:right w:w="0" w:type="dxa"/>
        </w:tblCellMar>
        <w:tblLook w:val="01E0"/>
      </w:tblPr>
      <w:tblGrid>
        <w:gridCol w:w="3187"/>
        <w:gridCol w:w="3193"/>
        <w:gridCol w:w="3188"/>
      </w:tblGrid>
      <w:tr>
        <w:trPr>
          <w:trHeight w:val="397"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6,680,287.10</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1,041,336.63</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504,534.80</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1,405,215.52</w:t>
            </w:r>
          </w:p>
        </w:tc>
      </w:tr>
      <w:tr>
        <w:trPr>
          <w:trHeight w:val="396"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1,808,354.40</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1,491,373.40</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3,057,135.19</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1,188,224.75</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技术图书资料费</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162,011.51</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128,568.34</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试验检测鉴定费</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264,170.93</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107,321.12</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803,454.00</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836,467.84</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其他间接费用</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2,379,510.76</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748,351.05</w:t>
            </w:r>
          </w:p>
        </w:tc>
      </w:tr>
      <w:tr>
        <w:trPr>
          <w:trHeight w:val="396"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525,616.32</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228,229.83</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其他及往来款</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31,760,945.78</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36,443,347.85</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180,634,101.84</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173,811,750.76</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51" w:type="dxa"/>
        <w:tblLayout w:type="fixed"/>
        <w:tblCellMar>
          <w:top w:w="0" w:type="dxa"/>
          <w:left w:w="0" w:type="dxa"/>
          <w:bottom w:w="0" w:type="dxa"/>
          <w:right w:w="0" w:type="dxa"/>
        </w:tblCellMar>
        <w:tblLook w:val="01E0"/>
      </w:tblPr>
      <w:tblGrid>
        <w:gridCol w:w="3187"/>
        <w:gridCol w:w="3193"/>
        <w:gridCol w:w="3188"/>
      </w:tblGrid>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购买少数股东权益支付款</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14,320,000.00</w:t>
            </w:r>
          </w:p>
        </w:tc>
        <w:tc>
          <w:tcPr>
            <w:tcW w:w="3188" w:type="dxa"/>
            <w:tcBorders>
              <w:top w:val="single" w:sz="2" w:space="0" w:color="000000"/>
              <w:left w:val="single" w:sz="2" w:space="0" w:color="000000"/>
              <w:bottom w:val="single" w:sz="2" w:space="0" w:color="000000"/>
              <w:right w:val="single" w:sz="2" w:space="0" w:color="000000"/>
            </w:tcBorders>
          </w:tcPr>
          <w:p>
            <w:pPr/>
          </w:p>
        </w:tc>
      </w:tr>
      <w:tr>
        <w:trPr>
          <w:trHeight w:val="396"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股权激励及非公开相关中介费</w:t>
            </w:r>
          </w:p>
        </w:tc>
        <w:tc>
          <w:tcPr>
            <w:tcW w:w="3193" w:type="dxa"/>
            <w:tcBorders>
              <w:top w:val="single" w:sz="2" w:space="0" w:color="000000"/>
              <w:left w:val="single" w:sz="2" w:space="0" w:color="000000"/>
              <w:bottom w:val="single" w:sz="2" w:space="0" w:color="000000"/>
              <w:right w:val="single" w:sz="2" w:space="0" w:color="000000"/>
            </w:tcBorders>
          </w:tcPr>
          <w:p>
            <w:pP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69,528,553.80</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派息手续费</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13,853.09</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172,328.58</w:t>
            </w:r>
          </w:p>
        </w:tc>
      </w:tr>
      <w:tr>
        <w:trPr>
          <w:trHeight w:val="397" w:hRule="exact"/>
        </w:trPr>
        <w:tc>
          <w:tcPr>
            <w:tcW w:w="318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14,333,853.09</w:t>
            </w:r>
          </w:p>
        </w:tc>
        <w:tc>
          <w:tcPr>
            <w:tcW w:w="3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69,700,882.38</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53</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157,968,133.11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97,327,189.25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19,702,192.66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17,642,393.30</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11,003,015.31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11,928,579.65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r>
        <w:rPr/>
        <w:pict>
          <v:shape style="position:absolute;margin-left:190.140594pt;margin-top:228.779999pt;width:185.55pt;height:19.650pt;mso-position-horizontal-relative:page;mso-position-vertical-relative:page;z-index:-159716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20,325,138.56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15,230,857.97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1,488,160.67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4,022,935.43</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186,254.33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225,825.93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33,155.29</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3,402,000.00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-3,402,000.00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7,513,107.24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14,355,684.25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-11,206,774.03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-10,104,366.95</w:t>
            </w:r>
          </w:p>
        </w:tc>
      </w:tr>
      <w:tr>
        <w:trPr>
          <w:trHeight w:val="402" w:hRule="exact"/>
        </w:trPr>
        <w:tc>
          <w:tcPr>
            <w:tcW w:w="3328"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3056"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-2,956,565.46</w:t>
            </w:r>
          </w:p>
        </w:tc>
        <w:tc>
          <w:tcPr>
            <w:tcW w:w="31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-2,460,697.64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-3,054,808.01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-34,826,203.88</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-111,357,772.23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-166,092,093.87</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82,232,704.41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86,598,361.08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175,277,941.85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30,446,464.52</w:t>
            </w:r>
          </w:p>
        </w:tc>
      </w:tr>
      <w:tr>
        <w:trPr>
          <w:trHeight w:val="161" w:hRule="exact"/>
        </w:trPr>
        <w:tc>
          <w:tcPr>
            <w:tcW w:w="3328" w:type="dxa"/>
            <w:vMerge w:val="restart"/>
            <w:tcBorders>
              <w:top w:val="single" w:sz="4" w:space="0" w:color="000000"/>
              <w:left w:val="single" w:sz="4" w:space="0" w:color="000000"/>
              <w:right w:val="single" w:sz="4" w:space="0" w:color="000000"/>
            </w:tcBorders>
            <w:shd w:val="clear" w:color="auto" w:fill="D3D3D3"/>
          </w:tcPr>
          <w:p>
            <w:pPr>
              <w:pStyle w:val="TableParagraph"/>
              <w:spacing w:line="302" w:lineRule="auto" w:before="51"/>
              <w:ind w:left="22"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6"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328" w:type="dxa"/>
            <w:vMerge/>
            <w:tcBorders>
              <w:left w:val="single" w:sz="4" w:space="0" w:color="000000"/>
              <w:right w:val="single" w:sz="4" w:space="0" w:color="000000"/>
            </w:tcBorders>
            <w:shd w:val="clear" w:color="auto" w:fill="D3D3D3"/>
          </w:tcPr>
          <w:p>
            <w:pPr/>
          </w:p>
        </w:tc>
        <w:tc>
          <w:tcPr>
            <w:tcW w:w="30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1462"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8" w:type="dxa"/>
            <w:vMerge/>
            <w:tcBorders>
              <w:left w:val="single" w:sz="4" w:space="0" w:color="000000"/>
              <w:bottom w:val="single" w:sz="4" w:space="0" w:color="000000"/>
              <w:right w:val="single" w:sz="4" w:space="0" w:color="000000"/>
            </w:tcBorders>
            <w:shd w:val="clear" w:color="auto" w:fill="D3D3D3"/>
          </w:tcPr>
          <w:p>
            <w:pPr/>
          </w:p>
        </w:tc>
        <w:tc>
          <w:tcPr>
            <w:tcW w:w="3056"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62"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554,392,402.92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357,129,306.41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357,129,306.41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593,348,607.36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197,263,096.51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-236,219,300.95</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554,392,402.92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357,129,306.41</w:t>
            </w:r>
          </w:p>
        </w:tc>
      </w:tr>
      <w:tr>
        <w:trPr>
          <w:trHeight w:val="323"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599,047.61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58,945.73</w:t>
            </w:r>
          </w:p>
        </w:tc>
      </w:tr>
      <w:tr>
        <w:trPr>
          <w:trHeight w:val="32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553,339,866.19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357,070,360.68</w:t>
            </w:r>
          </w:p>
        </w:tc>
      </w:tr>
      <w:tr>
        <w:trPr>
          <w:trHeight w:val="323"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453,489.12</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554,392,402.92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357,129,306.41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1113"/>
        <w:jc w:val="left"/>
        <w:rPr>
          <w:b w:val="0"/>
          <w:bCs w:val="0"/>
        </w:rPr>
      </w:pPr>
      <w:r>
        <w:rPr>
          <w:rFonts w:ascii="Times New Roman" w:hAnsi="Times New Roman" w:cs="Times New Roman" w:eastAsia="Times New Roman" w:hint="default"/>
        </w:rPr>
        <w:t>54</w:t>
      </w:r>
      <w:r>
        <w:rPr/>
        <w:t>、所有者权益变动表项目注释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55</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3328"/>
        <w:gridCol w:w="3056"/>
        <w:gridCol w:w="3184"/>
      </w:tblGrid>
      <w:tr>
        <w:trPr>
          <w:trHeight w:val="397" w:hRule="exact"/>
        </w:trPr>
        <w:tc>
          <w:tcPr>
            <w:tcW w:w="332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98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97" w:hRule="exact"/>
        </w:trPr>
        <w:tc>
          <w:tcPr>
            <w:tcW w:w="332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31,890,634.04</w:t>
            </w:r>
          </w:p>
        </w:tc>
        <w:tc>
          <w:tcPr>
            <w:tcW w:w="3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397" w:hRule="exact"/>
        </w:trPr>
        <w:tc>
          <w:tcPr>
            <w:tcW w:w="33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对上海树维信息科技有限公司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30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14,630,000.00</w:t>
            </w:r>
          </w:p>
        </w:tc>
        <w:tc>
          <w:tcPr>
            <w:tcW w:w="3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借款质押物</w:t>
            </w:r>
          </w:p>
        </w:tc>
      </w:tr>
      <w:tr>
        <w:trPr>
          <w:trHeight w:val="397" w:hRule="exact"/>
        </w:trPr>
        <w:tc>
          <w:tcPr>
            <w:tcW w:w="33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对北京迪科远望科技有限公司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30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3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借款质押物</w:t>
            </w:r>
          </w:p>
        </w:tc>
      </w:tr>
      <w:tr>
        <w:trPr>
          <w:trHeight w:val="397" w:hRule="exact"/>
        </w:trPr>
        <w:tc>
          <w:tcPr>
            <w:tcW w:w="332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56,520,634.04</w:t>
            </w:r>
          </w:p>
        </w:tc>
        <w:tc>
          <w:tcPr>
            <w:tcW w:w="318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56</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3"/>
        <w:gridCol w:w="2390"/>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59" w:lineRule="auto" w:before="35"/>
        <w:ind w:right="1113"/>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0"/>
        <w:rPr>
          <w:rFonts w:ascii="宋体" w:hAnsi="宋体" w:cs="宋体" w:eastAsia="宋体" w:hint="default"/>
          <w:b/>
          <w:bCs/>
          <w:sz w:val="20"/>
          <w:szCs w:val="20"/>
        </w:rPr>
      </w:pPr>
    </w:p>
    <w:p>
      <w:pPr>
        <w:spacing w:before="163"/>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1113"/>
        <w:jc w:val="left"/>
        <w:rPr>
          <w:b w:val="0"/>
          <w:bCs w:val="0"/>
        </w:rPr>
      </w:pPr>
      <w:r>
        <w:rPr>
          <w:rFonts w:ascii="Times New Roman" w:hAnsi="Times New Roman" w:cs="Times New Roman" w:eastAsia="Times New Roman" w:hint="default"/>
        </w:rPr>
        <w:t>57</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113"/>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2392"/>
        <w:gridCol w:w="2393"/>
        <w:gridCol w:w="2392"/>
        <w:gridCol w:w="2392"/>
      </w:tblGrid>
      <w:tr>
        <w:trPr>
          <w:trHeight w:val="397" w:hRule="exact"/>
        </w:trPr>
        <w:tc>
          <w:tcPr>
            <w:tcW w:w="239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832"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1021"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309" w:lineRule="auto" w:before="51"/>
              <w:ind w:left="25" w:right="3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NFC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技术的金融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卡移 动支付综合应用系统研发及 产业化项目</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3,700,000.00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740,000.00</w:t>
            </w:r>
          </w:p>
        </w:tc>
      </w:tr>
      <w:tr>
        <w:trPr>
          <w:trHeight w:val="709"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302" w:lineRule="auto" w:before="51"/>
              <w:ind w:left="25" w:right="109"/>
              <w:jc w:val="left"/>
              <w:rPr>
                <w:rFonts w:ascii="宋体" w:hAnsi="宋体" w:cs="宋体" w:eastAsia="宋体" w:hint="default"/>
                <w:sz w:val="18"/>
                <w:szCs w:val="18"/>
              </w:rPr>
            </w:pPr>
            <w:r>
              <w:rPr>
                <w:rFonts w:ascii="宋体" w:hAnsi="宋体" w:cs="宋体" w:eastAsia="宋体" w:hint="default"/>
                <w:sz w:val="18"/>
                <w:szCs w:val="18"/>
              </w:rPr>
              <w:t>基于金融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卡的移动支付信 息化服务平台与终端项目</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1,610,000.00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494,500.00</w:t>
            </w:r>
          </w:p>
        </w:tc>
      </w:tr>
      <w:tr>
        <w:trPr>
          <w:trHeight w:val="1645"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304" w:lineRule="auto" w:before="51"/>
              <w:ind w:left="25" w:right="23"/>
              <w:jc w:val="left"/>
              <w:rPr>
                <w:rFonts w:ascii="宋体" w:hAnsi="宋体" w:cs="宋体" w:eastAsia="宋体" w:hint="default"/>
                <w:sz w:val="18"/>
                <w:szCs w:val="18"/>
              </w:rPr>
            </w:pPr>
            <w:r>
              <w:rPr>
                <w:rFonts w:ascii="宋体" w:hAnsi="宋体" w:cs="宋体" w:eastAsia="宋体" w:hint="default"/>
                <w:sz w:val="18"/>
                <w:szCs w:val="18"/>
              </w:rPr>
              <w:t>教科文处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年郑州市第二 批科技计划项目经费（郑州市 科技计划经费</w:t>
            </w:r>
            <w:r>
              <w:rPr>
                <w:rFonts w:ascii="Times New Roman" w:hAnsi="Times New Roman" w:cs="Times New Roman" w:eastAsia="Times New Roman" w:hint="default"/>
                <w:sz w:val="18"/>
                <w:szCs w:val="18"/>
              </w:rPr>
              <w:t>“</w:t>
            </w:r>
            <w:r>
              <w:rPr>
                <w:rFonts w:ascii="宋体" w:hAnsi="宋体" w:cs="宋体" w:eastAsia="宋体" w:hint="default"/>
                <w:sz w:val="18"/>
                <w:szCs w:val="18"/>
              </w:rPr>
              <w:t>基于物联网与 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卡的智能终端产业化 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3,000,000.00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8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450,000.00</w:t>
            </w:r>
          </w:p>
        </w:tc>
      </w:tr>
      <w:tr>
        <w:trPr>
          <w:trHeight w:val="1021"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51"/>
              <w:ind w:left="25" w:right="23"/>
              <w:jc w:val="left"/>
              <w:rPr>
                <w:rFonts w:ascii="宋体" w:hAnsi="宋体" w:cs="宋体" w:eastAsia="宋体" w:hint="default"/>
                <w:sz w:val="18"/>
                <w:szCs w:val="18"/>
              </w:rPr>
            </w:pPr>
            <w:r>
              <w:rPr>
                <w:rFonts w:ascii="宋体" w:hAnsi="宋体" w:cs="宋体" w:eastAsia="宋体" w:hint="default"/>
                <w:sz w:val="18"/>
                <w:szCs w:val="18"/>
              </w:rPr>
              <w:t>基于金融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卡智能终端产业 </w:t>
            </w:r>
            <w:r>
              <w:rPr>
                <w:rFonts w:ascii="宋体" w:hAnsi="宋体" w:cs="宋体" w:eastAsia="宋体" w:hint="default"/>
                <w:spacing w:val="-7"/>
                <w:sz w:val="18"/>
                <w:szCs w:val="18"/>
              </w:rPr>
              <w:t>化项目（</w:t>
            </w:r>
            <w:r>
              <w:rPr>
                <w:rFonts w:ascii="Times New Roman" w:hAnsi="Times New Roman" w:cs="Times New Roman" w:eastAsia="Times New Roman" w:hint="default"/>
                <w:spacing w:val="-7"/>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年省先进制造业 专项引导资金）</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2,975,000.00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446,250.00</w:t>
            </w:r>
          </w:p>
        </w:tc>
      </w:tr>
      <w:tr>
        <w:trPr>
          <w:trHeight w:val="708"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郑州市信息化发展专项资金</w:t>
            </w:r>
          </w:p>
          <w:p>
            <w:pPr>
              <w:pStyle w:val="TableParagraph"/>
              <w:spacing w:line="240" w:lineRule="auto" w:before="76"/>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金融支付系统及终端项目</w:t>
            </w:r>
            <w:r>
              <w:rPr>
                <w:rFonts w:ascii="Times New Roman" w:hAnsi="Times New Roman" w:cs="Times New Roman" w:eastAsia="Times New Roman" w:hint="default"/>
                <w:sz w:val="18"/>
                <w:szCs w:val="18"/>
              </w:rPr>
              <w:t>”</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1,300,000.00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260,000.00</w:t>
            </w:r>
          </w:p>
        </w:tc>
      </w:tr>
      <w:tr>
        <w:trPr>
          <w:trHeight w:val="1021"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309" w:lineRule="auto" w:before="52"/>
              <w:ind w:left="25" w:right="162"/>
              <w:jc w:val="both"/>
              <w:rPr>
                <w:rFonts w:ascii="宋体" w:hAnsi="宋体" w:cs="宋体" w:eastAsia="宋体" w:hint="default"/>
                <w:sz w:val="18"/>
                <w:szCs w:val="18"/>
              </w:rPr>
            </w:pPr>
            <w:r>
              <w:rPr>
                <w:rFonts w:ascii="宋体" w:hAnsi="宋体" w:cs="宋体" w:eastAsia="宋体" w:hint="default"/>
                <w:sz w:val="18"/>
                <w:szCs w:val="18"/>
              </w:rPr>
              <w:t>基于物联网应用的系列智能 终端与（高新区财政局</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年物联网发展专项资金款）</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8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150,000.00</w:t>
            </w:r>
          </w:p>
        </w:tc>
      </w:tr>
      <w:tr>
        <w:trPr>
          <w:trHeight w:val="709"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319" w:lineRule="auto" w:before="51"/>
              <w:ind w:left="25" w:right="199"/>
              <w:jc w:val="left"/>
              <w:rPr>
                <w:rFonts w:ascii="宋体" w:hAnsi="宋体" w:cs="宋体" w:eastAsia="宋体" w:hint="default"/>
                <w:sz w:val="18"/>
                <w:szCs w:val="18"/>
              </w:rPr>
            </w:pPr>
            <w:r>
              <w:rPr>
                <w:rFonts w:ascii="宋体" w:hAnsi="宋体" w:cs="宋体" w:eastAsia="宋体" w:hint="default"/>
                <w:sz w:val="18"/>
                <w:szCs w:val="18"/>
              </w:rPr>
              <w:t>基于远距离射频识别技术的 终端产品研究与开发</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150,000.00</w:t>
            </w:r>
          </w:p>
        </w:tc>
      </w:tr>
      <w:tr>
        <w:trPr>
          <w:trHeight w:val="709"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302" w:lineRule="auto" w:before="51"/>
              <w:ind w:left="25" w:right="110"/>
              <w:jc w:val="left"/>
              <w:rPr>
                <w:rFonts w:ascii="宋体" w:hAnsi="宋体" w:cs="宋体" w:eastAsia="宋体" w:hint="default"/>
                <w:sz w:val="18"/>
                <w:szCs w:val="18"/>
              </w:rPr>
            </w:pPr>
            <w:r>
              <w:rPr>
                <w:rFonts w:ascii="宋体" w:hAnsi="宋体" w:cs="宋体" w:eastAsia="宋体" w:hint="default"/>
                <w:sz w:val="18"/>
                <w:szCs w:val="18"/>
              </w:rPr>
              <w:t>基于云架构的金融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卡公共 服务运营平台及终端项目</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150,000.00</w:t>
            </w:r>
          </w:p>
        </w:tc>
      </w:tr>
      <w:tr>
        <w:trPr>
          <w:trHeight w:val="709"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25" w:right="199"/>
              <w:jc w:val="left"/>
              <w:rPr>
                <w:rFonts w:ascii="宋体" w:hAnsi="宋体" w:cs="宋体" w:eastAsia="宋体" w:hint="default"/>
                <w:sz w:val="18"/>
                <w:szCs w:val="18"/>
              </w:rPr>
            </w:pPr>
            <w:r>
              <w:rPr>
                <w:rFonts w:ascii="宋体" w:hAnsi="宋体" w:cs="宋体" w:eastAsia="宋体" w:hint="default"/>
                <w:sz w:val="18"/>
                <w:szCs w:val="18"/>
              </w:rPr>
              <w:t>重大科技专项基于电信运营 的小额支付</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150,000.00</w:t>
            </w:r>
          </w:p>
        </w:tc>
      </w:tr>
      <w:tr>
        <w:trPr>
          <w:trHeight w:val="709"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25" w:right="199"/>
              <w:jc w:val="left"/>
              <w:rPr>
                <w:rFonts w:ascii="宋体" w:hAnsi="宋体" w:cs="宋体" w:eastAsia="宋体" w:hint="default"/>
                <w:sz w:val="18"/>
                <w:szCs w:val="18"/>
              </w:rPr>
            </w:pPr>
            <w:r>
              <w:rPr>
                <w:rFonts w:ascii="宋体" w:hAnsi="宋体" w:cs="宋体" w:eastAsia="宋体" w:hint="default"/>
                <w:sz w:val="18"/>
                <w:szCs w:val="18"/>
              </w:rPr>
              <w:t>物联网通信与组网关键技术 的研究及应用</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700,000.00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105,000.00</w:t>
            </w:r>
          </w:p>
        </w:tc>
      </w:tr>
      <w:tr>
        <w:trPr>
          <w:trHeight w:val="1020"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309" w:lineRule="auto" w:before="51"/>
              <w:ind w:left="25"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年度高新技术开发区技 术研究与开发经费（郑州市财 政局产业技术创新专项资金）</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75,000.00</w:t>
            </w:r>
          </w:p>
        </w:tc>
      </w:tr>
      <w:tr>
        <w:trPr>
          <w:trHeight w:val="1021"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309" w:lineRule="auto" w:before="52"/>
              <w:ind w:left="25" w:right="104"/>
              <w:jc w:val="both"/>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年郑州市第三批技术研 究与开发经费项目：智能卡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支付与识别产品产业化</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8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66,666.67</w:t>
            </w:r>
          </w:p>
        </w:tc>
      </w:tr>
      <w:tr>
        <w:trPr>
          <w:trHeight w:val="709"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302" w:lineRule="auto" w:before="51"/>
              <w:ind w:left="25" w:right="3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NFC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技术的金融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卡移 动支付综合应用系统</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45,000.00</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51" w:type="dxa"/>
        <w:tblLayout w:type="fixed"/>
        <w:tblCellMar>
          <w:top w:w="0" w:type="dxa"/>
          <w:left w:w="0" w:type="dxa"/>
          <w:bottom w:w="0" w:type="dxa"/>
          <w:right w:w="0" w:type="dxa"/>
        </w:tblCellMar>
        <w:tblLook w:val="01E0"/>
      </w:tblPr>
      <w:tblGrid>
        <w:gridCol w:w="2392"/>
        <w:gridCol w:w="2393"/>
        <w:gridCol w:w="2392"/>
        <w:gridCol w:w="2392"/>
      </w:tblGrid>
      <w:tr>
        <w:trPr>
          <w:trHeight w:val="397"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驾校综合管理系统研发</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left="789" w:right="0"/>
              <w:jc w:val="lef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30,000.00</w:t>
            </w:r>
          </w:p>
        </w:tc>
      </w:tr>
      <w:tr>
        <w:trPr>
          <w:trHeight w:val="397"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增值税软件退税</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left="676" w:right="0"/>
              <w:jc w:val="left"/>
              <w:rPr>
                <w:rFonts w:ascii="Times New Roman" w:hAnsi="Times New Roman" w:cs="Times New Roman" w:eastAsia="Times New Roman" w:hint="default"/>
                <w:sz w:val="18"/>
                <w:szCs w:val="18"/>
              </w:rPr>
            </w:pPr>
            <w:r>
              <w:rPr>
                <w:rFonts w:ascii="Times New Roman"/>
                <w:sz w:val="18"/>
              </w:rPr>
              <w:t>37,763,035.27</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37,763,035.27</w:t>
            </w:r>
          </w:p>
        </w:tc>
      </w:tr>
      <w:tr>
        <w:trPr>
          <w:trHeight w:val="396"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left="676" w:right="0"/>
              <w:jc w:val="left"/>
              <w:rPr>
                <w:rFonts w:ascii="Times New Roman" w:hAnsi="Times New Roman" w:cs="Times New Roman" w:eastAsia="Times New Roman" w:hint="default"/>
                <w:sz w:val="18"/>
                <w:szCs w:val="18"/>
              </w:rPr>
            </w:pPr>
            <w:r>
              <w:rPr>
                <w:rFonts w:ascii="Times New Roman"/>
                <w:sz w:val="18"/>
              </w:rPr>
              <w:t>10,042,926.27</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10,042,926.27</w:t>
            </w:r>
          </w:p>
        </w:tc>
      </w:tr>
      <w:tr>
        <w:trPr>
          <w:trHeight w:val="397"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小巨人补贴</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left="722" w:right="0"/>
              <w:jc w:val="left"/>
              <w:rPr>
                <w:rFonts w:ascii="Times New Roman" w:hAnsi="Times New Roman" w:cs="Times New Roman" w:eastAsia="Times New Roman" w:hint="default"/>
                <w:sz w:val="18"/>
                <w:szCs w:val="18"/>
              </w:rPr>
            </w:pPr>
            <w:r>
              <w:rPr>
                <w:rFonts w:ascii="Times New Roman"/>
                <w:sz w:val="18"/>
              </w:rPr>
              <w:t>3,000,000.00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3,000,000.00</w:t>
            </w:r>
          </w:p>
        </w:tc>
      </w:tr>
      <w:tr>
        <w:trPr>
          <w:trHeight w:val="709"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302" w:lineRule="auto" w:before="51"/>
              <w:ind w:left="25" w:right="109"/>
              <w:jc w:val="left"/>
              <w:rPr>
                <w:rFonts w:ascii="宋体" w:hAnsi="宋体" w:cs="宋体" w:eastAsia="宋体" w:hint="default"/>
                <w:sz w:val="18"/>
                <w:szCs w:val="18"/>
              </w:rPr>
            </w:pPr>
            <w:r>
              <w:rPr>
                <w:rFonts w:ascii="宋体" w:hAnsi="宋体" w:cs="宋体" w:eastAsia="宋体" w:hint="default"/>
                <w:sz w:val="18"/>
                <w:szCs w:val="18"/>
              </w:rPr>
              <w:t>郑州市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年科技型企业研 发费用后补助专项资金</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2" w:right="0"/>
              <w:jc w:val="left"/>
              <w:rPr>
                <w:rFonts w:ascii="Times New Roman" w:hAnsi="Times New Roman" w:cs="Times New Roman" w:eastAsia="Times New Roman" w:hint="default"/>
                <w:sz w:val="18"/>
                <w:szCs w:val="18"/>
              </w:rPr>
            </w:pPr>
            <w:r>
              <w:rPr>
                <w:rFonts w:ascii="Times New Roman"/>
                <w:sz w:val="18"/>
              </w:rPr>
              <w:t>3,000,000.00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3,000,000.00</w:t>
            </w:r>
          </w:p>
        </w:tc>
      </w:tr>
      <w:tr>
        <w:trPr>
          <w:trHeight w:val="709"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319" w:lineRule="auto" w:before="51"/>
              <w:ind w:left="25" w:right="199"/>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基于大数据行为分析系统的 移动校园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APP</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2" w:right="0"/>
              <w:jc w:val="left"/>
              <w:rPr>
                <w:rFonts w:ascii="Times New Roman" w:hAnsi="Times New Roman" w:cs="Times New Roman" w:eastAsia="Times New Roman" w:hint="default"/>
                <w:sz w:val="18"/>
                <w:szCs w:val="18"/>
              </w:rPr>
            </w:pPr>
            <w:r>
              <w:rPr>
                <w:rFonts w:ascii="Times New Roman"/>
                <w:sz w:val="18"/>
              </w:rPr>
              <w:t>1,320,000.00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1,320,000.00</w:t>
            </w:r>
          </w:p>
        </w:tc>
      </w:tr>
      <w:tr>
        <w:trPr>
          <w:trHeight w:val="709"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51"/>
              <w:ind w:left="25" w:right="155"/>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年郑州市规上企业研发 费用后补助</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2" w:right="0"/>
              <w:jc w:val="left"/>
              <w:rPr>
                <w:rFonts w:ascii="Times New Roman" w:hAnsi="Times New Roman" w:cs="Times New Roman" w:eastAsia="Times New Roman" w:hint="default"/>
                <w:sz w:val="18"/>
                <w:szCs w:val="18"/>
              </w:rPr>
            </w:pPr>
            <w:r>
              <w:rPr>
                <w:rFonts w:ascii="Times New Roman"/>
                <w:sz w:val="18"/>
              </w:rPr>
              <w:t>1,200,000.00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1,200,000.00</w:t>
            </w:r>
          </w:p>
        </w:tc>
      </w:tr>
      <w:tr>
        <w:trPr>
          <w:trHeight w:val="709"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51"/>
              <w:ind w:left="25" w:right="155"/>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年度河南省企业研究开 发财政补助资金</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2" w:right="0"/>
              <w:jc w:val="left"/>
              <w:rPr>
                <w:rFonts w:ascii="Times New Roman" w:hAnsi="Times New Roman" w:cs="Times New Roman" w:eastAsia="Times New Roman" w:hint="default"/>
                <w:sz w:val="18"/>
                <w:szCs w:val="18"/>
              </w:rPr>
            </w:pPr>
            <w:r>
              <w:rPr>
                <w:rFonts w:ascii="Times New Roman"/>
                <w:sz w:val="18"/>
              </w:rPr>
              <w:t>1,100,000.00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1,100,000.00</w:t>
            </w:r>
          </w:p>
        </w:tc>
      </w:tr>
      <w:tr>
        <w:trPr>
          <w:trHeight w:val="708"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25" w:right="199"/>
              <w:jc w:val="left"/>
              <w:rPr>
                <w:rFonts w:ascii="宋体" w:hAnsi="宋体" w:cs="宋体" w:eastAsia="宋体" w:hint="default"/>
                <w:sz w:val="18"/>
                <w:szCs w:val="18"/>
              </w:rPr>
            </w:pPr>
            <w:r>
              <w:rPr>
                <w:rFonts w:ascii="宋体" w:hAnsi="宋体" w:cs="宋体" w:eastAsia="宋体" w:hint="default"/>
                <w:sz w:val="18"/>
                <w:szCs w:val="18"/>
              </w:rPr>
              <w:t>郑州市支持企业上云奖补资 金</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2" w:right="0"/>
              <w:jc w:val="left"/>
              <w:rPr>
                <w:rFonts w:ascii="Times New Roman" w:hAnsi="Times New Roman" w:cs="Times New Roman" w:eastAsia="Times New Roman" w:hint="default"/>
                <w:sz w:val="18"/>
                <w:szCs w:val="18"/>
              </w:rPr>
            </w:pPr>
            <w:r>
              <w:rPr>
                <w:rFonts w:ascii="Times New Roman"/>
                <w:sz w:val="18"/>
              </w:rPr>
              <w:t>1,000,000.00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1,000,000.00</w:t>
            </w:r>
          </w:p>
        </w:tc>
      </w:tr>
      <w:tr>
        <w:trPr>
          <w:trHeight w:val="709"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2"/>
              <w:ind w:left="25" w:right="199"/>
              <w:jc w:val="left"/>
              <w:rPr>
                <w:rFonts w:ascii="宋体" w:hAnsi="宋体" w:cs="宋体" w:eastAsia="宋体" w:hint="default"/>
                <w:sz w:val="18"/>
                <w:szCs w:val="18"/>
              </w:rPr>
            </w:pPr>
            <w:r>
              <w:rPr>
                <w:rFonts w:ascii="宋体" w:hAnsi="宋体" w:cs="宋体" w:eastAsia="宋体" w:hint="default"/>
                <w:sz w:val="18"/>
                <w:szCs w:val="18"/>
              </w:rPr>
              <w:t>电子信息关键制造企业培育 奖励</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89" w:right="0"/>
              <w:jc w:val="left"/>
              <w:rPr>
                <w:rFonts w:ascii="Times New Roman" w:hAnsi="Times New Roman" w:cs="Times New Roman" w:eastAsia="Times New Roman" w:hint="default"/>
                <w:sz w:val="18"/>
                <w:szCs w:val="18"/>
              </w:rPr>
            </w:pPr>
            <w:r>
              <w:rPr>
                <w:rFonts w:ascii="Times New Roman"/>
                <w:sz w:val="18"/>
              </w:rPr>
              <w:t>950,000.00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950,000.00</w:t>
            </w:r>
          </w:p>
        </w:tc>
      </w:tr>
      <w:tr>
        <w:trPr>
          <w:trHeight w:val="397"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长宁区支持补贴</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left="789" w:right="0"/>
              <w:jc w:val="left"/>
              <w:rPr>
                <w:rFonts w:ascii="Times New Roman" w:hAnsi="Times New Roman" w:cs="Times New Roman" w:eastAsia="Times New Roman" w:hint="default"/>
                <w:sz w:val="18"/>
                <w:szCs w:val="18"/>
              </w:rPr>
            </w:pPr>
            <w:r>
              <w:rPr>
                <w:rFonts w:ascii="Times New Roman"/>
                <w:sz w:val="18"/>
              </w:rPr>
              <w:t>937,000.00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937,000.00</w:t>
            </w:r>
          </w:p>
        </w:tc>
      </w:tr>
      <w:tr>
        <w:trPr>
          <w:trHeight w:val="709"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302" w:lineRule="auto" w:before="51"/>
              <w:ind w:left="25" w:right="155"/>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年河南省工程技术研究 中心</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89" w:right="0"/>
              <w:jc w:val="lef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500,000.00</w:t>
            </w:r>
          </w:p>
        </w:tc>
      </w:tr>
      <w:tr>
        <w:trPr>
          <w:trHeight w:val="397"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制造强市奖补资金</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left="789" w:right="0"/>
              <w:jc w:val="lef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500,000.00</w:t>
            </w:r>
          </w:p>
        </w:tc>
      </w:tr>
      <w:tr>
        <w:trPr>
          <w:trHeight w:val="709"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25" w:right="199"/>
              <w:jc w:val="left"/>
              <w:rPr>
                <w:rFonts w:ascii="宋体" w:hAnsi="宋体" w:cs="宋体" w:eastAsia="宋体" w:hint="default"/>
                <w:sz w:val="18"/>
                <w:szCs w:val="18"/>
              </w:rPr>
            </w:pPr>
            <w:r>
              <w:rPr>
                <w:rFonts w:ascii="宋体" w:hAnsi="宋体" w:cs="宋体" w:eastAsia="宋体" w:hint="default"/>
                <w:sz w:val="18"/>
                <w:szCs w:val="18"/>
              </w:rPr>
              <w:t>中央财政知识产权运营服务 体系建设补助资金</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89" w:right="0"/>
              <w:jc w:val="left"/>
              <w:rPr>
                <w:rFonts w:ascii="Times New Roman" w:hAnsi="Times New Roman" w:cs="Times New Roman" w:eastAsia="Times New Roman" w:hint="default"/>
                <w:sz w:val="18"/>
                <w:szCs w:val="18"/>
              </w:rPr>
            </w:pPr>
            <w:r>
              <w:rPr>
                <w:rFonts w:ascii="Times New Roman"/>
                <w:sz w:val="18"/>
              </w:rPr>
              <w:t>400,000.00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400,000.00</w:t>
            </w:r>
          </w:p>
        </w:tc>
      </w:tr>
      <w:tr>
        <w:trPr>
          <w:trHeight w:val="396"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见习补贴</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left="789" w:right="0"/>
              <w:jc w:val="left"/>
              <w:rPr>
                <w:rFonts w:ascii="Times New Roman" w:hAnsi="Times New Roman" w:cs="Times New Roman" w:eastAsia="Times New Roman" w:hint="default"/>
                <w:sz w:val="18"/>
                <w:szCs w:val="18"/>
              </w:rPr>
            </w:pPr>
            <w:r>
              <w:rPr>
                <w:rFonts w:ascii="Times New Roman"/>
                <w:sz w:val="18"/>
              </w:rPr>
              <w:t>367,500.00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367,500.00</w:t>
            </w:r>
          </w:p>
        </w:tc>
      </w:tr>
      <w:tr>
        <w:trPr>
          <w:trHeight w:val="397"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国内专利申请奖励</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left="789" w:right="0"/>
              <w:jc w:val="left"/>
              <w:rPr>
                <w:rFonts w:ascii="Times New Roman" w:hAnsi="Times New Roman" w:cs="Times New Roman" w:eastAsia="Times New Roman" w:hint="default"/>
                <w:sz w:val="18"/>
                <w:szCs w:val="18"/>
              </w:rPr>
            </w:pPr>
            <w:r>
              <w:rPr>
                <w:rFonts w:ascii="Times New Roman"/>
                <w:sz w:val="18"/>
              </w:rPr>
              <w:t>180,000.00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180,000.00</w:t>
            </w:r>
          </w:p>
        </w:tc>
      </w:tr>
      <w:tr>
        <w:trPr>
          <w:trHeight w:val="709"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302" w:lineRule="auto" w:before="51"/>
              <w:ind w:left="25" w:right="109"/>
              <w:jc w:val="left"/>
              <w:rPr>
                <w:rFonts w:ascii="宋体" w:hAnsi="宋体" w:cs="宋体" w:eastAsia="宋体" w:hint="default"/>
                <w:sz w:val="18"/>
                <w:szCs w:val="18"/>
              </w:rPr>
            </w:pPr>
            <w:r>
              <w:rPr>
                <w:rFonts w:ascii="宋体" w:hAnsi="宋体" w:cs="宋体" w:eastAsia="宋体" w:hint="default"/>
                <w:sz w:val="18"/>
                <w:szCs w:val="18"/>
              </w:rPr>
              <w:t>收到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年度科技小巨人奖 励</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89" w:right="0"/>
              <w:jc w:val="left"/>
              <w:rPr>
                <w:rFonts w:ascii="Times New Roman" w:hAnsi="Times New Roman" w:cs="Times New Roman" w:eastAsia="Times New Roman" w:hint="default"/>
                <w:sz w:val="18"/>
                <w:szCs w:val="18"/>
              </w:rPr>
            </w:pPr>
            <w:r>
              <w:rPr>
                <w:rFonts w:ascii="Times New Roman"/>
                <w:sz w:val="18"/>
              </w:rPr>
              <w:t>131,000.00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131,000.00</w:t>
            </w:r>
          </w:p>
        </w:tc>
      </w:tr>
      <w:tr>
        <w:trPr>
          <w:trHeight w:val="709"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302" w:lineRule="auto" w:before="51"/>
              <w:ind w:left="25" w:right="110"/>
              <w:jc w:val="left"/>
              <w:rPr>
                <w:rFonts w:ascii="宋体" w:hAnsi="宋体" w:cs="宋体" w:eastAsia="宋体" w:hint="default"/>
                <w:sz w:val="18"/>
                <w:szCs w:val="18"/>
              </w:rPr>
            </w:pPr>
            <w:r>
              <w:rPr>
                <w:rFonts w:ascii="宋体" w:hAnsi="宋体" w:cs="宋体" w:eastAsia="宋体" w:hint="default"/>
                <w:sz w:val="18"/>
                <w:szCs w:val="18"/>
              </w:rPr>
              <w:t>郑州高新区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年度知识产 权优秀企业</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89" w:right="0"/>
              <w:jc w:val="lef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100,000.00</w:t>
            </w:r>
          </w:p>
        </w:tc>
      </w:tr>
      <w:tr>
        <w:trPr>
          <w:trHeight w:val="709"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51"/>
              <w:ind w:left="25" w:right="109"/>
              <w:jc w:val="left"/>
              <w:rPr>
                <w:rFonts w:ascii="宋体" w:hAnsi="宋体" w:cs="宋体" w:eastAsia="宋体" w:hint="default"/>
                <w:sz w:val="18"/>
                <w:szCs w:val="18"/>
              </w:rPr>
            </w:pPr>
            <w:r>
              <w:rPr>
                <w:rFonts w:ascii="宋体" w:hAnsi="宋体" w:cs="宋体" w:eastAsia="宋体" w:hint="default"/>
                <w:sz w:val="18"/>
                <w:szCs w:val="18"/>
              </w:rPr>
              <w:t>郑州市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年第三批专利资 助</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82,200.00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82,200.00</w:t>
            </w:r>
          </w:p>
        </w:tc>
      </w:tr>
      <w:tr>
        <w:trPr>
          <w:trHeight w:val="709"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25" w:right="199"/>
              <w:jc w:val="left"/>
              <w:rPr>
                <w:rFonts w:ascii="宋体" w:hAnsi="宋体" w:cs="宋体" w:eastAsia="宋体" w:hint="default"/>
                <w:sz w:val="18"/>
                <w:szCs w:val="18"/>
              </w:rPr>
            </w:pPr>
            <w:r>
              <w:rPr>
                <w:rFonts w:ascii="宋体" w:hAnsi="宋体" w:cs="宋体" w:eastAsia="宋体" w:hint="default"/>
                <w:sz w:val="18"/>
                <w:szCs w:val="18"/>
              </w:rPr>
              <w:t>支持外贸中小企业开拓市场 项目补助资金</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53,700.00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53,700.00</w:t>
            </w:r>
          </w:p>
        </w:tc>
      </w:tr>
      <w:tr>
        <w:trPr>
          <w:trHeight w:val="708"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51"/>
              <w:ind w:left="25" w:right="109"/>
              <w:jc w:val="left"/>
              <w:rPr>
                <w:rFonts w:ascii="宋体" w:hAnsi="宋体" w:cs="宋体" w:eastAsia="宋体" w:hint="default"/>
                <w:sz w:val="18"/>
                <w:szCs w:val="18"/>
              </w:rPr>
            </w:pPr>
            <w:r>
              <w:rPr>
                <w:rFonts w:ascii="宋体" w:hAnsi="宋体" w:cs="宋体" w:eastAsia="宋体" w:hint="default"/>
                <w:sz w:val="18"/>
                <w:szCs w:val="18"/>
              </w:rPr>
              <w:t>高新区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年度新增限上规 上企业奖励金</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50,000.00</w:t>
            </w:r>
          </w:p>
        </w:tc>
      </w:tr>
      <w:tr>
        <w:trPr>
          <w:trHeight w:val="397"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财政局纳税大户奖励</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50,000.00</w:t>
            </w:r>
          </w:p>
        </w:tc>
      </w:tr>
      <w:tr>
        <w:trPr>
          <w:trHeight w:val="397"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软件著作权奖励</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38,000.00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38,000.00</w:t>
            </w:r>
          </w:p>
        </w:tc>
      </w:tr>
      <w:tr>
        <w:trPr>
          <w:trHeight w:val="397"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科技创新补助资金</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29,000.00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29,000.00</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51" w:type="dxa"/>
        <w:tblLayout w:type="fixed"/>
        <w:tblCellMar>
          <w:top w:w="0" w:type="dxa"/>
          <w:left w:w="0" w:type="dxa"/>
          <w:bottom w:w="0" w:type="dxa"/>
          <w:right w:w="0" w:type="dxa"/>
        </w:tblCellMar>
        <w:tblLook w:val="01E0"/>
      </w:tblPr>
      <w:tblGrid>
        <w:gridCol w:w="2392"/>
        <w:gridCol w:w="2393"/>
        <w:gridCol w:w="2392"/>
        <w:gridCol w:w="2392"/>
      </w:tblGrid>
      <w:tr>
        <w:trPr>
          <w:trHeight w:val="709"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25" w:right="199"/>
              <w:jc w:val="left"/>
              <w:rPr>
                <w:rFonts w:ascii="宋体" w:hAnsi="宋体" w:cs="宋体" w:eastAsia="宋体" w:hint="default"/>
                <w:sz w:val="18"/>
                <w:szCs w:val="18"/>
              </w:rPr>
            </w:pPr>
            <w:r>
              <w:rPr>
                <w:rFonts w:ascii="宋体" w:hAnsi="宋体" w:cs="宋体" w:eastAsia="宋体" w:hint="default"/>
                <w:sz w:val="18"/>
                <w:szCs w:val="18"/>
              </w:rPr>
              <w:t>中关村示范区科技型小微企 业研发费用支持资金</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33" w:right="0"/>
              <w:jc w:val="left"/>
              <w:rPr>
                <w:rFonts w:ascii="Times New Roman" w:hAnsi="Times New Roman" w:cs="Times New Roman" w:eastAsia="Times New Roman" w:hint="default"/>
                <w:sz w:val="18"/>
                <w:szCs w:val="18"/>
              </w:rPr>
            </w:pPr>
            <w:r>
              <w:rPr>
                <w:rFonts w:ascii="Times New Roman"/>
                <w:sz w:val="18"/>
              </w:rPr>
              <w:t>28,049.00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28,049.00</w:t>
            </w:r>
          </w:p>
        </w:tc>
      </w:tr>
      <w:tr>
        <w:trPr>
          <w:trHeight w:val="397"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财政贷款贴息补助</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left="833" w:right="0"/>
              <w:jc w:val="left"/>
              <w:rPr>
                <w:rFonts w:ascii="Times New Roman" w:hAnsi="Times New Roman" w:cs="Times New Roman" w:eastAsia="Times New Roman" w:hint="default"/>
                <w:sz w:val="18"/>
                <w:szCs w:val="18"/>
              </w:rPr>
            </w:pPr>
            <w:r>
              <w:rPr>
                <w:rFonts w:ascii="Times New Roman"/>
                <w:sz w:val="18"/>
              </w:rPr>
              <w:t>20,718.45</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8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20,718.45</w:t>
            </w:r>
          </w:p>
        </w:tc>
      </w:tr>
      <w:tr>
        <w:trPr>
          <w:trHeight w:val="708"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51"/>
              <w:ind w:left="25" w:right="15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年第二批省科技基础条 件建设专项奖励</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33" w:right="0"/>
              <w:jc w:val="left"/>
              <w:rPr>
                <w:rFonts w:ascii="Times New Roman" w:hAnsi="Times New Roman" w:cs="Times New Roman" w:eastAsia="Times New Roman" w:hint="default"/>
                <w:sz w:val="18"/>
                <w:szCs w:val="18"/>
              </w:rPr>
            </w:pPr>
            <w:r>
              <w:rPr>
                <w:rFonts w:ascii="Times New Roman"/>
                <w:sz w:val="18"/>
              </w:rPr>
              <w:t>20,000.00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20,000.00</w:t>
            </w:r>
          </w:p>
        </w:tc>
      </w:tr>
      <w:tr>
        <w:trPr>
          <w:trHeight w:val="397"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国内专利授权奖励</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left="879" w:right="0"/>
              <w:jc w:val="left"/>
              <w:rPr>
                <w:rFonts w:ascii="Times New Roman" w:hAnsi="Times New Roman" w:cs="Times New Roman" w:eastAsia="Times New Roman" w:hint="default"/>
                <w:sz w:val="18"/>
                <w:szCs w:val="18"/>
              </w:rPr>
            </w:pPr>
            <w:r>
              <w:rPr>
                <w:rFonts w:ascii="Times New Roman"/>
                <w:sz w:val="18"/>
              </w:rPr>
              <w:t>5,000.00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8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5,000.00</w:t>
            </w:r>
          </w:p>
        </w:tc>
      </w:tr>
      <w:tr>
        <w:trPr>
          <w:trHeight w:val="397"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企业知识产权管理人员奖励</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left="879" w:right="0"/>
              <w:jc w:val="left"/>
              <w:rPr>
                <w:rFonts w:ascii="Times New Roman" w:hAnsi="Times New Roman" w:cs="Times New Roman" w:eastAsia="Times New Roman" w:hint="default"/>
                <w:sz w:val="18"/>
                <w:szCs w:val="18"/>
              </w:rPr>
            </w:pPr>
            <w:r>
              <w:rPr>
                <w:rFonts w:ascii="Times New Roman"/>
                <w:sz w:val="18"/>
              </w:rPr>
              <w:t>4,000.00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8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4,000.00</w:t>
            </w:r>
          </w:p>
        </w:tc>
      </w:tr>
      <w:tr>
        <w:trPr>
          <w:trHeight w:val="397"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知识产权奖励</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left="946" w:right="0"/>
              <w:jc w:val="left"/>
              <w:rPr>
                <w:rFonts w:ascii="Times New Roman" w:hAnsi="Times New Roman" w:cs="Times New Roman" w:eastAsia="Times New Roman" w:hint="default"/>
                <w:sz w:val="18"/>
                <w:szCs w:val="18"/>
              </w:rPr>
            </w:pPr>
            <w:r>
              <w:rPr>
                <w:rFonts w:ascii="Times New Roman"/>
                <w:sz w:val="18"/>
              </w:rPr>
              <w:t>500.00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8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500.00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2"/>
        <w:spacing w:line="240" w:lineRule="auto" w:before="157"/>
        <w:ind w:right="1113"/>
        <w:jc w:val="left"/>
        <w:rPr>
          <w:b w:val="0"/>
          <w:bCs w:val="0"/>
        </w:rPr>
      </w:pP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13"/>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3"/>
        <w:gridCol w:w="1064"/>
        <w:gridCol w:w="1064"/>
        <w:gridCol w:w="1063"/>
        <w:gridCol w:w="1062"/>
        <w:gridCol w:w="1062"/>
        <w:gridCol w:w="1062"/>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4"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4" w:hRule="exact"/>
        </w:trPr>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22" w:right="128"/>
              <w:jc w:val="both"/>
              <w:rPr>
                <w:rFonts w:ascii="宋体" w:hAnsi="宋体" w:cs="宋体" w:eastAsia="宋体" w:hint="default"/>
                <w:sz w:val="18"/>
                <w:szCs w:val="18"/>
              </w:rPr>
            </w:pPr>
            <w:r>
              <w:rPr>
                <w:rFonts w:ascii="宋体" w:hAnsi="宋体" w:cs="宋体" w:eastAsia="宋体" w:hint="default"/>
                <w:sz w:val="18"/>
                <w:szCs w:val="18"/>
              </w:rPr>
              <w:t>北京希嘉创 智教育科技 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达到控制权</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46,595,558.2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15,922,762.6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1063" w:type="dxa"/>
            <w:vMerge/>
            <w:tcBorders>
              <w:left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1063"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714" w:hRule="exact"/>
        </w:trPr>
        <w:tc>
          <w:tcPr>
            <w:tcW w:w="1063" w:type="dxa"/>
            <w:vMerge/>
            <w:tcBorders>
              <w:left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1063"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714" w:hRule="exact"/>
        </w:trPr>
        <w:tc>
          <w:tcPr>
            <w:tcW w:w="1063" w:type="dxa"/>
            <w:vMerge/>
            <w:tcBorders>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8,749,997.00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1063"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北京华驰联 创科技有限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12,486,364.0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已达到实际 控制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539,700.03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-1,110,815.30</w:t>
            </w: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8"/>
          <w:szCs w:val="18"/>
        </w:rPr>
      </w:pPr>
    </w:p>
    <w:p>
      <w:pPr>
        <w:pStyle w:val="BodyText"/>
        <w:spacing w:line="240" w:lineRule="auto" w:before="0"/>
        <w:ind w:left="574" w:right="1113"/>
        <w:jc w:val="left"/>
      </w:pPr>
      <w:r>
        <w:rPr>
          <w:rFonts w:ascii="Times New Roman" w:hAnsi="Times New Roman" w:cs="Times New Roman" w:eastAsia="Times New Roman" w:hint="default"/>
        </w:rPr>
        <w:t>2019</w:t>
      </w:r>
      <w:r>
        <w:rPr/>
        <w:t>年合并增加</w:t>
      </w:r>
      <w:r>
        <w:rPr>
          <w:rFonts w:ascii="Times New Roman" w:hAnsi="Times New Roman" w:cs="Times New Roman" w:eastAsia="Times New Roman" w:hint="default"/>
        </w:rPr>
        <w:t>3</w:t>
      </w:r>
      <w:r>
        <w:rPr/>
        <w:t>家，减少</w:t>
      </w:r>
      <w:r>
        <w:rPr>
          <w:rFonts w:ascii="Times New Roman" w:hAnsi="Times New Roman" w:cs="Times New Roman" w:eastAsia="Times New Roman" w:hint="default"/>
        </w:rPr>
        <w:t>1</w:t>
      </w:r>
      <w:r>
        <w:rPr/>
        <w:t>家，纳入合并范围的母子公司合计</w:t>
      </w:r>
      <w:r>
        <w:rPr>
          <w:rFonts w:ascii="Times New Roman" w:hAnsi="Times New Roman" w:cs="Times New Roman" w:eastAsia="Times New Roman" w:hint="default"/>
        </w:rPr>
        <w:t>9</w:t>
      </w:r>
      <w:r>
        <w:rPr/>
        <w:t>家。</w:t>
      </w:r>
    </w:p>
    <w:p>
      <w:pPr>
        <w:pStyle w:val="BodyText"/>
        <w:spacing w:line="240" w:lineRule="auto" w:before="177"/>
        <w:ind w:left="574" w:right="1113"/>
        <w:jc w:val="left"/>
        <w:rPr>
          <w:rFonts w:ascii="Times New Roman" w:hAnsi="Times New Roman" w:cs="Times New Roman" w:eastAsia="Times New Roman" w:hint="default"/>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日公司新设上海新开普志成信息科技有限公司，将其纳入报表合并范围内；</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p>
    <w:p>
      <w:pPr>
        <w:pStyle w:val="BodyText"/>
        <w:spacing w:line="240" w:lineRule="auto" w:before="177"/>
        <w:ind w:right="993"/>
        <w:jc w:val="left"/>
        <w:rPr>
          <w:rFonts w:ascii="Times New Roman" w:hAnsi="Times New Roman" w:cs="Times New Roman" w:eastAsia="Times New Roman" w:hint="default"/>
        </w:rPr>
      </w:pPr>
      <w:r>
        <w:rPr/>
        <w:t>月</w:t>
      </w:r>
      <w:r>
        <w:rPr>
          <w:rFonts w:ascii="Times New Roman" w:hAnsi="Times New Roman" w:cs="Times New Roman" w:eastAsia="Times New Roman" w:hint="default"/>
        </w:rPr>
        <w:t>31</w:t>
      </w:r>
      <w:r>
        <w:rPr/>
        <w:t>日公司收购北京希嘉创智教育科技有限公司部分股权后持有</w:t>
      </w:r>
      <w:r>
        <w:rPr>
          <w:rFonts w:ascii="Times New Roman" w:hAnsi="Times New Roman" w:cs="Times New Roman" w:eastAsia="Times New Roman" w:hint="default"/>
        </w:rPr>
        <w:t>51%</w:t>
      </w:r>
      <w:r>
        <w:rPr/>
        <w:t>，将其纳入报表合并范围内；</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p>
    <w:p>
      <w:pPr>
        <w:spacing w:after="0" w:line="240" w:lineRule="auto"/>
        <w:jc w:val="left"/>
        <w:rPr>
          <w:rFonts w:ascii="Times New Roman" w:hAnsi="Times New Roman" w:cs="Times New Roman" w:eastAsia="Times New Roman" w:hint="default"/>
        </w:rPr>
        <w:sectPr>
          <w:pgSz w:w="11910" w:h="16840"/>
          <w:pgMar w:header="877" w:footer="982" w:top="1100" w:bottom="1180" w:left="980" w:right="0"/>
        </w:sectPr>
      </w:pPr>
    </w:p>
    <w:p>
      <w:pPr>
        <w:spacing w:line="240" w:lineRule="auto" w:before="0"/>
        <w:rPr>
          <w:rFonts w:ascii="Times New Roman" w:hAnsi="Times New Roman" w:cs="Times New Roman" w:eastAsia="Times New Roman" w:hint="default"/>
          <w:sz w:val="20"/>
          <w:szCs w:val="20"/>
        </w:rPr>
      </w:pPr>
    </w:p>
    <w:p>
      <w:pPr>
        <w:pStyle w:val="BodyText"/>
        <w:spacing w:line="386" w:lineRule="auto" w:before="153"/>
        <w:ind w:left="153" w:right="1126"/>
        <w:jc w:val="left"/>
      </w:pPr>
      <w:r>
        <w:rPr/>
        <w:t>月</w:t>
      </w:r>
      <w:r>
        <w:rPr>
          <w:rFonts w:ascii="Times New Roman" w:hAnsi="Times New Roman" w:cs="Times New Roman" w:eastAsia="Times New Roman" w:hint="default"/>
        </w:rPr>
        <w:t>30</w:t>
      </w:r>
      <w:r>
        <w:rPr/>
        <w:t>日控股子公司完美数联（杭州）科技有限公司收购北京华驰联创科技有限公司股权</w:t>
      </w:r>
      <w:r>
        <w:rPr>
          <w:rFonts w:ascii="Times New Roman" w:hAnsi="Times New Roman" w:cs="Times New Roman" w:eastAsia="Times New Roman" w:hint="default"/>
        </w:rPr>
        <w:t>67%</w:t>
      </w:r>
      <w:r>
        <w:rPr/>
        <w:t>，将其纳入报</w:t>
      </w:r>
      <w:r>
        <w:rPr>
          <w:spacing w:val="-99"/>
        </w:rPr>
        <w:t> </w:t>
      </w:r>
      <w:r>
        <w:rPr>
          <w:spacing w:val="-99"/>
        </w:rPr>
      </w:r>
      <w:r>
        <w:rPr/>
        <w:t>表合并范围内。</w:t>
      </w:r>
    </w:p>
    <w:p>
      <w:pPr>
        <w:pStyle w:val="BodyText"/>
        <w:spacing w:line="240" w:lineRule="auto" w:before="65"/>
        <w:ind w:left="573" w:right="1113"/>
        <w:jc w:val="left"/>
      </w:pPr>
      <w:r>
        <w:rPr>
          <w:rFonts w:ascii="Times New Roman" w:hAnsi="Times New Roman" w:cs="Times New Roman" w:eastAsia="Times New Roman" w:hint="default"/>
        </w:rPr>
        <w:t>2</w:t>
      </w:r>
      <w:r>
        <w:rPr/>
        <w:t>、本年度注销子公司北京开普力维科技有限公司，注销后不再纳入合并范围。</w:t>
      </w:r>
    </w:p>
    <w:p>
      <w:pPr>
        <w:pStyle w:val="BodyText"/>
        <w:spacing w:line="391" w:lineRule="auto" w:before="177"/>
        <w:ind w:left="153" w:right="1127" w:firstLine="420"/>
        <w:jc w:val="both"/>
      </w:pPr>
      <w:r>
        <w:rPr>
          <w:rFonts w:ascii="Times New Roman" w:hAnsi="Times New Roman" w:cs="Times New Roman" w:eastAsia="Times New Roman" w:hint="default"/>
        </w:rPr>
        <w:t>3</w:t>
      </w:r>
      <w:r>
        <w:rPr/>
        <w:t>、业绩承诺：①希嘉教育：希嘉科技、希嘉发展中心及汪浩向新开普作出如下承诺，希嘉教育扣除</w:t>
      </w:r>
      <w:r>
        <w:rPr>
          <w:spacing w:val="2"/>
        </w:rPr>
        <w:t> </w:t>
      </w:r>
      <w:r>
        <w:rPr/>
        <w:t>非经常性损益后的净利润，即希嘉教育</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2021</w:t>
      </w:r>
      <w:r>
        <w:rPr/>
        <w:t>年实现扣非后净利润分别不低于</w:t>
      </w:r>
      <w:r>
        <w:rPr>
          <w:rFonts w:ascii="Times New Roman" w:hAnsi="Times New Roman" w:cs="Times New Roman" w:eastAsia="Times New Roman" w:hint="default"/>
        </w:rPr>
        <w:t>500</w:t>
      </w:r>
      <w:r>
        <w:rPr/>
        <w:t>万元、</w:t>
      </w:r>
      <w:r>
        <w:rPr>
          <w:spacing w:val="-41"/>
        </w:rPr>
        <w:t> </w:t>
      </w:r>
      <w:r>
        <w:rPr>
          <w:spacing w:val="-41"/>
        </w:rPr>
      </w:r>
      <w:r>
        <w:rPr>
          <w:rFonts w:ascii="Times New Roman" w:hAnsi="Times New Roman" w:cs="Times New Roman" w:eastAsia="Times New Roman" w:hint="default"/>
        </w:rPr>
        <w:t>800</w:t>
      </w:r>
      <w:r>
        <w:rPr/>
        <w:t>万元、</w:t>
      </w:r>
      <w:r>
        <w:rPr>
          <w:rFonts w:ascii="Times New Roman" w:hAnsi="Times New Roman" w:cs="Times New Roman" w:eastAsia="Times New Roman" w:hint="default"/>
        </w:rPr>
        <w:t>1000</w:t>
      </w:r>
      <w:r>
        <w:rPr/>
        <w:t>万元；②福建新开普：吴凤辉、王权汉、王爱娟、陈军方、叶泽泉方共同承诺，福建新开</w:t>
      </w:r>
      <w:r>
        <w:rPr>
          <w:spacing w:val="-37"/>
        </w:rPr>
        <w:t> </w:t>
      </w:r>
      <w:r>
        <w:rPr>
          <w:spacing w:val="-37"/>
        </w:rPr>
      </w:r>
      <w:r>
        <w:rPr>
          <w:spacing w:val="-1"/>
        </w:rPr>
        <w:t>普</w:t>
      </w:r>
      <w:r>
        <w:rPr>
          <w:rFonts w:ascii="Times New Roman" w:hAnsi="Times New Roman" w:cs="Times New Roman" w:eastAsia="Times New Roman" w:hint="default"/>
          <w:spacing w:val="-1"/>
        </w:rPr>
        <w:t>2019</w:t>
      </w:r>
      <w:r>
        <w:rPr>
          <w:spacing w:val="-1"/>
        </w:rPr>
        <w:t>年度、</w:t>
      </w:r>
      <w:r>
        <w:rPr>
          <w:rFonts w:ascii="Times New Roman" w:hAnsi="Times New Roman" w:cs="Times New Roman" w:eastAsia="Times New Roman" w:hint="default"/>
          <w:spacing w:val="-1"/>
        </w:rPr>
        <w:t>2020</w:t>
      </w:r>
      <w:r>
        <w:rPr>
          <w:spacing w:val="-1"/>
        </w:rPr>
        <w:t>年度实现的净利润（以当年经审计的扣除非经常性损益后归属于母公司股东的净利润为</w:t>
      </w:r>
      <w:r>
        <w:rPr>
          <w:spacing w:val="-83"/>
        </w:rPr>
        <w:t> </w:t>
      </w:r>
      <w:r>
        <w:rPr>
          <w:spacing w:val="-83"/>
        </w:rPr>
      </w:r>
      <w:r>
        <w:rPr>
          <w:spacing w:val="-1"/>
        </w:rPr>
        <w:t>准）分别不低于</w:t>
      </w:r>
      <w:r>
        <w:rPr>
          <w:rFonts w:ascii="Times New Roman" w:hAnsi="Times New Roman" w:cs="Times New Roman" w:eastAsia="Times New Roman" w:hint="default"/>
          <w:spacing w:val="-1"/>
        </w:rPr>
        <w:t>600</w:t>
      </w:r>
      <w:r>
        <w:rPr>
          <w:spacing w:val="-1"/>
        </w:rPr>
        <w:t>万元、</w:t>
      </w:r>
      <w:r>
        <w:rPr>
          <w:rFonts w:ascii="Times New Roman" w:hAnsi="Times New Roman" w:cs="Times New Roman" w:eastAsia="Times New Roman" w:hint="default"/>
          <w:spacing w:val="-1"/>
        </w:rPr>
        <w:t>800</w:t>
      </w:r>
      <w:r>
        <w:rPr>
          <w:spacing w:val="-1"/>
        </w:rPr>
        <w:t>万元。③华驰联创：交易方顾婷就华驰联创新增签约实施就业管理</w:t>
      </w:r>
      <w:r>
        <w:rPr>
          <w:rFonts w:ascii="Times New Roman" w:hAnsi="Times New Roman" w:cs="Times New Roman" w:eastAsia="Times New Roman" w:hint="default"/>
          <w:spacing w:val="-1"/>
        </w:rPr>
        <w:t>SaaS</w:t>
      </w:r>
      <w:r>
        <w:rPr>
          <w:spacing w:val="-1"/>
        </w:rPr>
        <w:t>系统</w:t>
      </w:r>
      <w:r>
        <w:rPr>
          <w:spacing w:val="-82"/>
        </w:rPr>
        <w:t> </w:t>
      </w:r>
      <w:r>
        <w:rPr>
          <w:spacing w:val="-1"/>
        </w:rPr>
        <w:t>的双一流高校及本科院校数量、营业收入中的企业付费收入金额、招聘就业中的招聘活跃企业数量等业绩</w:t>
      </w:r>
      <w:r>
        <w:rPr>
          <w:spacing w:val="-81"/>
        </w:rPr>
        <w:t> </w:t>
      </w:r>
      <w:r>
        <w:rPr>
          <w:spacing w:val="-81"/>
        </w:rPr>
      </w:r>
      <w:r>
        <w:rPr/>
        <w:t>指标做出业绩承诺。</w:t>
      </w:r>
    </w:p>
    <w:p>
      <w:pPr>
        <w:spacing w:line="240" w:lineRule="auto" w:before="9"/>
        <w:rPr>
          <w:rFonts w:ascii="宋体" w:hAnsi="宋体" w:cs="宋体" w:eastAsia="宋体" w:hint="default"/>
          <w:sz w:val="21"/>
          <w:szCs w:val="21"/>
        </w:rPr>
      </w:pPr>
    </w:p>
    <w:p>
      <w:pPr>
        <w:pStyle w:val="Heading3"/>
        <w:spacing w:line="240" w:lineRule="auto"/>
        <w:ind w:left="153" w:right="1113"/>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4" w:type="dxa"/>
        <w:tblLayout w:type="fixed"/>
        <w:tblCellMar>
          <w:top w:w="0" w:type="dxa"/>
          <w:left w:w="0" w:type="dxa"/>
          <w:bottom w:w="0" w:type="dxa"/>
          <w:right w:w="0" w:type="dxa"/>
        </w:tblCellMar>
        <w:tblLook w:val="01E0"/>
      </w:tblPr>
      <w:tblGrid>
        <w:gridCol w:w="3164"/>
        <w:gridCol w:w="3203"/>
        <w:gridCol w:w="3190"/>
      </w:tblGrid>
      <w:tr>
        <w:trPr>
          <w:trHeight w:val="397" w:hRule="exact"/>
        </w:trPr>
        <w:tc>
          <w:tcPr>
            <w:tcW w:w="316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20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希嘉教育</w:t>
            </w:r>
          </w:p>
        </w:tc>
        <w:tc>
          <w:tcPr>
            <w:tcW w:w="319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华驰联创</w:t>
            </w:r>
          </w:p>
        </w:tc>
      </w:tr>
      <w:tr>
        <w:trPr>
          <w:trHeight w:val="397" w:hRule="exact"/>
        </w:trPr>
        <w:tc>
          <w:tcPr>
            <w:tcW w:w="316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2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8,749,997.00</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8,850,000.00</w:t>
            </w:r>
          </w:p>
        </w:tc>
      </w:tr>
      <w:tr>
        <w:trPr>
          <w:trHeight w:val="709" w:hRule="exact"/>
        </w:trPr>
        <w:tc>
          <w:tcPr>
            <w:tcW w:w="316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02" w:lineRule="auto" w:before="51"/>
              <w:ind w:left="1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 允价值</w:t>
            </w:r>
          </w:p>
        </w:tc>
        <w:tc>
          <w:tcPr>
            <w:tcW w:w="3203" w:type="dxa"/>
            <w:tcBorders>
              <w:top w:val="single" w:sz="2" w:space="0" w:color="000000"/>
              <w:left w:val="single" w:sz="11" w:space="0" w:color="D3D3D3"/>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35,815,736.00</w:t>
            </w:r>
          </w:p>
        </w:tc>
        <w:tc>
          <w:tcPr>
            <w:tcW w:w="3190" w:type="dxa"/>
            <w:tcBorders>
              <w:top w:val="single" w:sz="2" w:space="0" w:color="000000"/>
              <w:left w:val="single" w:sz="2" w:space="0" w:color="000000"/>
              <w:bottom w:val="single" w:sz="2" w:space="0" w:color="000000"/>
              <w:right w:val="single" w:sz="2" w:space="0" w:color="000000"/>
            </w:tcBorders>
          </w:tcPr>
          <w:p>
            <w:pPr/>
          </w:p>
        </w:tc>
      </w:tr>
      <w:tr>
        <w:trPr>
          <w:trHeight w:val="397" w:hRule="exact"/>
        </w:trPr>
        <w:tc>
          <w:tcPr>
            <w:tcW w:w="316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203" w:type="dxa"/>
            <w:tcBorders>
              <w:top w:val="single" w:sz="2" w:space="0" w:color="000000"/>
              <w:left w:val="single" w:sz="11" w:space="0" w:color="D3D3D3"/>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44,565,733.00</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8,850,000.00</w:t>
            </w:r>
          </w:p>
        </w:tc>
      </w:tr>
      <w:tr>
        <w:trPr>
          <w:trHeight w:val="397" w:hRule="exact"/>
        </w:trPr>
        <w:tc>
          <w:tcPr>
            <w:tcW w:w="316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203" w:type="dxa"/>
            <w:tcBorders>
              <w:top w:val="single" w:sz="2" w:space="0" w:color="000000"/>
              <w:left w:val="single" w:sz="11" w:space="0" w:color="D3D3D3"/>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31,078,846.53</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2,353,800.64</w:t>
            </w:r>
          </w:p>
        </w:tc>
      </w:tr>
      <w:tr>
        <w:trPr>
          <w:trHeight w:val="709" w:hRule="exact"/>
        </w:trPr>
        <w:tc>
          <w:tcPr>
            <w:tcW w:w="316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00" w:lineRule="auto" w:before="51"/>
              <w:ind w:left="12" w:right="34"/>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 公允价值份额的金额</w:t>
            </w:r>
          </w:p>
        </w:tc>
        <w:tc>
          <w:tcPr>
            <w:tcW w:w="3203" w:type="dxa"/>
            <w:tcBorders>
              <w:top w:val="single" w:sz="2" w:space="0" w:color="000000"/>
              <w:left w:val="single" w:sz="11" w:space="0" w:color="D3D3D3"/>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13,486,886.47</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6,496,199.36</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51"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397" w:hRule="exact"/>
        </w:trPr>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
        </w:tc>
        <w:tc>
          <w:tcPr>
            <w:tcW w:w="3828" w:type="dxa"/>
            <w:gridSpan w:val="2"/>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希嘉教育</w:t>
            </w:r>
          </w:p>
        </w:tc>
        <w:tc>
          <w:tcPr>
            <w:tcW w:w="3828" w:type="dxa"/>
            <w:gridSpan w:val="2"/>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华驰联创</w:t>
            </w:r>
          </w:p>
        </w:tc>
      </w:tr>
      <w:tr>
        <w:trPr>
          <w:trHeight w:val="397" w:hRule="exact"/>
        </w:trPr>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
        </w:tc>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324"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324"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324"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96" w:hRule="exact"/>
        </w:trPr>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76,972,296.11</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76,972,296.11</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6,542,272.20</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603,252.90</w:t>
            </w:r>
          </w:p>
        </w:tc>
      </w:tr>
      <w:tr>
        <w:trPr>
          <w:trHeight w:val="397" w:hRule="exact"/>
        </w:trPr>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661,381.46</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661,381.46</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51,071.20</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51,071.20</w:t>
            </w:r>
          </w:p>
        </w:tc>
      </w:tr>
      <w:tr>
        <w:trPr>
          <w:trHeight w:val="397" w:hRule="exact"/>
        </w:trPr>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46,652,449.34</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46,652,449.34</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321,883.82</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321,883.82</w:t>
            </w:r>
          </w:p>
        </w:tc>
      </w:tr>
      <w:tr>
        <w:trPr>
          <w:trHeight w:val="397" w:hRule="exact"/>
        </w:trPr>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141,630.32</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141,630.32</w:t>
            </w:r>
          </w:p>
        </w:tc>
        <w:tc>
          <w:tcPr>
            <w:tcW w:w="1914" w:type="dxa"/>
            <w:tcBorders>
              <w:top w:val="single" w:sz="2" w:space="0" w:color="000000"/>
              <w:left w:val="single" w:sz="2" w:space="0" w:color="000000"/>
              <w:bottom w:val="single" w:sz="2" w:space="0" w:color="000000"/>
              <w:right w:val="single" w:sz="2" w:space="0" w:color="000000"/>
            </w:tcBorders>
          </w:tcPr>
          <w:p>
            <w:pPr/>
          </w:p>
        </w:tc>
        <w:tc>
          <w:tcPr>
            <w:tcW w:w="1914" w:type="dxa"/>
            <w:tcBorders>
              <w:top w:val="single" w:sz="2" w:space="0" w:color="000000"/>
              <w:left w:val="single" w:sz="2" w:space="0" w:color="000000"/>
              <w:bottom w:val="single" w:sz="2" w:space="0" w:color="000000"/>
              <w:right w:val="single" w:sz="2" w:space="0" w:color="000000"/>
            </w:tcBorders>
          </w:tcPr>
          <w:p>
            <w:pPr/>
          </w:p>
        </w:tc>
      </w:tr>
      <w:tr>
        <w:trPr>
          <w:trHeight w:val="397" w:hRule="exact"/>
        </w:trPr>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31,507.85</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31,507.85</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18,872.00</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20,540.89</w:t>
            </w:r>
          </w:p>
        </w:tc>
      </w:tr>
      <w:tr>
        <w:trPr>
          <w:trHeight w:val="397" w:hRule="exact"/>
        </w:trPr>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15,455,722.59</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15,455,722.59</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5,940,688.19</w:t>
            </w:r>
          </w:p>
        </w:tc>
        <w:tc>
          <w:tcPr>
            <w:tcW w:w="1914" w:type="dxa"/>
            <w:tcBorders>
              <w:top w:val="single" w:sz="2" w:space="0" w:color="000000"/>
              <w:left w:val="single" w:sz="2" w:space="0" w:color="000000"/>
              <w:bottom w:val="single" w:sz="2" w:space="0" w:color="000000"/>
              <w:right w:val="single" w:sz="2" w:space="0" w:color="000000"/>
            </w:tcBorders>
          </w:tcPr>
          <w:p>
            <w:pPr/>
          </w:p>
        </w:tc>
      </w:tr>
      <w:tr>
        <w:trPr>
          <w:trHeight w:val="397" w:hRule="exact"/>
        </w:trPr>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其他资产合计</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14,029,604.55</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14,029,604.55</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209,756.99</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209,756.99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51"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397" w:hRule="exact"/>
        </w:trPr>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16,033,381.35</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16,033,381.35</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2,552,779.59</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2,552,779.59</w:t>
            </w:r>
          </w:p>
        </w:tc>
      </w:tr>
      <w:tr>
        <w:trPr>
          <w:trHeight w:val="397" w:hRule="exact"/>
        </w:trPr>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6,867,400.05</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6,867,400.05</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80,000.00</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80,000.00</w:t>
            </w:r>
          </w:p>
        </w:tc>
      </w:tr>
      <w:tr>
        <w:trPr>
          <w:trHeight w:val="396" w:hRule="exact"/>
        </w:trPr>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其他负债合计</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9,165,981.30</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9,165,981.30</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2,472,779.59</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2,472,779.59</w:t>
            </w:r>
          </w:p>
        </w:tc>
      </w:tr>
      <w:tr>
        <w:trPr>
          <w:trHeight w:val="397" w:hRule="exact"/>
        </w:trPr>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60,938,914.76</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60,938,914.76</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3,989,492.61</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-1,949,526.69</w:t>
            </w:r>
          </w:p>
        </w:tc>
      </w:tr>
      <w:tr>
        <w:trPr>
          <w:trHeight w:val="397" w:hRule="exact"/>
        </w:trPr>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60,938,914.76</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60,938,914.76</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3,989,492.61</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-1,949,526.69</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line="240" w:lineRule="auto" w:before="12"/>
        <w:rPr>
          <w:rFonts w:ascii="宋体" w:hAnsi="宋体" w:cs="宋体" w:eastAsia="宋体" w:hint="default"/>
          <w:sz w:val="20"/>
          <w:szCs w:val="20"/>
        </w:rPr>
      </w:pPr>
    </w:p>
    <w:p>
      <w:pPr>
        <w:spacing w:before="0"/>
        <w:ind w:left="153"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5"/>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1591"/>
        <w:gridCol w:w="1591"/>
        <w:gridCol w:w="1596"/>
        <w:gridCol w:w="1596"/>
        <w:gridCol w:w="1596"/>
        <w:gridCol w:w="1596"/>
      </w:tblGrid>
      <w:tr>
        <w:trPr>
          <w:trHeight w:val="1333" w:hRule="exact"/>
        </w:trPr>
        <w:tc>
          <w:tcPr>
            <w:tcW w:w="1591"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591"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1" w:right="72"/>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股权在购买日的账 面价值</w:t>
            </w:r>
          </w:p>
        </w:tc>
        <w:tc>
          <w:tcPr>
            <w:tcW w:w="1596"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4" w:right="74"/>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股权在购买日的公 允价值</w:t>
            </w:r>
          </w:p>
        </w:tc>
        <w:tc>
          <w:tcPr>
            <w:tcW w:w="1596"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2"/>
              <w:ind w:left="74" w:right="74"/>
              <w:jc w:val="center"/>
              <w:rPr>
                <w:rFonts w:ascii="宋体" w:hAnsi="宋体" w:cs="宋体" w:eastAsia="宋体" w:hint="default"/>
                <w:sz w:val="18"/>
                <w:szCs w:val="18"/>
              </w:rPr>
            </w:pPr>
            <w:r>
              <w:rPr>
                <w:rFonts w:ascii="宋体" w:hAnsi="宋体" w:cs="宋体" w:eastAsia="宋体" w:hint="default"/>
                <w:sz w:val="18"/>
                <w:szCs w:val="18"/>
              </w:rPr>
              <w:t>购买日之前原持有 股权按照公允价值 重新计量产生的利 得或损失</w:t>
            </w:r>
          </w:p>
        </w:tc>
        <w:tc>
          <w:tcPr>
            <w:tcW w:w="1596"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2"/>
              <w:ind w:left="74" w:right="74"/>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股权在购买日的公 允价值的确定方法 及主要假设</w:t>
            </w:r>
          </w:p>
        </w:tc>
        <w:tc>
          <w:tcPr>
            <w:tcW w:w="1596"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2"/>
              <w:ind w:left="74" w:right="74"/>
              <w:jc w:val="center"/>
              <w:rPr>
                <w:rFonts w:ascii="宋体" w:hAnsi="宋体" w:cs="宋体" w:eastAsia="宋体" w:hint="default"/>
                <w:sz w:val="18"/>
                <w:szCs w:val="18"/>
              </w:rPr>
            </w:pPr>
            <w:r>
              <w:rPr>
                <w:rFonts w:ascii="宋体" w:hAnsi="宋体" w:cs="宋体" w:eastAsia="宋体" w:hint="default"/>
                <w:sz w:val="18"/>
                <w:szCs w:val="18"/>
              </w:rPr>
              <w:t>购买日之前与原持 有股权相关的其他 综合收益转入投资 收益的金额</w:t>
            </w:r>
          </w:p>
        </w:tc>
      </w:tr>
      <w:tr>
        <w:trPr>
          <w:trHeight w:val="709" w:hRule="exact"/>
        </w:trPr>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319" w:lineRule="auto" w:before="51"/>
              <w:ind w:left="25" w:right="119"/>
              <w:jc w:val="left"/>
              <w:rPr>
                <w:rFonts w:ascii="宋体" w:hAnsi="宋体" w:cs="宋体" w:eastAsia="宋体" w:hint="default"/>
                <w:sz w:val="18"/>
                <w:szCs w:val="18"/>
              </w:rPr>
            </w:pPr>
            <w:r>
              <w:rPr>
                <w:rFonts w:ascii="宋体" w:hAnsi="宋体" w:cs="宋体" w:eastAsia="宋体" w:hint="default"/>
                <w:sz w:val="18"/>
                <w:szCs w:val="18"/>
              </w:rPr>
              <w:t>北京希嘉创智教育 科技有限公司</w:t>
            </w: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1" w:right="0"/>
              <w:jc w:val="left"/>
              <w:rPr>
                <w:rFonts w:ascii="Times New Roman" w:hAnsi="Times New Roman" w:cs="Times New Roman" w:eastAsia="Times New Roman" w:hint="default"/>
                <w:sz w:val="18"/>
                <w:szCs w:val="18"/>
              </w:rPr>
            </w:pPr>
            <w:r>
              <w:rPr>
                <w:rFonts w:ascii="Times New Roman"/>
                <w:sz w:val="18"/>
              </w:rPr>
              <w:t>36,115,171.39</w:t>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0" w:right="0"/>
              <w:jc w:val="left"/>
              <w:rPr>
                <w:rFonts w:ascii="Times New Roman" w:hAnsi="Times New Roman" w:cs="Times New Roman" w:eastAsia="Times New Roman" w:hint="default"/>
                <w:sz w:val="18"/>
                <w:szCs w:val="18"/>
              </w:rPr>
            </w:pPr>
            <w:r>
              <w:rPr>
                <w:rFonts w:ascii="Times New Roman"/>
                <w:sz w:val="18"/>
              </w:rPr>
              <w:t>35,815,736.00</w:t>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4" w:right="0"/>
              <w:jc w:val="left"/>
              <w:rPr>
                <w:rFonts w:ascii="Times New Roman" w:hAnsi="Times New Roman" w:cs="Times New Roman" w:eastAsia="Times New Roman" w:hint="default"/>
                <w:sz w:val="18"/>
                <w:szCs w:val="18"/>
              </w:rPr>
            </w:pPr>
            <w:r>
              <w:rPr>
                <w:rFonts w:ascii="Times New Roman"/>
                <w:sz w:val="18"/>
              </w:rPr>
              <w:t>-299,435.39</w:t>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双方协商交易价格</w:t>
            </w:r>
          </w:p>
        </w:tc>
        <w:tc>
          <w:tcPr>
            <w:tcW w:w="1596" w:type="dxa"/>
            <w:tcBorders>
              <w:top w:val="single" w:sz="2" w:space="0" w:color="000000"/>
              <w:left w:val="single" w:sz="2" w:space="0" w:color="000000"/>
              <w:bottom w:val="single" w:sz="2" w:space="0" w:color="000000"/>
              <w:right w:val="single" w:sz="2"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240" w:lineRule="auto" w:before="10"/>
        <w:rPr>
          <w:rFonts w:ascii="宋体" w:hAnsi="宋体" w:cs="宋体" w:eastAsia="宋体" w:hint="default"/>
          <w:sz w:val="20"/>
          <w:szCs w:val="20"/>
        </w:rPr>
      </w:pPr>
    </w:p>
    <w:p>
      <w:pPr>
        <w:spacing w:line="489" w:lineRule="auto" w:before="0"/>
        <w:ind w:left="154" w:right="49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85"/>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9"/>
        <w:rPr>
          <w:rFonts w:ascii="宋体" w:hAnsi="宋体" w:cs="宋体" w:eastAsia="宋体" w:hint="default"/>
          <w:sz w:val="20"/>
          <w:szCs w:val="20"/>
        </w:rPr>
      </w:pPr>
      <w:r>
        <w:rPr/>
        <w:pict>
          <v:shape style="position:absolute;margin-left:119.340302pt;margin-top:623.340027pt;width:74.2pt;height:35.2pt;mso-position-horizontal-relative:page;mso-position-vertical-relative:page;z-index:-159714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25.339996pt;margin-top:623.340027pt;width:68.2pt;height:35.2pt;mso-position-horizontal-relative:page;mso-position-vertical-relative:page;z-index:-1597120" coordorigin="2507,12467" coordsize="1364,704">
            <v:group style="position:absolute;left:2507;top:12467;width:1364;height:704" coordorigin="2507,12467" coordsize="1364,704">
              <v:shape style="position:absolute;left:2507;top:12467;width:1364;height:704" coordorigin="2507,12467" coordsize="1364,704" path="m2507,13170l3870,13170,3870,12467,2507,12467,2507,13170xe" filled="true" fillcolor="#ffffff" stroked="false">
                <v:path arrowok="t"/>
                <v:fill type="solid"/>
              </v:shape>
            </v:group>
            <v:group style="position:absolute;left:2533;top:12623;width:1311;height:392" coordorigin="2533,12623" coordsize="1311,392">
              <v:shape style="position:absolute;left:2533;top:12623;width:1311;height:392" coordorigin="2533,12623" coordsize="1311,392" path="m2533,13014l3844,13014,3844,12623,2533,12623,2533,13014xe" filled="true" fillcolor="#ffffff" stroked="false">
                <v:path arrowok="t"/>
                <v:fill type="solid"/>
              </v:shape>
            </v:group>
            <w10:wrap type="none"/>
          </v:group>
        </w:pict>
      </w:r>
    </w:p>
    <w:p>
      <w:pPr>
        <w:pStyle w:val="Heading3"/>
        <w:spacing w:line="240" w:lineRule="auto" w:before="35"/>
        <w:ind w:right="1113"/>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8"/>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10"/>
        <w:rPr>
          <w:rFonts w:ascii="宋体" w:hAnsi="宋体" w:cs="宋体" w:eastAsia="宋体" w:hint="default"/>
          <w:sz w:val="18"/>
          <w:szCs w:val="18"/>
        </w:rPr>
      </w:pPr>
    </w:p>
    <w:p>
      <w:pPr>
        <w:pStyle w:val="BodyText"/>
        <w:spacing w:line="408" w:lineRule="auto" w:before="0"/>
        <w:ind w:right="1090" w:firstLine="420"/>
        <w:jc w:val="left"/>
      </w:pPr>
      <w:r>
        <w:rPr/>
        <w:t>本年度注销子公司北京开普力维科技有限公司，期初至处置日的收入、费用、利润纳入合并利润表； 期初至处置日的现金流量纳入合并现金流量表。</w:t>
      </w:r>
    </w:p>
    <w:p>
      <w:pPr>
        <w:spacing w:line="240" w:lineRule="auto" w:before="8"/>
        <w:rPr>
          <w:rFonts w:ascii="宋体" w:hAnsi="宋体" w:cs="宋体" w:eastAsia="宋体" w:hint="default"/>
          <w:sz w:val="20"/>
          <w:szCs w:val="20"/>
        </w:rPr>
      </w:pPr>
    </w:p>
    <w:p>
      <w:pPr>
        <w:spacing w:line="487" w:lineRule="auto" w:before="0"/>
        <w:ind w:left="154" w:right="81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111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51"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97" w:hRule="exact"/>
        </w:trPr>
        <w:tc>
          <w:tcPr>
            <w:tcW w:w="1372" w:type="dxa"/>
            <w:vMerge w:val="restart"/>
            <w:tcBorders>
              <w:top w:val="single" w:sz="2" w:space="0" w:color="000000"/>
              <w:left w:val="single" w:sz="2" w:space="0" w:color="000000"/>
              <w:right w:val="single" w:sz="2" w:space="0" w:color="000000"/>
            </w:tcBorders>
            <w:shd w:val="clear" w:color="auto" w:fill="D3D3D3"/>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2" w:space="0" w:color="000000"/>
              <w:left w:val="single" w:sz="2" w:space="0" w:color="000000"/>
              <w:right w:val="single" w:sz="2" w:space="0" w:color="000000"/>
            </w:tcBorders>
            <w:shd w:val="clear" w:color="auto" w:fill="D3D3D3"/>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2" w:space="0" w:color="000000"/>
              <w:left w:val="single" w:sz="2" w:space="0" w:color="000000"/>
              <w:right w:val="single" w:sz="2" w:space="0" w:color="000000"/>
            </w:tcBorders>
            <w:shd w:val="clear" w:color="auto" w:fill="D3D3D3"/>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2" w:space="0" w:color="000000"/>
              <w:left w:val="single" w:sz="2" w:space="0" w:color="000000"/>
              <w:right w:val="single" w:sz="2" w:space="0" w:color="000000"/>
            </w:tcBorders>
            <w:shd w:val="clear" w:color="auto" w:fill="D3D3D3"/>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2" w:space="0" w:color="000000"/>
              <w:left w:val="single" w:sz="2" w:space="0" w:color="000000"/>
              <w:right w:val="single" w:sz="2" w:space="0" w:color="000000"/>
            </w:tcBorders>
            <w:shd w:val="clear" w:color="auto" w:fill="D3D3D3"/>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96" w:hRule="exact"/>
        </w:trPr>
        <w:tc>
          <w:tcPr>
            <w:tcW w:w="1372" w:type="dxa"/>
            <w:vMerge/>
            <w:tcBorders>
              <w:left w:val="single" w:sz="2" w:space="0" w:color="000000"/>
              <w:bottom w:val="single" w:sz="2" w:space="0" w:color="000000"/>
              <w:right w:val="single" w:sz="2" w:space="0" w:color="000000"/>
            </w:tcBorders>
            <w:shd w:val="clear" w:color="auto" w:fill="D3D3D3"/>
          </w:tcPr>
          <w:p>
            <w:pPr/>
          </w:p>
        </w:tc>
        <w:tc>
          <w:tcPr>
            <w:tcW w:w="1367" w:type="dxa"/>
            <w:vMerge/>
            <w:tcBorders>
              <w:left w:val="single" w:sz="2" w:space="0" w:color="000000"/>
              <w:bottom w:val="single" w:sz="2" w:space="0" w:color="000000"/>
              <w:right w:val="single" w:sz="2" w:space="0" w:color="000000"/>
            </w:tcBorders>
            <w:shd w:val="clear" w:color="auto" w:fill="D3D3D3"/>
          </w:tcPr>
          <w:p>
            <w:pPr/>
          </w:p>
        </w:tc>
        <w:tc>
          <w:tcPr>
            <w:tcW w:w="1367" w:type="dxa"/>
            <w:vMerge/>
            <w:tcBorders>
              <w:left w:val="single" w:sz="2" w:space="0" w:color="000000"/>
              <w:bottom w:val="single" w:sz="2" w:space="0" w:color="000000"/>
              <w:right w:val="single" w:sz="2" w:space="0" w:color="000000"/>
            </w:tcBorders>
            <w:shd w:val="clear" w:color="auto" w:fill="D3D3D3"/>
          </w:tcPr>
          <w:p>
            <w:pPr/>
          </w:p>
        </w:tc>
        <w:tc>
          <w:tcPr>
            <w:tcW w:w="1367" w:type="dxa"/>
            <w:vMerge/>
            <w:tcBorders>
              <w:left w:val="single" w:sz="2" w:space="0" w:color="000000"/>
              <w:bottom w:val="single" w:sz="2" w:space="0" w:color="000000"/>
              <w:right w:val="single" w:sz="2" w:space="0" w:color="000000"/>
            </w:tcBorders>
            <w:shd w:val="clear" w:color="auto" w:fill="D3D3D3"/>
          </w:tcPr>
          <w:p>
            <w:pPr/>
          </w:p>
        </w:tc>
        <w:tc>
          <w:tcPr>
            <w:tcW w:w="136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2" w:space="0" w:color="000000"/>
              <w:bottom w:val="single" w:sz="2" w:space="0" w:color="000000"/>
              <w:right w:val="single" w:sz="2" w:space="0" w:color="000000"/>
            </w:tcBorders>
            <w:shd w:val="clear" w:color="auto" w:fill="D3D3D3"/>
          </w:tcPr>
          <w:p>
            <w:pPr/>
          </w:p>
        </w:tc>
      </w:tr>
      <w:tr>
        <w:trPr>
          <w:trHeight w:val="1021" w:hRule="exact"/>
        </w:trPr>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32" w:right="53" w:hanging="180"/>
              <w:jc w:val="left"/>
              <w:rPr>
                <w:rFonts w:ascii="宋体" w:hAnsi="宋体" w:cs="宋体" w:eastAsia="宋体" w:hint="default"/>
                <w:sz w:val="18"/>
                <w:szCs w:val="18"/>
              </w:rPr>
            </w:pPr>
            <w:r>
              <w:rPr>
                <w:rFonts w:ascii="宋体" w:hAnsi="宋体" w:cs="宋体" w:eastAsia="宋体" w:hint="default"/>
                <w:sz w:val="18"/>
                <w:szCs w:val="18"/>
              </w:rPr>
              <w:t>北京迪科远望科 技有限公司</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499"/>
              <w:jc w:val="righ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2"/>
              <w:ind w:left="50" w:right="49"/>
              <w:jc w:val="center"/>
              <w:rPr>
                <w:rFonts w:ascii="宋体" w:hAnsi="宋体" w:cs="宋体" w:eastAsia="宋体" w:hint="default"/>
                <w:sz w:val="18"/>
                <w:szCs w:val="18"/>
              </w:rPr>
            </w:pPr>
            <w:r>
              <w:rPr>
                <w:rFonts w:ascii="宋体" w:hAnsi="宋体" w:cs="宋体" w:eastAsia="宋体" w:hint="default"/>
                <w:sz w:val="18"/>
                <w:szCs w:val="18"/>
              </w:rPr>
              <w:t>智能一卡通系统 及产品的研发、 生产、销售</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2" w:space="0" w:color="000000"/>
              <w:left w:val="single" w:sz="2" w:space="0" w:color="000000"/>
              <w:bottom w:val="single" w:sz="2" w:space="0" w:color="000000"/>
              <w:right w:val="single" w:sz="2" w:space="0" w:color="000000"/>
            </w:tcBorders>
          </w:tcPr>
          <w:p>
            <w:pP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5" w:right="73"/>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55" w:hRule="exact"/>
        </w:trPr>
        <w:tc>
          <w:tcPr>
            <w:tcW w:w="1372" w:type="dxa"/>
            <w:tcBorders>
              <w:top w:val="single" w:sz="2" w:space="0" w:color="000000"/>
              <w:left w:val="single" w:sz="2" w:space="0" w:color="000000"/>
              <w:bottom w:val="nil" w:sz="6" w:space="0" w:color="auto"/>
              <w:right w:val="single" w:sz="2" w:space="0" w:color="000000"/>
            </w:tcBorders>
          </w:tcPr>
          <w:p>
            <w:pPr/>
          </w:p>
        </w:tc>
        <w:tc>
          <w:tcPr>
            <w:tcW w:w="1367" w:type="dxa"/>
            <w:tcBorders>
              <w:top w:val="single" w:sz="2" w:space="0" w:color="000000"/>
              <w:left w:val="single" w:sz="2" w:space="0" w:color="000000"/>
              <w:bottom w:val="nil" w:sz="6" w:space="0" w:color="auto"/>
              <w:right w:val="single" w:sz="2" w:space="0" w:color="000000"/>
            </w:tcBorders>
          </w:tcPr>
          <w:p>
            <w:pPr/>
          </w:p>
        </w:tc>
        <w:tc>
          <w:tcPr>
            <w:tcW w:w="1367" w:type="dxa"/>
            <w:tcBorders>
              <w:top w:val="single" w:sz="2" w:space="0" w:color="000000"/>
              <w:left w:val="single" w:sz="2" w:space="0" w:color="000000"/>
              <w:bottom w:val="nil" w:sz="6" w:space="0" w:color="auto"/>
              <w:right w:val="single" w:sz="2" w:space="0" w:color="000000"/>
            </w:tcBorders>
          </w:tcPr>
          <w:p>
            <w:pPr/>
          </w:p>
        </w:tc>
        <w:tc>
          <w:tcPr>
            <w:tcW w:w="1367"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智能一卡通系</w:t>
            </w:r>
          </w:p>
        </w:tc>
        <w:tc>
          <w:tcPr>
            <w:tcW w:w="1367" w:type="dxa"/>
            <w:tcBorders>
              <w:top w:val="single" w:sz="2" w:space="0" w:color="000000"/>
              <w:left w:val="single" w:sz="2" w:space="0" w:color="000000"/>
              <w:bottom w:val="nil" w:sz="6" w:space="0" w:color="auto"/>
              <w:right w:val="single" w:sz="2" w:space="0" w:color="000000"/>
            </w:tcBorders>
          </w:tcPr>
          <w:p>
            <w:pPr/>
          </w:p>
        </w:tc>
        <w:tc>
          <w:tcPr>
            <w:tcW w:w="1367" w:type="dxa"/>
            <w:vMerge w:val="restart"/>
            <w:tcBorders>
              <w:top w:val="single" w:sz="2" w:space="0" w:color="000000"/>
              <w:left w:val="single" w:sz="2" w:space="0" w:color="000000"/>
              <w:right w:val="single" w:sz="2" w:space="0" w:color="000000"/>
            </w:tcBorders>
          </w:tcPr>
          <w:p>
            <w:pPr/>
          </w:p>
        </w:tc>
        <w:tc>
          <w:tcPr>
            <w:tcW w:w="1366" w:type="dxa"/>
            <w:tcBorders>
              <w:top w:val="single" w:sz="2" w:space="0" w:color="000000"/>
              <w:left w:val="single" w:sz="2" w:space="0" w:color="000000"/>
              <w:bottom w:val="nil" w:sz="6" w:space="0" w:color="auto"/>
              <w:right w:val="single" w:sz="2" w:space="0" w:color="000000"/>
            </w:tcBorders>
          </w:tcPr>
          <w:p>
            <w:pPr/>
          </w:p>
        </w:tc>
      </w:tr>
      <w:tr>
        <w:trPr>
          <w:trHeight w:val="625" w:hRule="exact"/>
        </w:trPr>
        <w:tc>
          <w:tcPr>
            <w:tcW w:w="1372" w:type="dxa"/>
            <w:tcBorders>
              <w:top w:val="nil" w:sz="6" w:space="0" w:color="auto"/>
              <w:left w:val="single" w:sz="2" w:space="0" w:color="000000"/>
              <w:bottom w:val="nil" w:sz="6" w:space="0" w:color="auto"/>
              <w:right w:val="single" w:sz="2" w:space="0" w:color="000000"/>
            </w:tcBorders>
          </w:tcPr>
          <w:p>
            <w:pPr>
              <w:pStyle w:val="TableParagraph"/>
              <w:spacing w:line="319" w:lineRule="auto" w:before="10"/>
              <w:ind w:left="232" w:right="53" w:hanging="180"/>
              <w:jc w:val="left"/>
              <w:rPr>
                <w:rFonts w:ascii="宋体" w:hAnsi="宋体" w:cs="宋体" w:eastAsia="宋体" w:hint="default"/>
                <w:sz w:val="18"/>
                <w:szCs w:val="18"/>
              </w:rPr>
            </w:pPr>
            <w:r>
              <w:rPr>
                <w:rFonts w:ascii="宋体" w:hAnsi="宋体" w:cs="宋体" w:eastAsia="宋体" w:hint="default"/>
                <w:sz w:val="18"/>
                <w:szCs w:val="18"/>
              </w:rPr>
              <w:t>上海树维信息科 技有限公司</w:t>
            </w:r>
          </w:p>
        </w:tc>
        <w:tc>
          <w:tcPr>
            <w:tcW w:w="1367" w:type="dxa"/>
            <w:tcBorders>
              <w:top w:val="nil" w:sz="6" w:space="0" w:color="auto"/>
              <w:left w:val="single" w:sz="2" w:space="0" w:color="000000"/>
              <w:bottom w:val="nil" w:sz="6" w:space="0" w:color="auto"/>
              <w:right w:val="single" w:sz="2"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nil" w:sz="6" w:space="0" w:color="auto"/>
              <w:left w:val="single" w:sz="2" w:space="0" w:color="000000"/>
              <w:bottom w:val="nil" w:sz="6" w:space="0" w:color="auto"/>
              <w:right w:val="single" w:sz="2"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499"/>
              <w:jc w:val="righ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2" w:space="0" w:color="000000"/>
              <w:bottom w:val="nil" w:sz="6" w:space="0" w:color="auto"/>
              <w:right w:val="single" w:sz="2" w:space="0" w:color="000000"/>
            </w:tcBorders>
          </w:tcPr>
          <w:p>
            <w:pPr>
              <w:pStyle w:val="TableParagraph"/>
              <w:spacing w:line="316" w:lineRule="auto" w:before="10"/>
              <w:ind w:left="50" w:right="49"/>
              <w:jc w:val="left"/>
              <w:rPr>
                <w:rFonts w:ascii="宋体" w:hAnsi="宋体" w:cs="宋体" w:eastAsia="宋体" w:hint="default"/>
                <w:sz w:val="18"/>
                <w:szCs w:val="18"/>
              </w:rPr>
            </w:pPr>
            <w:r>
              <w:rPr>
                <w:rFonts w:ascii="宋体" w:hAnsi="宋体" w:cs="宋体" w:eastAsia="宋体" w:hint="default"/>
                <w:sz w:val="18"/>
                <w:szCs w:val="18"/>
              </w:rPr>
              <w:t>统、数字校园化 系统、教务系统</w:t>
            </w:r>
          </w:p>
        </w:tc>
        <w:tc>
          <w:tcPr>
            <w:tcW w:w="1367"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2" w:space="0" w:color="000000"/>
              <w:right w:val="single" w:sz="2" w:space="0" w:color="000000"/>
            </w:tcBorders>
          </w:tcPr>
          <w:p>
            <w:pPr/>
          </w:p>
        </w:tc>
        <w:tc>
          <w:tcPr>
            <w:tcW w:w="1366" w:type="dxa"/>
            <w:tcBorders>
              <w:top w:val="nil" w:sz="6" w:space="0" w:color="auto"/>
              <w:left w:val="single" w:sz="2" w:space="0" w:color="000000"/>
              <w:bottom w:val="nil" w:sz="6" w:space="0" w:color="auto"/>
              <w:right w:val="single" w:sz="2" w:space="0" w:color="000000"/>
            </w:tcBorders>
          </w:tcPr>
          <w:p>
            <w:pPr>
              <w:pStyle w:val="TableParagraph"/>
              <w:spacing w:line="319" w:lineRule="auto" w:before="10"/>
              <w:ind w:left="25" w:right="73"/>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53" w:hRule="exact"/>
        </w:trPr>
        <w:tc>
          <w:tcPr>
            <w:tcW w:w="1372" w:type="dxa"/>
            <w:tcBorders>
              <w:top w:val="nil" w:sz="6" w:space="0" w:color="auto"/>
              <w:left w:val="single" w:sz="2" w:space="0" w:color="000000"/>
              <w:bottom w:val="single" w:sz="2" w:space="0" w:color="000000"/>
              <w:right w:val="single" w:sz="2" w:space="0" w:color="000000"/>
            </w:tcBorders>
          </w:tcPr>
          <w:p>
            <w:pPr/>
          </w:p>
        </w:tc>
        <w:tc>
          <w:tcPr>
            <w:tcW w:w="1367" w:type="dxa"/>
            <w:tcBorders>
              <w:top w:val="nil" w:sz="6" w:space="0" w:color="auto"/>
              <w:left w:val="single" w:sz="2" w:space="0" w:color="000000"/>
              <w:bottom w:val="single" w:sz="2" w:space="0" w:color="000000"/>
              <w:right w:val="single" w:sz="2" w:space="0" w:color="000000"/>
            </w:tcBorders>
          </w:tcPr>
          <w:p>
            <w:pPr/>
          </w:p>
        </w:tc>
        <w:tc>
          <w:tcPr>
            <w:tcW w:w="1367" w:type="dxa"/>
            <w:tcBorders>
              <w:top w:val="nil" w:sz="6" w:space="0" w:color="auto"/>
              <w:left w:val="single" w:sz="2" w:space="0" w:color="000000"/>
              <w:bottom w:val="single" w:sz="2" w:space="0" w:color="000000"/>
              <w:right w:val="single" w:sz="2" w:space="0" w:color="000000"/>
            </w:tcBorders>
          </w:tcPr>
          <w:p>
            <w:pPr/>
          </w:p>
        </w:tc>
        <w:tc>
          <w:tcPr>
            <w:tcW w:w="1367"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的研发、销售</w:t>
            </w:r>
          </w:p>
        </w:tc>
        <w:tc>
          <w:tcPr>
            <w:tcW w:w="1367" w:type="dxa"/>
            <w:tcBorders>
              <w:top w:val="nil" w:sz="6" w:space="0" w:color="auto"/>
              <w:left w:val="single" w:sz="2" w:space="0" w:color="000000"/>
              <w:bottom w:val="single" w:sz="2" w:space="0" w:color="000000"/>
              <w:right w:val="single" w:sz="2" w:space="0" w:color="000000"/>
            </w:tcBorders>
          </w:tcPr>
          <w:p>
            <w:pPr/>
          </w:p>
        </w:tc>
        <w:tc>
          <w:tcPr>
            <w:tcW w:w="1367" w:type="dxa"/>
            <w:vMerge/>
            <w:tcBorders>
              <w:left w:val="single" w:sz="2" w:space="0" w:color="000000"/>
              <w:bottom w:val="single" w:sz="2" w:space="0" w:color="000000"/>
              <w:right w:val="single" w:sz="2" w:space="0" w:color="000000"/>
            </w:tcBorders>
          </w:tcPr>
          <w:p>
            <w:pPr/>
          </w:p>
        </w:tc>
        <w:tc>
          <w:tcPr>
            <w:tcW w:w="1366" w:type="dxa"/>
            <w:tcBorders>
              <w:top w:val="nil" w:sz="6" w:space="0" w:color="auto"/>
              <w:left w:val="single" w:sz="2" w:space="0" w:color="000000"/>
              <w:bottom w:val="single" w:sz="2" w:space="0" w:color="000000"/>
              <w:right w:val="single" w:sz="2" w:space="0" w:color="000000"/>
            </w:tcBorders>
          </w:tcPr>
          <w:p>
            <w:pPr/>
          </w:p>
        </w:tc>
      </w:tr>
      <w:tr>
        <w:trPr>
          <w:trHeight w:val="1021" w:hRule="exact"/>
        </w:trPr>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42" w:right="53" w:hanging="90"/>
              <w:jc w:val="left"/>
              <w:rPr>
                <w:rFonts w:ascii="宋体" w:hAnsi="宋体" w:cs="宋体" w:eastAsia="宋体" w:hint="default"/>
                <w:sz w:val="18"/>
                <w:szCs w:val="18"/>
              </w:rPr>
            </w:pPr>
            <w:r>
              <w:rPr>
                <w:rFonts w:ascii="宋体" w:hAnsi="宋体" w:cs="宋体" w:eastAsia="宋体" w:hint="default"/>
                <w:sz w:val="18"/>
                <w:szCs w:val="18"/>
              </w:rPr>
              <w:t>福建新开普信息 科技有限公司</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99"/>
              <w:jc w:val="righ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319" w:lineRule="auto" w:before="51"/>
              <w:ind w:left="50" w:right="49"/>
              <w:jc w:val="center"/>
              <w:rPr>
                <w:rFonts w:ascii="宋体" w:hAnsi="宋体" w:cs="宋体" w:eastAsia="宋体" w:hint="default"/>
                <w:sz w:val="18"/>
                <w:szCs w:val="18"/>
              </w:rPr>
            </w:pPr>
            <w:r>
              <w:rPr>
                <w:rFonts w:ascii="宋体" w:hAnsi="宋体" w:cs="宋体" w:eastAsia="宋体" w:hint="default"/>
                <w:sz w:val="18"/>
                <w:szCs w:val="18"/>
              </w:rPr>
              <w:t>能源监管平台系 统研发、生产与 销售</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2" w:space="0" w:color="000000"/>
              <w:left w:val="single" w:sz="2" w:space="0" w:color="000000"/>
              <w:bottom w:val="single" w:sz="2" w:space="0" w:color="000000"/>
              <w:right w:val="single" w:sz="2" w:space="0" w:color="000000"/>
            </w:tcBorders>
          </w:tcPr>
          <w:p>
            <w:pP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1" w:hRule="exact"/>
        </w:trPr>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2" w:right="53" w:hanging="270"/>
              <w:jc w:val="left"/>
              <w:rPr>
                <w:rFonts w:ascii="宋体" w:hAnsi="宋体" w:cs="宋体" w:eastAsia="宋体" w:hint="default"/>
                <w:sz w:val="18"/>
                <w:szCs w:val="18"/>
              </w:rPr>
            </w:pPr>
            <w:r>
              <w:rPr>
                <w:rFonts w:ascii="宋体" w:hAnsi="宋体" w:cs="宋体" w:eastAsia="宋体" w:hint="default"/>
                <w:sz w:val="18"/>
                <w:szCs w:val="18"/>
              </w:rPr>
              <w:t>郑州新开普科技 有限公司</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华中地区</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99"/>
              <w:jc w:val="right"/>
              <w:rPr>
                <w:rFonts w:ascii="宋体" w:hAnsi="宋体" w:cs="宋体" w:eastAsia="宋体" w:hint="default"/>
                <w:sz w:val="18"/>
                <w:szCs w:val="18"/>
              </w:rPr>
            </w:pPr>
            <w:r>
              <w:rPr>
                <w:rFonts w:ascii="宋体" w:hAnsi="宋体" w:cs="宋体" w:eastAsia="宋体" w:hint="default"/>
                <w:sz w:val="18"/>
                <w:szCs w:val="18"/>
              </w:rPr>
              <w:t>郑州</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50" w:right="49"/>
              <w:jc w:val="both"/>
              <w:rPr>
                <w:rFonts w:ascii="宋体" w:hAnsi="宋体" w:cs="宋体" w:eastAsia="宋体" w:hint="default"/>
                <w:sz w:val="18"/>
                <w:szCs w:val="18"/>
              </w:rPr>
            </w:pPr>
            <w:r>
              <w:rPr>
                <w:rFonts w:ascii="宋体" w:hAnsi="宋体" w:cs="宋体" w:eastAsia="宋体" w:hint="default"/>
                <w:sz w:val="18"/>
                <w:szCs w:val="18"/>
              </w:rPr>
              <w:t>网络技术、计算 机软硬件技术开 发、咨询服务</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2" w:space="0" w:color="000000"/>
              <w:left w:val="single" w:sz="2" w:space="0" w:color="000000"/>
              <w:bottom w:val="single" w:sz="2" w:space="0" w:color="000000"/>
              <w:right w:val="single" w:sz="2" w:space="0" w:color="000000"/>
            </w:tcBorders>
          </w:tcPr>
          <w:p>
            <w:pP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1" w:hRule="exact"/>
        </w:trPr>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52" w:right="53"/>
              <w:jc w:val="center"/>
              <w:rPr>
                <w:rFonts w:ascii="宋体" w:hAnsi="宋体" w:cs="宋体" w:eastAsia="宋体" w:hint="default"/>
                <w:sz w:val="18"/>
                <w:szCs w:val="18"/>
              </w:rPr>
            </w:pPr>
            <w:r>
              <w:rPr>
                <w:rFonts w:ascii="宋体" w:hAnsi="宋体" w:cs="宋体" w:eastAsia="宋体" w:hint="default"/>
                <w:sz w:val="18"/>
                <w:szCs w:val="18"/>
              </w:rPr>
              <w:t>上海新开普志成 信息科技有限公 司</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99"/>
              <w:jc w:val="righ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500" w:right="49" w:hanging="450"/>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2" w:space="0" w:color="000000"/>
              <w:left w:val="single" w:sz="2" w:space="0" w:color="000000"/>
              <w:bottom w:val="single" w:sz="2" w:space="0" w:color="000000"/>
              <w:right w:val="single" w:sz="2" w:space="0" w:color="000000"/>
            </w:tcBorders>
          </w:tcPr>
          <w:p>
            <w:pP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8" w:hRule="exact"/>
        </w:trPr>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142" w:right="114" w:hanging="118"/>
              <w:jc w:val="left"/>
              <w:rPr>
                <w:rFonts w:ascii="宋体" w:hAnsi="宋体" w:cs="宋体" w:eastAsia="宋体" w:hint="default"/>
                <w:sz w:val="18"/>
                <w:szCs w:val="18"/>
              </w:rPr>
            </w:pPr>
            <w:r>
              <w:rPr>
                <w:rFonts w:ascii="宋体" w:hAnsi="宋体" w:cs="宋体" w:eastAsia="宋体" w:hint="default"/>
                <w:spacing w:val="-5"/>
                <w:sz w:val="18"/>
                <w:szCs w:val="18"/>
              </w:rPr>
              <w:t>完美数联（杭州</w:t>
            </w:r>
            <w:r>
              <w:rPr>
                <w:rFonts w:ascii="宋体" w:hAnsi="宋体" w:cs="宋体" w:eastAsia="宋体" w:hint="default"/>
                <w:sz w:val="18"/>
                <w:szCs w:val="18"/>
              </w:rPr>
              <w:t> 科技有限公司</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99"/>
              <w:jc w:val="righ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500" w:right="49" w:hanging="450"/>
              <w:jc w:val="left"/>
              <w:rPr>
                <w:rFonts w:ascii="宋体" w:hAnsi="宋体" w:cs="宋体" w:eastAsia="宋体" w:hint="default"/>
                <w:sz w:val="18"/>
                <w:szCs w:val="18"/>
              </w:rPr>
            </w:pPr>
            <w:r>
              <w:rPr>
                <w:rFonts w:ascii="宋体" w:hAnsi="宋体" w:cs="宋体" w:eastAsia="宋体" w:hint="default"/>
                <w:sz w:val="18"/>
                <w:szCs w:val="18"/>
              </w:rPr>
              <w:t>科技推广和应用 服务</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68.19%</w:t>
            </w:r>
          </w:p>
        </w:tc>
        <w:tc>
          <w:tcPr>
            <w:tcW w:w="1367" w:type="dxa"/>
            <w:tcBorders>
              <w:top w:val="single" w:sz="2" w:space="0" w:color="000000"/>
              <w:left w:val="single" w:sz="2" w:space="0" w:color="000000"/>
              <w:bottom w:val="single" w:sz="2" w:space="0" w:color="000000"/>
              <w:right w:val="single" w:sz="2" w:space="0" w:color="000000"/>
            </w:tcBorders>
          </w:tcPr>
          <w:p>
            <w:pP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9" w:hRule="exact"/>
        </w:trPr>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2"/>
              <w:ind w:left="232" w:right="53" w:hanging="180"/>
              <w:jc w:val="left"/>
              <w:rPr>
                <w:rFonts w:ascii="宋体" w:hAnsi="宋体" w:cs="宋体" w:eastAsia="宋体" w:hint="default"/>
                <w:sz w:val="18"/>
                <w:szCs w:val="18"/>
              </w:rPr>
            </w:pPr>
            <w:r>
              <w:rPr>
                <w:rFonts w:ascii="宋体" w:hAnsi="宋体" w:cs="宋体" w:eastAsia="宋体" w:hint="default"/>
                <w:sz w:val="18"/>
                <w:szCs w:val="18"/>
              </w:rPr>
              <w:t>北京华驰联创科 技有限公司</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99"/>
              <w:jc w:val="righ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2"/>
              <w:ind w:left="500" w:right="49" w:hanging="450"/>
              <w:jc w:val="left"/>
              <w:rPr>
                <w:rFonts w:ascii="宋体" w:hAnsi="宋体" w:cs="宋体" w:eastAsia="宋体" w:hint="default"/>
                <w:sz w:val="18"/>
                <w:szCs w:val="18"/>
              </w:rPr>
            </w:pPr>
            <w:r>
              <w:rPr>
                <w:rFonts w:ascii="宋体" w:hAnsi="宋体" w:cs="宋体" w:eastAsia="宋体" w:hint="default"/>
                <w:sz w:val="18"/>
                <w:szCs w:val="18"/>
              </w:rPr>
              <w:t>科技推广和应用 服务</w:t>
            </w:r>
          </w:p>
        </w:tc>
        <w:tc>
          <w:tcPr>
            <w:tcW w:w="1367" w:type="dxa"/>
            <w:tcBorders>
              <w:top w:val="single" w:sz="2" w:space="0" w:color="000000"/>
              <w:left w:val="single" w:sz="2" w:space="0" w:color="000000"/>
              <w:bottom w:val="single" w:sz="2" w:space="0" w:color="000000"/>
              <w:right w:val="single" w:sz="2" w:space="0" w:color="000000"/>
            </w:tcBorders>
          </w:tcPr>
          <w:p>
            <w:pP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82" w:right="0"/>
              <w:jc w:val="left"/>
              <w:rPr>
                <w:rFonts w:ascii="Times New Roman" w:hAnsi="Times New Roman" w:cs="Times New Roman" w:eastAsia="Times New Roman" w:hint="default"/>
                <w:sz w:val="18"/>
                <w:szCs w:val="18"/>
              </w:rPr>
            </w:pPr>
            <w:r>
              <w:rPr>
                <w:rFonts w:ascii="Times New Roman"/>
                <w:sz w:val="18"/>
              </w:rPr>
              <w:t>67.00%</w:t>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2"/>
              <w:ind w:left="25" w:right="73"/>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55" w:hRule="exact"/>
        </w:trPr>
        <w:tc>
          <w:tcPr>
            <w:tcW w:w="1372" w:type="dxa"/>
            <w:tcBorders>
              <w:top w:val="single" w:sz="2" w:space="0" w:color="000000"/>
              <w:left w:val="single" w:sz="2" w:space="0" w:color="000000"/>
              <w:bottom w:val="nil" w:sz="6" w:space="0" w:color="auto"/>
              <w:right w:val="single" w:sz="2" w:space="0" w:color="000000"/>
            </w:tcBorders>
          </w:tcPr>
          <w:p>
            <w:pPr/>
          </w:p>
        </w:tc>
        <w:tc>
          <w:tcPr>
            <w:tcW w:w="1367" w:type="dxa"/>
            <w:tcBorders>
              <w:top w:val="single" w:sz="2" w:space="0" w:color="000000"/>
              <w:left w:val="single" w:sz="2" w:space="0" w:color="000000"/>
              <w:bottom w:val="nil" w:sz="6" w:space="0" w:color="auto"/>
              <w:right w:val="single" w:sz="2" w:space="0" w:color="000000"/>
            </w:tcBorders>
          </w:tcPr>
          <w:p>
            <w:pPr/>
          </w:p>
        </w:tc>
        <w:tc>
          <w:tcPr>
            <w:tcW w:w="1367" w:type="dxa"/>
            <w:tcBorders>
              <w:top w:val="single" w:sz="2" w:space="0" w:color="000000"/>
              <w:left w:val="single" w:sz="2" w:space="0" w:color="000000"/>
              <w:bottom w:val="nil" w:sz="6" w:space="0" w:color="auto"/>
              <w:right w:val="single" w:sz="2" w:space="0" w:color="000000"/>
            </w:tcBorders>
          </w:tcPr>
          <w:p>
            <w:pPr/>
          </w:p>
        </w:tc>
        <w:tc>
          <w:tcPr>
            <w:tcW w:w="1367"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教育领域大数据</w:t>
            </w:r>
          </w:p>
        </w:tc>
        <w:tc>
          <w:tcPr>
            <w:tcW w:w="1367" w:type="dxa"/>
            <w:tcBorders>
              <w:top w:val="single" w:sz="2" w:space="0" w:color="000000"/>
              <w:left w:val="single" w:sz="2" w:space="0" w:color="000000"/>
              <w:bottom w:val="nil" w:sz="6" w:space="0" w:color="auto"/>
              <w:right w:val="single" w:sz="2" w:space="0" w:color="000000"/>
            </w:tcBorders>
          </w:tcPr>
          <w:p>
            <w:pPr/>
          </w:p>
        </w:tc>
        <w:tc>
          <w:tcPr>
            <w:tcW w:w="1367" w:type="dxa"/>
            <w:vMerge w:val="restart"/>
            <w:tcBorders>
              <w:top w:val="single" w:sz="2" w:space="0" w:color="000000"/>
              <w:left w:val="single" w:sz="2" w:space="0" w:color="000000"/>
              <w:right w:val="single" w:sz="2" w:space="0" w:color="000000"/>
            </w:tcBorders>
          </w:tcPr>
          <w:p>
            <w:pPr/>
          </w:p>
        </w:tc>
        <w:tc>
          <w:tcPr>
            <w:tcW w:w="1366" w:type="dxa"/>
            <w:tcBorders>
              <w:top w:val="single" w:sz="2" w:space="0" w:color="000000"/>
              <w:left w:val="single" w:sz="2" w:space="0" w:color="000000"/>
              <w:bottom w:val="nil" w:sz="6" w:space="0" w:color="auto"/>
              <w:right w:val="single" w:sz="2" w:space="0" w:color="000000"/>
            </w:tcBorders>
          </w:tcPr>
          <w:p>
            <w:pPr/>
          </w:p>
        </w:tc>
      </w:tr>
      <w:tr>
        <w:trPr>
          <w:trHeight w:val="625" w:hRule="exact"/>
        </w:trPr>
        <w:tc>
          <w:tcPr>
            <w:tcW w:w="1372" w:type="dxa"/>
            <w:tcBorders>
              <w:top w:val="nil" w:sz="6" w:space="0" w:color="auto"/>
              <w:left w:val="single" w:sz="2" w:space="0" w:color="000000"/>
              <w:bottom w:val="nil" w:sz="6" w:space="0" w:color="auto"/>
              <w:right w:val="single" w:sz="2" w:space="0" w:color="000000"/>
            </w:tcBorders>
          </w:tcPr>
          <w:p>
            <w:pPr>
              <w:pStyle w:val="TableParagraph"/>
              <w:spacing w:line="319" w:lineRule="auto" w:before="10"/>
              <w:ind w:left="52" w:right="53"/>
              <w:jc w:val="left"/>
              <w:rPr>
                <w:rFonts w:ascii="宋体" w:hAnsi="宋体" w:cs="宋体" w:eastAsia="宋体" w:hint="default"/>
                <w:sz w:val="18"/>
                <w:szCs w:val="18"/>
              </w:rPr>
            </w:pPr>
            <w:r>
              <w:rPr>
                <w:rFonts w:ascii="宋体" w:hAnsi="宋体" w:cs="宋体" w:eastAsia="宋体" w:hint="default"/>
                <w:sz w:val="18"/>
                <w:szCs w:val="18"/>
              </w:rPr>
              <w:t>北京希嘉创智教 育科技有限公司</w:t>
            </w:r>
          </w:p>
        </w:tc>
        <w:tc>
          <w:tcPr>
            <w:tcW w:w="1367" w:type="dxa"/>
            <w:tcBorders>
              <w:top w:val="nil" w:sz="6" w:space="0" w:color="auto"/>
              <w:left w:val="single" w:sz="2" w:space="0" w:color="000000"/>
              <w:bottom w:val="nil" w:sz="6" w:space="0" w:color="auto"/>
              <w:right w:val="single" w:sz="2"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nil" w:sz="6" w:space="0" w:color="auto"/>
              <w:left w:val="single" w:sz="2" w:space="0" w:color="000000"/>
              <w:bottom w:val="nil" w:sz="6" w:space="0" w:color="auto"/>
              <w:right w:val="single" w:sz="2"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499"/>
              <w:jc w:val="righ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2" w:space="0" w:color="000000"/>
              <w:bottom w:val="nil" w:sz="6" w:space="0" w:color="auto"/>
              <w:right w:val="single" w:sz="2" w:space="0" w:color="000000"/>
            </w:tcBorders>
          </w:tcPr>
          <w:p>
            <w:pPr>
              <w:pStyle w:val="TableParagraph"/>
              <w:spacing w:line="316" w:lineRule="auto" w:before="10"/>
              <w:ind w:left="50" w:right="49" w:firstLine="90"/>
              <w:jc w:val="left"/>
              <w:rPr>
                <w:rFonts w:ascii="宋体" w:hAnsi="宋体" w:cs="宋体" w:eastAsia="宋体" w:hint="default"/>
                <w:sz w:val="18"/>
                <w:szCs w:val="18"/>
              </w:rPr>
            </w:pPr>
            <w:r>
              <w:rPr>
                <w:rFonts w:ascii="宋体" w:hAnsi="宋体" w:cs="宋体" w:eastAsia="宋体" w:hint="default"/>
                <w:sz w:val="18"/>
                <w:szCs w:val="18"/>
              </w:rPr>
              <w:t>产品开发及应 用、数据服务运</w:t>
            </w:r>
          </w:p>
        </w:tc>
        <w:tc>
          <w:tcPr>
            <w:tcW w:w="1367"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51.00%</w:t>
            </w:r>
          </w:p>
        </w:tc>
        <w:tc>
          <w:tcPr>
            <w:tcW w:w="1367" w:type="dxa"/>
            <w:vMerge/>
            <w:tcBorders>
              <w:left w:val="single" w:sz="2" w:space="0" w:color="000000"/>
              <w:right w:val="single" w:sz="2" w:space="0" w:color="000000"/>
            </w:tcBorders>
          </w:tcPr>
          <w:p>
            <w:pPr/>
          </w:p>
        </w:tc>
        <w:tc>
          <w:tcPr>
            <w:tcW w:w="1366" w:type="dxa"/>
            <w:tcBorders>
              <w:top w:val="nil" w:sz="6" w:space="0" w:color="auto"/>
              <w:left w:val="single" w:sz="2" w:space="0" w:color="000000"/>
              <w:bottom w:val="nil" w:sz="6" w:space="0" w:color="auto"/>
              <w:right w:val="single" w:sz="2" w:space="0" w:color="000000"/>
            </w:tcBorders>
          </w:tcPr>
          <w:p>
            <w:pPr>
              <w:pStyle w:val="TableParagraph"/>
              <w:spacing w:line="319" w:lineRule="auto" w:before="10"/>
              <w:ind w:left="25" w:right="73"/>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53" w:hRule="exact"/>
        </w:trPr>
        <w:tc>
          <w:tcPr>
            <w:tcW w:w="1372" w:type="dxa"/>
            <w:tcBorders>
              <w:top w:val="nil" w:sz="6" w:space="0" w:color="auto"/>
              <w:left w:val="single" w:sz="2" w:space="0" w:color="000000"/>
              <w:bottom w:val="single" w:sz="2" w:space="0" w:color="000000"/>
              <w:right w:val="single" w:sz="2" w:space="0" w:color="000000"/>
            </w:tcBorders>
          </w:tcPr>
          <w:p>
            <w:pPr/>
          </w:p>
        </w:tc>
        <w:tc>
          <w:tcPr>
            <w:tcW w:w="1367" w:type="dxa"/>
            <w:tcBorders>
              <w:top w:val="nil" w:sz="6" w:space="0" w:color="auto"/>
              <w:left w:val="single" w:sz="2" w:space="0" w:color="000000"/>
              <w:bottom w:val="single" w:sz="2" w:space="0" w:color="000000"/>
              <w:right w:val="single" w:sz="2" w:space="0" w:color="000000"/>
            </w:tcBorders>
          </w:tcPr>
          <w:p>
            <w:pPr/>
          </w:p>
        </w:tc>
        <w:tc>
          <w:tcPr>
            <w:tcW w:w="1367" w:type="dxa"/>
            <w:tcBorders>
              <w:top w:val="nil" w:sz="6" w:space="0" w:color="auto"/>
              <w:left w:val="single" w:sz="2" w:space="0" w:color="000000"/>
              <w:bottom w:val="single" w:sz="2" w:space="0" w:color="000000"/>
              <w:right w:val="single" w:sz="2" w:space="0" w:color="000000"/>
            </w:tcBorders>
          </w:tcPr>
          <w:p>
            <w:pPr/>
          </w:p>
        </w:tc>
        <w:tc>
          <w:tcPr>
            <w:tcW w:w="1367"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w:t>
            </w:r>
          </w:p>
        </w:tc>
        <w:tc>
          <w:tcPr>
            <w:tcW w:w="1367" w:type="dxa"/>
            <w:tcBorders>
              <w:top w:val="nil" w:sz="6" w:space="0" w:color="auto"/>
              <w:left w:val="single" w:sz="2" w:space="0" w:color="000000"/>
              <w:bottom w:val="single" w:sz="2" w:space="0" w:color="000000"/>
              <w:right w:val="single" w:sz="2" w:space="0" w:color="000000"/>
            </w:tcBorders>
          </w:tcPr>
          <w:p>
            <w:pPr/>
          </w:p>
        </w:tc>
        <w:tc>
          <w:tcPr>
            <w:tcW w:w="1367" w:type="dxa"/>
            <w:vMerge/>
            <w:tcBorders>
              <w:left w:val="single" w:sz="2" w:space="0" w:color="000000"/>
              <w:bottom w:val="single" w:sz="2" w:space="0" w:color="000000"/>
              <w:right w:val="single" w:sz="2" w:space="0" w:color="000000"/>
            </w:tcBorders>
          </w:tcPr>
          <w:p>
            <w:pPr/>
          </w:p>
        </w:tc>
        <w:tc>
          <w:tcPr>
            <w:tcW w:w="1366" w:type="dxa"/>
            <w:tcBorders>
              <w:top w:val="nil" w:sz="6" w:space="0" w:color="auto"/>
              <w:left w:val="single" w:sz="2" w:space="0" w:color="000000"/>
              <w:bottom w:val="single" w:sz="2" w:space="0" w:color="000000"/>
              <w:right w:val="single" w:sz="2" w:space="0" w:color="000000"/>
            </w:tcBorders>
          </w:tcPr>
          <w:p>
            <w:pPr/>
          </w:p>
        </w:tc>
      </w:tr>
    </w:tbl>
    <w:p>
      <w:pPr>
        <w:spacing w:after="0"/>
        <w:sectPr>
          <w:pgSz w:w="11910" w:h="16840"/>
          <w:pgMar w:header="877" w:footer="982" w:top="1100" w:bottom="1180" w:left="980" w:right="0"/>
        </w:sectPr>
      </w:pPr>
    </w:p>
    <w:p>
      <w:pPr>
        <w:spacing w:line="240" w:lineRule="auto" w:before="10"/>
        <w:rPr>
          <w:rFonts w:ascii="宋体" w:hAnsi="宋体" w:cs="宋体" w:eastAsia="宋体" w:hint="default"/>
          <w:b/>
          <w:bCs/>
          <w:sz w:val="20"/>
          <w:szCs w:val="20"/>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54" w:hRule="exact"/>
        </w:trPr>
        <w:tc>
          <w:tcPr>
            <w:tcW w:w="1916"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9" w:lineRule="auto" w:before="73"/>
              <w:ind w:left="774" w:right="53"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9" w:lineRule="auto" w:before="73"/>
              <w:ind w:left="594" w:right="53"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09" w:hRule="exact"/>
        </w:trPr>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25" w:right="84"/>
              <w:jc w:val="left"/>
              <w:rPr>
                <w:rFonts w:ascii="宋体" w:hAnsi="宋体" w:cs="宋体" w:eastAsia="宋体" w:hint="default"/>
                <w:sz w:val="18"/>
                <w:szCs w:val="18"/>
              </w:rPr>
            </w:pPr>
            <w:r>
              <w:rPr>
                <w:rFonts w:ascii="宋体" w:hAnsi="宋体" w:cs="宋体" w:eastAsia="宋体" w:hint="default"/>
                <w:sz w:val="18"/>
                <w:szCs w:val="18"/>
              </w:rPr>
              <w:t>福建新开普信息科技有 限公司</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-1,862,095.48</w:t>
            </w:r>
          </w:p>
        </w:tc>
        <w:tc>
          <w:tcPr>
            <w:tcW w:w="1913" w:type="dxa"/>
            <w:tcBorders>
              <w:top w:val="single" w:sz="2" w:space="0" w:color="000000"/>
              <w:left w:val="single" w:sz="2" w:space="0" w:color="000000"/>
              <w:bottom w:val="single" w:sz="2" w:space="0" w:color="000000"/>
              <w:right w:val="single" w:sz="2" w:space="0" w:color="000000"/>
            </w:tcBorders>
          </w:tcPr>
          <w:p>
            <w:pPr/>
          </w:p>
        </w:tc>
        <w:tc>
          <w:tcPr>
            <w:tcW w:w="19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4,887,364.45</w:t>
            </w:r>
          </w:p>
        </w:tc>
      </w:tr>
      <w:tr>
        <w:trPr>
          <w:trHeight w:val="708" w:hRule="exact"/>
        </w:trPr>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25" w:right="84"/>
              <w:jc w:val="left"/>
              <w:rPr>
                <w:rFonts w:ascii="宋体" w:hAnsi="宋体" w:cs="宋体" w:eastAsia="宋体" w:hint="default"/>
                <w:sz w:val="18"/>
                <w:szCs w:val="18"/>
              </w:rPr>
            </w:pPr>
            <w:r>
              <w:rPr>
                <w:rFonts w:ascii="宋体" w:hAnsi="宋体" w:cs="宋体" w:eastAsia="宋体" w:hint="default"/>
                <w:sz w:val="18"/>
                <w:szCs w:val="18"/>
              </w:rPr>
              <w:t>北京希嘉创智教育科技 有限公司</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7,802,153.68</w:t>
            </w:r>
          </w:p>
        </w:tc>
        <w:tc>
          <w:tcPr>
            <w:tcW w:w="1913" w:type="dxa"/>
            <w:tcBorders>
              <w:top w:val="single" w:sz="2" w:space="0" w:color="000000"/>
              <w:left w:val="single" w:sz="2" w:space="0" w:color="000000"/>
              <w:bottom w:val="single" w:sz="2" w:space="0" w:color="000000"/>
              <w:right w:val="single" w:sz="2" w:space="0" w:color="000000"/>
            </w:tcBorders>
          </w:tcPr>
          <w:p>
            <w:pPr/>
          </w:p>
        </w:tc>
        <w:tc>
          <w:tcPr>
            <w:tcW w:w="19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37,662,221.91</w:t>
            </w:r>
          </w:p>
        </w:tc>
      </w:tr>
      <w:tr>
        <w:trPr>
          <w:trHeight w:val="709" w:hRule="exact"/>
        </w:trPr>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2"/>
              <w:ind w:left="25" w:right="84"/>
              <w:jc w:val="left"/>
              <w:rPr>
                <w:rFonts w:ascii="宋体" w:hAnsi="宋体" w:cs="宋体" w:eastAsia="宋体" w:hint="default"/>
                <w:sz w:val="18"/>
                <w:szCs w:val="18"/>
              </w:rPr>
            </w:pPr>
            <w:r>
              <w:rPr>
                <w:rFonts w:ascii="宋体" w:hAnsi="宋体" w:cs="宋体" w:eastAsia="宋体" w:hint="default"/>
                <w:sz w:val="18"/>
                <w:szCs w:val="18"/>
              </w:rPr>
              <w:t>完美数联（杭州）科技 有限公司</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31.81%</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-4,860,494.34</w:t>
            </w:r>
          </w:p>
        </w:tc>
        <w:tc>
          <w:tcPr>
            <w:tcW w:w="1913" w:type="dxa"/>
            <w:tcBorders>
              <w:top w:val="single" w:sz="2" w:space="0" w:color="000000"/>
              <w:left w:val="single" w:sz="2" w:space="0" w:color="000000"/>
              <w:bottom w:val="single" w:sz="2" w:space="0" w:color="000000"/>
              <w:right w:val="single" w:sz="2" w:space="0" w:color="000000"/>
            </w:tcBorders>
          </w:tcPr>
          <w:p>
            <w:pPr/>
          </w:p>
        </w:tc>
        <w:tc>
          <w:tcPr>
            <w:tcW w:w="19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51,452,826.11</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736"/>
        <w:gridCol w:w="737"/>
        <w:gridCol w:w="736"/>
        <w:gridCol w:w="736"/>
        <w:gridCol w:w="737"/>
        <w:gridCol w:w="734"/>
        <w:gridCol w:w="736"/>
        <w:gridCol w:w="734"/>
        <w:gridCol w:w="736"/>
        <w:gridCol w:w="734"/>
        <w:gridCol w:w="737"/>
        <w:gridCol w:w="737"/>
        <w:gridCol w:w="736"/>
      </w:tblGrid>
      <w:tr>
        <w:trPr>
          <w:trHeight w:val="397" w:hRule="exact"/>
        </w:trPr>
        <w:tc>
          <w:tcPr>
            <w:tcW w:w="736" w:type="dxa"/>
            <w:vMerge w:val="restart"/>
            <w:tcBorders>
              <w:top w:val="single" w:sz="2" w:space="0" w:color="000000"/>
              <w:left w:val="single" w:sz="2" w:space="0" w:color="000000"/>
              <w:right w:val="single" w:sz="2"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319" w:lineRule="auto"/>
              <w:ind w:left="184" w:right="95"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08" w:hRule="exact"/>
        </w:trPr>
        <w:tc>
          <w:tcPr>
            <w:tcW w:w="736" w:type="dxa"/>
            <w:vMerge/>
            <w:tcBorders>
              <w:left w:val="single" w:sz="2" w:space="0" w:color="000000"/>
              <w:bottom w:val="single" w:sz="2" w:space="0" w:color="000000"/>
              <w:right w:val="single" w:sz="2" w:space="0" w:color="000000"/>
            </w:tcBorders>
            <w:shd w:val="clear" w:color="auto" w:fill="D3D3D3"/>
          </w:tcPr>
          <w:p>
            <w:pPr/>
          </w:p>
        </w:tc>
        <w:tc>
          <w:tcPr>
            <w:tcW w:w="73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276" w:right="95"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184" w:right="95"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274" w:right="95"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275" w:right="95"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184" w:right="92"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276" w:right="92"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274" w:right="92"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186" w:right="92"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274"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277"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186" w:right="95"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274" w:right="94"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356" w:hRule="exact"/>
        </w:trPr>
        <w:tc>
          <w:tcPr>
            <w:tcW w:w="736"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福建新</w:t>
            </w:r>
          </w:p>
        </w:tc>
        <w:tc>
          <w:tcPr>
            <w:tcW w:w="737" w:type="dxa"/>
            <w:tcBorders>
              <w:top w:val="single" w:sz="2" w:space="0" w:color="000000"/>
              <w:left w:val="single" w:sz="2" w:space="0" w:color="000000"/>
              <w:bottom w:val="nil" w:sz="6" w:space="0" w:color="auto"/>
              <w:right w:val="single" w:sz="2" w:space="0" w:color="000000"/>
            </w:tcBorders>
          </w:tcPr>
          <w:p>
            <w:pPr/>
          </w:p>
        </w:tc>
        <w:tc>
          <w:tcPr>
            <w:tcW w:w="736" w:type="dxa"/>
            <w:tcBorders>
              <w:top w:val="single" w:sz="2" w:space="0" w:color="000000"/>
              <w:left w:val="single" w:sz="2" w:space="0" w:color="000000"/>
              <w:bottom w:val="nil" w:sz="6" w:space="0" w:color="auto"/>
              <w:right w:val="single" w:sz="2" w:space="0" w:color="000000"/>
            </w:tcBorders>
          </w:tcPr>
          <w:p>
            <w:pPr/>
          </w:p>
        </w:tc>
        <w:tc>
          <w:tcPr>
            <w:tcW w:w="736" w:type="dxa"/>
            <w:tcBorders>
              <w:top w:val="single" w:sz="2" w:space="0" w:color="000000"/>
              <w:left w:val="single" w:sz="2" w:space="0" w:color="000000"/>
              <w:bottom w:val="nil" w:sz="6" w:space="0" w:color="auto"/>
              <w:right w:val="single" w:sz="2" w:space="0" w:color="000000"/>
            </w:tcBorders>
          </w:tcPr>
          <w:p>
            <w:pPr/>
          </w:p>
        </w:tc>
        <w:tc>
          <w:tcPr>
            <w:tcW w:w="737" w:type="dxa"/>
            <w:tcBorders>
              <w:top w:val="single" w:sz="2" w:space="0" w:color="000000"/>
              <w:left w:val="single" w:sz="2" w:space="0" w:color="000000"/>
              <w:bottom w:val="nil" w:sz="6" w:space="0" w:color="auto"/>
              <w:right w:val="single" w:sz="2" w:space="0" w:color="000000"/>
            </w:tcBorders>
          </w:tcPr>
          <w:p>
            <w:pPr/>
          </w:p>
        </w:tc>
        <w:tc>
          <w:tcPr>
            <w:tcW w:w="734" w:type="dxa"/>
            <w:vMerge w:val="restart"/>
            <w:tcBorders>
              <w:top w:val="single" w:sz="2" w:space="0" w:color="000000"/>
              <w:left w:val="single" w:sz="2" w:space="0" w:color="000000"/>
              <w:right w:val="single" w:sz="2" w:space="0" w:color="000000"/>
            </w:tcBorders>
          </w:tcPr>
          <w:p>
            <w:pPr/>
          </w:p>
        </w:tc>
        <w:tc>
          <w:tcPr>
            <w:tcW w:w="736" w:type="dxa"/>
            <w:tcBorders>
              <w:top w:val="single" w:sz="2" w:space="0" w:color="000000"/>
              <w:left w:val="single" w:sz="2" w:space="0" w:color="000000"/>
              <w:bottom w:val="nil" w:sz="6" w:space="0" w:color="auto"/>
              <w:right w:val="single" w:sz="2" w:space="0" w:color="000000"/>
            </w:tcBorders>
          </w:tcPr>
          <w:p>
            <w:pPr/>
          </w:p>
        </w:tc>
        <w:tc>
          <w:tcPr>
            <w:tcW w:w="734" w:type="dxa"/>
            <w:tcBorders>
              <w:top w:val="single" w:sz="2" w:space="0" w:color="000000"/>
              <w:left w:val="single" w:sz="2" w:space="0" w:color="000000"/>
              <w:bottom w:val="nil" w:sz="6" w:space="0" w:color="auto"/>
              <w:right w:val="single" w:sz="2" w:space="0" w:color="000000"/>
            </w:tcBorders>
          </w:tcPr>
          <w:p>
            <w:pPr/>
          </w:p>
        </w:tc>
        <w:tc>
          <w:tcPr>
            <w:tcW w:w="736" w:type="dxa"/>
            <w:tcBorders>
              <w:top w:val="single" w:sz="2" w:space="0" w:color="000000"/>
              <w:left w:val="single" w:sz="2" w:space="0" w:color="000000"/>
              <w:bottom w:val="nil" w:sz="6" w:space="0" w:color="auto"/>
              <w:right w:val="single" w:sz="2" w:space="0" w:color="000000"/>
            </w:tcBorders>
          </w:tcPr>
          <w:p>
            <w:pPr/>
          </w:p>
        </w:tc>
        <w:tc>
          <w:tcPr>
            <w:tcW w:w="734" w:type="dxa"/>
            <w:tcBorders>
              <w:top w:val="single" w:sz="2" w:space="0" w:color="000000"/>
              <w:left w:val="single" w:sz="2" w:space="0" w:color="000000"/>
              <w:bottom w:val="nil" w:sz="6" w:space="0" w:color="auto"/>
              <w:right w:val="single" w:sz="2" w:space="0" w:color="000000"/>
            </w:tcBorders>
          </w:tcPr>
          <w:p>
            <w:pPr/>
          </w:p>
        </w:tc>
        <w:tc>
          <w:tcPr>
            <w:tcW w:w="737" w:type="dxa"/>
            <w:tcBorders>
              <w:top w:val="single" w:sz="2" w:space="0" w:color="000000"/>
              <w:left w:val="single" w:sz="2" w:space="0" w:color="000000"/>
              <w:bottom w:val="nil" w:sz="6" w:space="0" w:color="auto"/>
              <w:right w:val="single" w:sz="2" w:space="0" w:color="000000"/>
            </w:tcBorders>
          </w:tcPr>
          <w:p>
            <w:pPr/>
          </w:p>
        </w:tc>
        <w:tc>
          <w:tcPr>
            <w:tcW w:w="737" w:type="dxa"/>
            <w:vMerge w:val="restart"/>
            <w:tcBorders>
              <w:top w:val="single" w:sz="2" w:space="0" w:color="000000"/>
              <w:left w:val="single" w:sz="2" w:space="0" w:color="000000"/>
              <w:right w:val="single" w:sz="2" w:space="0" w:color="000000"/>
            </w:tcBorders>
          </w:tcPr>
          <w:p>
            <w:pPr/>
          </w:p>
        </w:tc>
        <w:tc>
          <w:tcPr>
            <w:tcW w:w="736" w:type="dxa"/>
            <w:tcBorders>
              <w:top w:val="single" w:sz="2" w:space="0" w:color="000000"/>
              <w:left w:val="single" w:sz="2" w:space="0" w:color="000000"/>
              <w:bottom w:val="nil" w:sz="6" w:space="0" w:color="auto"/>
              <w:right w:val="single" w:sz="2" w:space="0" w:color="000000"/>
            </w:tcBorders>
          </w:tcPr>
          <w:p>
            <w:pPr/>
          </w:p>
        </w:tc>
      </w:tr>
      <w:tr>
        <w:trPr>
          <w:trHeight w:val="936" w:hRule="exact"/>
        </w:trPr>
        <w:tc>
          <w:tcPr>
            <w:tcW w:w="736" w:type="dxa"/>
            <w:tcBorders>
              <w:top w:val="nil" w:sz="6" w:space="0" w:color="auto"/>
              <w:left w:val="single" w:sz="2" w:space="0" w:color="000000"/>
              <w:bottom w:val="nil" w:sz="6" w:space="0" w:color="auto"/>
              <w:right w:val="single" w:sz="2" w:space="0" w:color="000000"/>
            </w:tcBorders>
          </w:tcPr>
          <w:p>
            <w:pPr>
              <w:pStyle w:val="TableParagraph"/>
              <w:spacing w:line="316" w:lineRule="auto" w:before="10"/>
              <w:ind w:left="25" w:right="163"/>
              <w:jc w:val="both"/>
              <w:rPr>
                <w:rFonts w:ascii="宋体" w:hAnsi="宋体" w:cs="宋体" w:eastAsia="宋体" w:hint="default"/>
                <w:sz w:val="18"/>
                <w:szCs w:val="18"/>
              </w:rPr>
            </w:pPr>
            <w:r>
              <w:rPr>
                <w:rFonts w:ascii="宋体" w:hAnsi="宋体" w:cs="宋体" w:eastAsia="宋体" w:hint="default"/>
                <w:sz w:val="18"/>
                <w:szCs w:val="18"/>
              </w:rPr>
              <w:t>开普信 息科技 有限公</w:t>
            </w:r>
          </w:p>
        </w:tc>
        <w:tc>
          <w:tcPr>
            <w:tcW w:w="737"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64,713,8</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58.09</w:t>
            </w:r>
          </w:p>
        </w:tc>
        <w:tc>
          <w:tcPr>
            <w:tcW w:w="736"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23,576,8</w:t>
            </w:r>
          </w:p>
          <w:p>
            <w:pPr>
              <w:pStyle w:val="TableParagraph"/>
              <w:spacing w:line="240" w:lineRule="auto" w:before="105"/>
              <w:ind w:left="301" w:right="0"/>
              <w:jc w:val="left"/>
              <w:rPr>
                <w:rFonts w:ascii="Times New Roman" w:hAnsi="Times New Roman" w:cs="Times New Roman" w:eastAsia="Times New Roman" w:hint="default"/>
                <w:sz w:val="18"/>
                <w:szCs w:val="18"/>
              </w:rPr>
            </w:pPr>
            <w:r>
              <w:rPr>
                <w:rFonts w:ascii="Times New Roman"/>
                <w:sz w:val="18"/>
              </w:rPr>
              <w:t>97.44</w:t>
            </w:r>
          </w:p>
        </w:tc>
        <w:tc>
          <w:tcPr>
            <w:tcW w:w="736"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88,290,7</w:t>
            </w:r>
          </w:p>
          <w:p>
            <w:pPr>
              <w:pStyle w:val="TableParagraph"/>
              <w:spacing w:line="240" w:lineRule="auto" w:before="105"/>
              <w:ind w:left="301" w:right="0"/>
              <w:jc w:val="left"/>
              <w:rPr>
                <w:rFonts w:ascii="Times New Roman" w:hAnsi="Times New Roman" w:cs="Times New Roman" w:eastAsia="Times New Roman" w:hint="default"/>
                <w:sz w:val="18"/>
                <w:szCs w:val="18"/>
              </w:rPr>
            </w:pPr>
            <w:r>
              <w:rPr>
                <w:rFonts w:ascii="Times New Roman"/>
                <w:sz w:val="18"/>
              </w:rPr>
              <w:t>55.53</w:t>
            </w:r>
          </w:p>
        </w:tc>
        <w:tc>
          <w:tcPr>
            <w:tcW w:w="737"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39,417,1</w:t>
            </w:r>
          </w:p>
          <w:p>
            <w:pPr>
              <w:pStyle w:val="TableParagraph"/>
              <w:spacing w:line="240" w:lineRule="auto" w:before="105"/>
              <w:ind w:left="308" w:right="0"/>
              <w:jc w:val="left"/>
              <w:rPr>
                <w:rFonts w:ascii="Times New Roman" w:hAnsi="Times New Roman" w:cs="Times New Roman" w:eastAsia="Times New Roman" w:hint="default"/>
                <w:sz w:val="18"/>
                <w:szCs w:val="18"/>
              </w:rPr>
            </w:pPr>
            <w:r>
              <w:rPr>
                <w:rFonts w:ascii="Times New Roman"/>
                <w:sz w:val="18"/>
              </w:rPr>
              <w:t>11.00</w:t>
            </w:r>
          </w:p>
        </w:tc>
        <w:tc>
          <w:tcPr>
            <w:tcW w:w="734" w:type="dxa"/>
            <w:vMerge/>
            <w:tcBorders>
              <w:left w:val="single" w:sz="2" w:space="0" w:color="000000"/>
              <w:right w:val="single" w:sz="2" w:space="0" w:color="000000"/>
            </w:tcBorders>
          </w:tcPr>
          <w:p>
            <w:pPr/>
          </w:p>
        </w:tc>
        <w:tc>
          <w:tcPr>
            <w:tcW w:w="736"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39,417,1</w:t>
            </w:r>
          </w:p>
          <w:p>
            <w:pPr>
              <w:pStyle w:val="TableParagraph"/>
              <w:spacing w:line="240" w:lineRule="auto" w:before="105"/>
              <w:ind w:left="307" w:right="0"/>
              <w:jc w:val="left"/>
              <w:rPr>
                <w:rFonts w:ascii="Times New Roman" w:hAnsi="Times New Roman" w:cs="Times New Roman" w:eastAsia="Times New Roman" w:hint="default"/>
                <w:sz w:val="18"/>
                <w:szCs w:val="18"/>
              </w:rPr>
            </w:pPr>
            <w:r>
              <w:rPr>
                <w:rFonts w:ascii="Times New Roman"/>
                <w:sz w:val="18"/>
              </w:rPr>
              <w:t>11.00</w:t>
            </w:r>
          </w:p>
        </w:tc>
        <w:tc>
          <w:tcPr>
            <w:tcW w:w="734"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54,110,9</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75.67</w:t>
            </w:r>
          </w:p>
        </w:tc>
        <w:tc>
          <w:tcPr>
            <w:tcW w:w="736"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24,617,0</w:t>
            </w:r>
          </w:p>
          <w:p>
            <w:pPr>
              <w:pStyle w:val="TableParagraph"/>
              <w:spacing w:line="240" w:lineRule="auto" w:before="105"/>
              <w:ind w:left="301" w:right="0"/>
              <w:jc w:val="left"/>
              <w:rPr>
                <w:rFonts w:ascii="Times New Roman" w:hAnsi="Times New Roman" w:cs="Times New Roman" w:eastAsia="Times New Roman" w:hint="default"/>
                <w:sz w:val="18"/>
                <w:szCs w:val="18"/>
              </w:rPr>
            </w:pPr>
            <w:r>
              <w:rPr>
                <w:rFonts w:ascii="Times New Roman"/>
                <w:sz w:val="18"/>
              </w:rPr>
              <w:t>10.41</w:t>
            </w:r>
          </w:p>
        </w:tc>
        <w:tc>
          <w:tcPr>
            <w:tcW w:w="734"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78,727,9</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86.08</w:t>
            </w:r>
          </w:p>
        </w:tc>
        <w:tc>
          <w:tcPr>
            <w:tcW w:w="737"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36,348,5</w:t>
            </w:r>
          </w:p>
          <w:p>
            <w:pPr>
              <w:pStyle w:val="TableParagraph"/>
              <w:spacing w:line="240" w:lineRule="auto" w:before="105"/>
              <w:ind w:left="303" w:right="0"/>
              <w:jc w:val="left"/>
              <w:rPr>
                <w:rFonts w:ascii="Times New Roman" w:hAnsi="Times New Roman" w:cs="Times New Roman" w:eastAsia="Times New Roman" w:hint="default"/>
                <w:sz w:val="18"/>
                <w:szCs w:val="18"/>
              </w:rPr>
            </w:pPr>
            <w:r>
              <w:rPr>
                <w:rFonts w:ascii="Times New Roman"/>
                <w:sz w:val="18"/>
              </w:rPr>
              <w:t>21.07</w:t>
            </w:r>
          </w:p>
        </w:tc>
        <w:tc>
          <w:tcPr>
            <w:tcW w:w="737" w:type="dxa"/>
            <w:vMerge/>
            <w:tcBorders>
              <w:left w:val="single" w:sz="2" w:space="0" w:color="000000"/>
              <w:right w:val="single" w:sz="2" w:space="0" w:color="000000"/>
            </w:tcBorders>
          </w:tcPr>
          <w:p>
            <w:pPr/>
          </w:p>
        </w:tc>
        <w:tc>
          <w:tcPr>
            <w:tcW w:w="736"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36,348,5</w:t>
            </w:r>
          </w:p>
          <w:p>
            <w:pPr>
              <w:pStyle w:val="TableParagraph"/>
              <w:spacing w:line="240" w:lineRule="auto" w:before="105"/>
              <w:ind w:left="301" w:right="0"/>
              <w:jc w:val="left"/>
              <w:rPr>
                <w:rFonts w:ascii="Times New Roman" w:hAnsi="Times New Roman" w:cs="Times New Roman" w:eastAsia="Times New Roman" w:hint="default"/>
                <w:sz w:val="18"/>
                <w:szCs w:val="18"/>
              </w:rPr>
            </w:pPr>
            <w:r>
              <w:rPr>
                <w:rFonts w:ascii="Times New Roman"/>
                <w:sz w:val="18"/>
              </w:rPr>
              <w:t>21.07</w:t>
            </w:r>
          </w:p>
        </w:tc>
      </w:tr>
      <w:tr>
        <w:trPr>
          <w:trHeight w:val="353" w:hRule="exact"/>
        </w:trPr>
        <w:tc>
          <w:tcPr>
            <w:tcW w:w="736"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7" w:type="dxa"/>
            <w:tcBorders>
              <w:top w:val="nil" w:sz="6" w:space="0" w:color="auto"/>
              <w:left w:val="single" w:sz="2" w:space="0" w:color="000000"/>
              <w:bottom w:val="single" w:sz="2" w:space="0" w:color="000000"/>
              <w:right w:val="single" w:sz="2" w:space="0" w:color="000000"/>
            </w:tcBorders>
          </w:tcPr>
          <w:p>
            <w:pPr/>
          </w:p>
        </w:tc>
        <w:tc>
          <w:tcPr>
            <w:tcW w:w="736" w:type="dxa"/>
            <w:tcBorders>
              <w:top w:val="nil" w:sz="6" w:space="0" w:color="auto"/>
              <w:left w:val="single" w:sz="2" w:space="0" w:color="000000"/>
              <w:bottom w:val="single" w:sz="2" w:space="0" w:color="000000"/>
              <w:right w:val="single" w:sz="2" w:space="0" w:color="000000"/>
            </w:tcBorders>
          </w:tcPr>
          <w:p>
            <w:pPr/>
          </w:p>
        </w:tc>
        <w:tc>
          <w:tcPr>
            <w:tcW w:w="736" w:type="dxa"/>
            <w:tcBorders>
              <w:top w:val="nil" w:sz="6" w:space="0" w:color="auto"/>
              <w:left w:val="single" w:sz="2" w:space="0" w:color="000000"/>
              <w:bottom w:val="single" w:sz="2" w:space="0" w:color="000000"/>
              <w:right w:val="single" w:sz="2" w:space="0" w:color="000000"/>
            </w:tcBorders>
          </w:tcPr>
          <w:p>
            <w:pPr/>
          </w:p>
        </w:tc>
        <w:tc>
          <w:tcPr>
            <w:tcW w:w="737" w:type="dxa"/>
            <w:tcBorders>
              <w:top w:val="nil" w:sz="6" w:space="0" w:color="auto"/>
              <w:left w:val="single" w:sz="2" w:space="0" w:color="000000"/>
              <w:bottom w:val="single" w:sz="2" w:space="0" w:color="000000"/>
              <w:right w:val="single" w:sz="2" w:space="0" w:color="000000"/>
            </w:tcBorders>
          </w:tcPr>
          <w:p>
            <w:pPr/>
          </w:p>
        </w:tc>
        <w:tc>
          <w:tcPr>
            <w:tcW w:w="734" w:type="dxa"/>
            <w:vMerge/>
            <w:tcBorders>
              <w:left w:val="single" w:sz="2" w:space="0" w:color="000000"/>
              <w:bottom w:val="single" w:sz="2" w:space="0" w:color="000000"/>
              <w:right w:val="single" w:sz="2" w:space="0" w:color="000000"/>
            </w:tcBorders>
          </w:tcPr>
          <w:p>
            <w:pPr/>
          </w:p>
        </w:tc>
        <w:tc>
          <w:tcPr>
            <w:tcW w:w="736" w:type="dxa"/>
            <w:tcBorders>
              <w:top w:val="nil" w:sz="6" w:space="0" w:color="auto"/>
              <w:left w:val="single" w:sz="2" w:space="0" w:color="000000"/>
              <w:bottom w:val="single" w:sz="2" w:space="0" w:color="000000"/>
              <w:right w:val="single" w:sz="2" w:space="0" w:color="000000"/>
            </w:tcBorders>
          </w:tcPr>
          <w:p>
            <w:pPr/>
          </w:p>
        </w:tc>
        <w:tc>
          <w:tcPr>
            <w:tcW w:w="734" w:type="dxa"/>
            <w:tcBorders>
              <w:top w:val="nil" w:sz="6" w:space="0" w:color="auto"/>
              <w:left w:val="single" w:sz="2" w:space="0" w:color="000000"/>
              <w:bottom w:val="single" w:sz="2" w:space="0" w:color="000000"/>
              <w:right w:val="single" w:sz="2" w:space="0" w:color="000000"/>
            </w:tcBorders>
          </w:tcPr>
          <w:p>
            <w:pPr/>
          </w:p>
        </w:tc>
        <w:tc>
          <w:tcPr>
            <w:tcW w:w="736" w:type="dxa"/>
            <w:tcBorders>
              <w:top w:val="nil" w:sz="6" w:space="0" w:color="auto"/>
              <w:left w:val="single" w:sz="2" w:space="0" w:color="000000"/>
              <w:bottom w:val="single" w:sz="2" w:space="0" w:color="000000"/>
              <w:right w:val="single" w:sz="2" w:space="0" w:color="000000"/>
            </w:tcBorders>
          </w:tcPr>
          <w:p>
            <w:pPr/>
          </w:p>
        </w:tc>
        <w:tc>
          <w:tcPr>
            <w:tcW w:w="734" w:type="dxa"/>
            <w:tcBorders>
              <w:top w:val="nil" w:sz="6" w:space="0" w:color="auto"/>
              <w:left w:val="single" w:sz="2" w:space="0" w:color="000000"/>
              <w:bottom w:val="single" w:sz="2" w:space="0" w:color="000000"/>
              <w:right w:val="single" w:sz="2" w:space="0" w:color="000000"/>
            </w:tcBorders>
          </w:tcPr>
          <w:p>
            <w:pPr/>
          </w:p>
        </w:tc>
        <w:tc>
          <w:tcPr>
            <w:tcW w:w="737" w:type="dxa"/>
            <w:tcBorders>
              <w:top w:val="nil" w:sz="6" w:space="0" w:color="auto"/>
              <w:left w:val="single" w:sz="2" w:space="0" w:color="000000"/>
              <w:bottom w:val="single" w:sz="2" w:space="0" w:color="000000"/>
              <w:right w:val="single" w:sz="2" w:space="0" w:color="000000"/>
            </w:tcBorders>
          </w:tcPr>
          <w:p>
            <w:pPr/>
          </w:p>
        </w:tc>
        <w:tc>
          <w:tcPr>
            <w:tcW w:w="737" w:type="dxa"/>
            <w:vMerge/>
            <w:tcBorders>
              <w:left w:val="single" w:sz="2" w:space="0" w:color="000000"/>
              <w:bottom w:val="single" w:sz="2" w:space="0" w:color="000000"/>
              <w:right w:val="single" w:sz="2" w:space="0" w:color="000000"/>
            </w:tcBorders>
          </w:tcPr>
          <w:p>
            <w:pPr/>
          </w:p>
        </w:tc>
        <w:tc>
          <w:tcPr>
            <w:tcW w:w="736" w:type="dxa"/>
            <w:tcBorders>
              <w:top w:val="nil" w:sz="6" w:space="0" w:color="auto"/>
              <w:left w:val="single" w:sz="2" w:space="0" w:color="000000"/>
              <w:bottom w:val="single" w:sz="2" w:space="0" w:color="000000"/>
              <w:right w:val="single" w:sz="2" w:space="0" w:color="000000"/>
            </w:tcBorders>
          </w:tcPr>
          <w:p>
            <w:pPr/>
          </w:p>
        </w:tc>
      </w:tr>
      <w:tr>
        <w:trPr>
          <w:trHeight w:val="355" w:hRule="exact"/>
        </w:trPr>
        <w:tc>
          <w:tcPr>
            <w:tcW w:w="736"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北京希</w:t>
            </w:r>
          </w:p>
        </w:tc>
        <w:tc>
          <w:tcPr>
            <w:tcW w:w="737" w:type="dxa"/>
            <w:tcBorders>
              <w:top w:val="single" w:sz="2" w:space="0" w:color="000000"/>
              <w:left w:val="single" w:sz="2" w:space="0" w:color="000000"/>
              <w:bottom w:val="nil" w:sz="6" w:space="0" w:color="auto"/>
              <w:right w:val="single" w:sz="2" w:space="0" w:color="000000"/>
            </w:tcBorders>
          </w:tcPr>
          <w:p>
            <w:pPr/>
          </w:p>
        </w:tc>
        <w:tc>
          <w:tcPr>
            <w:tcW w:w="736" w:type="dxa"/>
            <w:tcBorders>
              <w:top w:val="single" w:sz="2" w:space="0" w:color="000000"/>
              <w:left w:val="single" w:sz="2" w:space="0" w:color="000000"/>
              <w:bottom w:val="nil" w:sz="6" w:space="0" w:color="auto"/>
              <w:right w:val="single" w:sz="2" w:space="0" w:color="000000"/>
            </w:tcBorders>
          </w:tcPr>
          <w:p>
            <w:pPr/>
          </w:p>
        </w:tc>
        <w:tc>
          <w:tcPr>
            <w:tcW w:w="736" w:type="dxa"/>
            <w:tcBorders>
              <w:top w:val="single" w:sz="2" w:space="0" w:color="000000"/>
              <w:left w:val="single" w:sz="2" w:space="0" w:color="000000"/>
              <w:bottom w:val="nil" w:sz="6" w:space="0" w:color="auto"/>
              <w:right w:val="single" w:sz="2" w:space="0" w:color="000000"/>
            </w:tcBorders>
          </w:tcPr>
          <w:p>
            <w:pPr/>
          </w:p>
        </w:tc>
        <w:tc>
          <w:tcPr>
            <w:tcW w:w="737" w:type="dxa"/>
            <w:tcBorders>
              <w:top w:val="single" w:sz="2" w:space="0" w:color="000000"/>
              <w:left w:val="single" w:sz="2" w:space="0" w:color="000000"/>
              <w:bottom w:val="nil" w:sz="6" w:space="0" w:color="auto"/>
              <w:right w:val="single" w:sz="2" w:space="0" w:color="000000"/>
            </w:tcBorders>
          </w:tcPr>
          <w:p>
            <w:pPr/>
          </w:p>
        </w:tc>
        <w:tc>
          <w:tcPr>
            <w:tcW w:w="734" w:type="dxa"/>
            <w:vMerge w:val="restart"/>
            <w:tcBorders>
              <w:top w:val="single" w:sz="2" w:space="0" w:color="000000"/>
              <w:left w:val="single" w:sz="2" w:space="0" w:color="000000"/>
              <w:right w:val="single" w:sz="2" w:space="0" w:color="000000"/>
            </w:tcBorders>
          </w:tcPr>
          <w:p>
            <w:pPr/>
          </w:p>
        </w:tc>
        <w:tc>
          <w:tcPr>
            <w:tcW w:w="736" w:type="dxa"/>
            <w:tcBorders>
              <w:top w:val="single" w:sz="2" w:space="0" w:color="000000"/>
              <w:left w:val="single" w:sz="2" w:space="0" w:color="000000"/>
              <w:bottom w:val="nil" w:sz="6" w:space="0" w:color="auto"/>
              <w:right w:val="single" w:sz="2" w:space="0" w:color="000000"/>
            </w:tcBorders>
          </w:tcPr>
          <w:p>
            <w:pPr/>
          </w:p>
        </w:tc>
        <w:tc>
          <w:tcPr>
            <w:tcW w:w="734" w:type="dxa"/>
            <w:tcBorders>
              <w:top w:val="single" w:sz="2" w:space="0" w:color="000000"/>
              <w:left w:val="single" w:sz="2" w:space="0" w:color="000000"/>
              <w:bottom w:val="nil" w:sz="6" w:space="0" w:color="auto"/>
              <w:right w:val="single" w:sz="2" w:space="0" w:color="000000"/>
            </w:tcBorders>
          </w:tcPr>
          <w:p>
            <w:pPr/>
          </w:p>
        </w:tc>
        <w:tc>
          <w:tcPr>
            <w:tcW w:w="736" w:type="dxa"/>
            <w:tcBorders>
              <w:top w:val="single" w:sz="2" w:space="0" w:color="000000"/>
              <w:left w:val="single" w:sz="2" w:space="0" w:color="000000"/>
              <w:bottom w:val="nil" w:sz="6" w:space="0" w:color="auto"/>
              <w:right w:val="single" w:sz="2" w:space="0" w:color="000000"/>
            </w:tcBorders>
          </w:tcPr>
          <w:p>
            <w:pPr/>
          </w:p>
        </w:tc>
        <w:tc>
          <w:tcPr>
            <w:tcW w:w="734" w:type="dxa"/>
            <w:tcBorders>
              <w:top w:val="single" w:sz="2" w:space="0" w:color="000000"/>
              <w:left w:val="single" w:sz="2" w:space="0" w:color="000000"/>
              <w:bottom w:val="nil" w:sz="6" w:space="0" w:color="auto"/>
              <w:right w:val="single" w:sz="2" w:space="0" w:color="000000"/>
            </w:tcBorders>
          </w:tcPr>
          <w:p>
            <w:pPr/>
          </w:p>
        </w:tc>
        <w:tc>
          <w:tcPr>
            <w:tcW w:w="737" w:type="dxa"/>
            <w:tcBorders>
              <w:top w:val="single" w:sz="2" w:space="0" w:color="000000"/>
              <w:left w:val="single" w:sz="2" w:space="0" w:color="000000"/>
              <w:bottom w:val="nil" w:sz="6" w:space="0" w:color="auto"/>
              <w:right w:val="single" w:sz="2" w:space="0" w:color="000000"/>
            </w:tcBorders>
          </w:tcPr>
          <w:p>
            <w:pPr/>
          </w:p>
        </w:tc>
        <w:tc>
          <w:tcPr>
            <w:tcW w:w="737" w:type="dxa"/>
            <w:vMerge w:val="restart"/>
            <w:tcBorders>
              <w:top w:val="single" w:sz="2" w:space="0" w:color="000000"/>
              <w:left w:val="single" w:sz="2" w:space="0" w:color="000000"/>
              <w:right w:val="single" w:sz="2" w:space="0" w:color="000000"/>
            </w:tcBorders>
          </w:tcPr>
          <w:p>
            <w:pPr/>
          </w:p>
        </w:tc>
        <w:tc>
          <w:tcPr>
            <w:tcW w:w="736" w:type="dxa"/>
            <w:tcBorders>
              <w:top w:val="single" w:sz="2" w:space="0" w:color="000000"/>
              <w:left w:val="single" w:sz="2" w:space="0" w:color="000000"/>
              <w:bottom w:val="nil" w:sz="6" w:space="0" w:color="auto"/>
              <w:right w:val="single" w:sz="2" w:space="0" w:color="000000"/>
            </w:tcBorders>
          </w:tcPr>
          <w:p>
            <w:pPr/>
          </w:p>
        </w:tc>
      </w:tr>
      <w:tr>
        <w:trPr>
          <w:trHeight w:val="937" w:hRule="exact"/>
        </w:trPr>
        <w:tc>
          <w:tcPr>
            <w:tcW w:w="736" w:type="dxa"/>
            <w:tcBorders>
              <w:top w:val="nil" w:sz="6" w:space="0" w:color="auto"/>
              <w:left w:val="single" w:sz="2" w:space="0" w:color="000000"/>
              <w:bottom w:val="nil" w:sz="6" w:space="0" w:color="auto"/>
              <w:right w:val="single" w:sz="2" w:space="0" w:color="000000"/>
            </w:tcBorders>
          </w:tcPr>
          <w:p>
            <w:pPr>
              <w:pStyle w:val="TableParagraph"/>
              <w:spacing w:line="316" w:lineRule="auto" w:before="10"/>
              <w:ind w:left="25" w:right="163"/>
              <w:jc w:val="both"/>
              <w:rPr>
                <w:rFonts w:ascii="宋体" w:hAnsi="宋体" w:cs="宋体" w:eastAsia="宋体" w:hint="default"/>
                <w:sz w:val="18"/>
                <w:szCs w:val="18"/>
              </w:rPr>
            </w:pPr>
            <w:r>
              <w:rPr>
                <w:rFonts w:ascii="宋体" w:hAnsi="宋体" w:cs="宋体" w:eastAsia="宋体" w:hint="default"/>
                <w:sz w:val="18"/>
                <w:szCs w:val="18"/>
              </w:rPr>
              <w:t>嘉创智 教育科 技有限</w:t>
            </w:r>
          </w:p>
        </w:tc>
        <w:tc>
          <w:tcPr>
            <w:tcW w:w="737"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84,367,0</w:t>
            </w:r>
          </w:p>
          <w:p>
            <w:pPr>
              <w:pStyle w:val="TableParagraph"/>
              <w:spacing w:line="240" w:lineRule="auto" w:before="106"/>
              <w:ind w:left="302" w:right="0"/>
              <w:jc w:val="left"/>
              <w:rPr>
                <w:rFonts w:ascii="Times New Roman" w:hAnsi="Times New Roman" w:cs="Times New Roman" w:eastAsia="Times New Roman" w:hint="default"/>
                <w:sz w:val="18"/>
                <w:szCs w:val="18"/>
              </w:rPr>
            </w:pPr>
            <w:r>
              <w:rPr>
                <w:rFonts w:ascii="Times New Roman"/>
                <w:sz w:val="18"/>
              </w:rPr>
              <w:t>75.76</w:t>
            </w:r>
          </w:p>
        </w:tc>
        <w:tc>
          <w:tcPr>
            <w:tcW w:w="736"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16,985,4</w:t>
            </w:r>
          </w:p>
          <w:p>
            <w:pPr>
              <w:pStyle w:val="TableParagraph"/>
              <w:spacing w:line="240" w:lineRule="auto" w:before="106"/>
              <w:ind w:left="301" w:right="0"/>
              <w:jc w:val="left"/>
              <w:rPr>
                <w:rFonts w:ascii="Times New Roman" w:hAnsi="Times New Roman" w:cs="Times New Roman" w:eastAsia="Times New Roman" w:hint="default"/>
                <w:sz w:val="18"/>
                <w:szCs w:val="18"/>
              </w:rPr>
            </w:pPr>
            <w:r>
              <w:rPr>
                <w:rFonts w:ascii="Times New Roman"/>
                <w:sz w:val="18"/>
              </w:rPr>
              <w:t>81.67</w:t>
            </w:r>
          </w:p>
        </w:tc>
        <w:tc>
          <w:tcPr>
            <w:tcW w:w="736"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101,352,</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557.43</w:t>
            </w:r>
          </w:p>
        </w:tc>
        <w:tc>
          <w:tcPr>
            <w:tcW w:w="737"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24,490,8</w:t>
            </w:r>
          </w:p>
          <w:p>
            <w:pPr>
              <w:pStyle w:val="TableParagraph"/>
              <w:spacing w:line="240" w:lineRule="auto" w:before="106"/>
              <w:ind w:left="302" w:right="0"/>
              <w:jc w:val="left"/>
              <w:rPr>
                <w:rFonts w:ascii="Times New Roman" w:hAnsi="Times New Roman" w:cs="Times New Roman" w:eastAsia="Times New Roman" w:hint="default"/>
                <w:sz w:val="18"/>
                <w:szCs w:val="18"/>
              </w:rPr>
            </w:pPr>
            <w:r>
              <w:rPr>
                <w:rFonts w:ascii="Times New Roman"/>
                <w:sz w:val="18"/>
              </w:rPr>
              <w:t>80.06</w:t>
            </w:r>
          </w:p>
        </w:tc>
        <w:tc>
          <w:tcPr>
            <w:tcW w:w="734" w:type="dxa"/>
            <w:vMerge/>
            <w:tcBorders>
              <w:left w:val="single" w:sz="2" w:space="0" w:color="000000"/>
              <w:right w:val="single" w:sz="2" w:space="0" w:color="000000"/>
            </w:tcBorders>
          </w:tcPr>
          <w:p>
            <w:pPr/>
          </w:p>
        </w:tc>
        <w:tc>
          <w:tcPr>
            <w:tcW w:w="736"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24,490,8</w:t>
            </w:r>
          </w:p>
          <w:p>
            <w:pPr>
              <w:pStyle w:val="TableParagraph"/>
              <w:spacing w:line="240" w:lineRule="auto" w:before="106"/>
              <w:ind w:left="301" w:right="0"/>
              <w:jc w:val="left"/>
              <w:rPr>
                <w:rFonts w:ascii="Times New Roman" w:hAnsi="Times New Roman" w:cs="Times New Roman" w:eastAsia="Times New Roman" w:hint="default"/>
                <w:sz w:val="18"/>
                <w:szCs w:val="18"/>
              </w:rPr>
            </w:pPr>
            <w:r>
              <w:rPr>
                <w:rFonts w:ascii="Times New Roman"/>
                <w:sz w:val="18"/>
              </w:rPr>
              <w:t>80.06</w:t>
            </w:r>
          </w:p>
        </w:tc>
        <w:tc>
          <w:tcPr>
            <w:tcW w:w="734"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71,356,0</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31.82</w:t>
            </w:r>
          </w:p>
        </w:tc>
        <w:tc>
          <w:tcPr>
            <w:tcW w:w="736"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17,265,9</w:t>
            </w:r>
          </w:p>
          <w:p>
            <w:pPr>
              <w:pStyle w:val="TableParagraph"/>
              <w:spacing w:line="240" w:lineRule="auto" w:before="106"/>
              <w:ind w:left="301" w:right="0"/>
              <w:jc w:val="left"/>
              <w:rPr>
                <w:rFonts w:ascii="Times New Roman" w:hAnsi="Times New Roman" w:cs="Times New Roman" w:eastAsia="Times New Roman" w:hint="default"/>
                <w:sz w:val="18"/>
                <w:szCs w:val="18"/>
              </w:rPr>
            </w:pPr>
            <w:r>
              <w:rPr>
                <w:rFonts w:ascii="Times New Roman"/>
                <w:sz w:val="18"/>
              </w:rPr>
              <w:t>58.28</w:t>
            </w:r>
          </w:p>
        </w:tc>
        <w:tc>
          <w:tcPr>
            <w:tcW w:w="734"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88,621,9</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90.10</w:t>
            </w:r>
          </w:p>
        </w:tc>
        <w:tc>
          <w:tcPr>
            <w:tcW w:w="737"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25,693,7</w:t>
            </w:r>
          </w:p>
          <w:p>
            <w:pPr>
              <w:pStyle w:val="TableParagraph"/>
              <w:spacing w:line="240" w:lineRule="auto" w:before="106"/>
              <w:ind w:left="303" w:right="0"/>
              <w:jc w:val="left"/>
              <w:rPr>
                <w:rFonts w:ascii="Times New Roman" w:hAnsi="Times New Roman" w:cs="Times New Roman" w:eastAsia="Times New Roman" w:hint="default"/>
                <w:sz w:val="18"/>
                <w:szCs w:val="18"/>
              </w:rPr>
            </w:pPr>
            <w:r>
              <w:rPr>
                <w:rFonts w:ascii="Times New Roman"/>
                <w:sz w:val="18"/>
              </w:rPr>
              <w:t>97.79</w:t>
            </w:r>
          </w:p>
        </w:tc>
        <w:tc>
          <w:tcPr>
            <w:tcW w:w="737" w:type="dxa"/>
            <w:vMerge/>
            <w:tcBorders>
              <w:left w:val="single" w:sz="2" w:space="0" w:color="000000"/>
              <w:right w:val="single" w:sz="2" w:space="0" w:color="000000"/>
            </w:tcBorders>
          </w:tcPr>
          <w:p>
            <w:pPr/>
          </w:p>
        </w:tc>
        <w:tc>
          <w:tcPr>
            <w:tcW w:w="736"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25,693,7</w:t>
            </w:r>
          </w:p>
          <w:p>
            <w:pPr>
              <w:pStyle w:val="TableParagraph"/>
              <w:spacing w:line="240" w:lineRule="auto" w:before="106"/>
              <w:ind w:left="301" w:right="0"/>
              <w:jc w:val="left"/>
              <w:rPr>
                <w:rFonts w:ascii="Times New Roman" w:hAnsi="Times New Roman" w:cs="Times New Roman" w:eastAsia="Times New Roman" w:hint="default"/>
                <w:sz w:val="18"/>
                <w:szCs w:val="18"/>
              </w:rPr>
            </w:pPr>
            <w:r>
              <w:rPr>
                <w:rFonts w:ascii="Times New Roman"/>
                <w:sz w:val="18"/>
              </w:rPr>
              <w:t>97.79</w:t>
            </w:r>
          </w:p>
        </w:tc>
      </w:tr>
      <w:tr>
        <w:trPr>
          <w:trHeight w:val="353" w:hRule="exact"/>
        </w:trPr>
        <w:tc>
          <w:tcPr>
            <w:tcW w:w="736"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7" w:type="dxa"/>
            <w:tcBorders>
              <w:top w:val="nil" w:sz="6" w:space="0" w:color="auto"/>
              <w:left w:val="single" w:sz="2" w:space="0" w:color="000000"/>
              <w:bottom w:val="single" w:sz="2" w:space="0" w:color="000000"/>
              <w:right w:val="single" w:sz="2" w:space="0" w:color="000000"/>
            </w:tcBorders>
          </w:tcPr>
          <w:p>
            <w:pPr/>
          </w:p>
        </w:tc>
        <w:tc>
          <w:tcPr>
            <w:tcW w:w="736" w:type="dxa"/>
            <w:tcBorders>
              <w:top w:val="nil" w:sz="6" w:space="0" w:color="auto"/>
              <w:left w:val="single" w:sz="2" w:space="0" w:color="000000"/>
              <w:bottom w:val="single" w:sz="2" w:space="0" w:color="000000"/>
              <w:right w:val="single" w:sz="2" w:space="0" w:color="000000"/>
            </w:tcBorders>
          </w:tcPr>
          <w:p>
            <w:pPr/>
          </w:p>
        </w:tc>
        <w:tc>
          <w:tcPr>
            <w:tcW w:w="736" w:type="dxa"/>
            <w:tcBorders>
              <w:top w:val="nil" w:sz="6" w:space="0" w:color="auto"/>
              <w:left w:val="single" w:sz="2" w:space="0" w:color="000000"/>
              <w:bottom w:val="single" w:sz="2" w:space="0" w:color="000000"/>
              <w:right w:val="single" w:sz="2" w:space="0" w:color="000000"/>
            </w:tcBorders>
          </w:tcPr>
          <w:p>
            <w:pPr/>
          </w:p>
        </w:tc>
        <w:tc>
          <w:tcPr>
            <w:tcW w:w="737" w:type="dxa"/>
            <w:tcBorders>
              <w:top w:val="nil" w:sz="6" w:space="0" w:color="auto"/>
              <w:left w:val="single" w:sz="2" w:space="0" w:color="000000"/>
              <w:bottom w:val="single" w:sz="2" w:space="0" w:color="000000"/>
              <w:right w:val="single" w:sz="2" w:space="0" w:color="000000"/>
            </w:tcBorders>
          </w:tcPr>
          <w:p>
            <w:pPr/>
          </w:p>
        </w:tc>
        <w:tc>
          <w:tcPr>
            <w:tcW w:w="734" w:type="dxa"/>
            <w:vMerge/>
            <w:tcBorders>
              <w:left w:val="single" w:sz="2" w:space="0" w:color="000000"/>
              <w:bottom w:val="single" w:sz="2" w:space="0" w:color="000000"/>
              <w:right w:val="single" w:sz="2" w:space="0" w:color="000000"/>
            </w:tcBorders>
          </w:tcPr>
          <w:p>
            <w:pPr/>
          </w:p>
        </w:tc>
        <w:tc>
          <w:tcPr>
            <w:tcW w:w="736" w:type="dxa"/>
            <w:tcBorders>
              <w:top w:val="nil" w:sz="6" w:space="0" w:color="auto"/>
              <w:left w:val="single" w:sz="2" w:space="0" w:color="000000"/>
              <w:bottom w:val="single" w:sz="2" w:space="0" w:color="000000"/>
              <w:right w:val="single" w:sz="2" w:space="0" w:color="000000"/>
            </w:tcBorders>
          </w:tcPr>
          <w:p>
            <w:pPr/>
          </w:p>
        </w:tc>
        <w:tc>
          <w:tcPr>
            <w:tcW w:w="734" w:type="dxa"/>
            <w:tcBorders>
              <w:top w:val="nil" w:sz="6" w:space="0" w:color="auto"/>
              <w:left w:val="single" w:sz="2" w:space="0" w:color="000000"/>
              <w:bottom w:val="single" w:sz="2" w:space="0" w:color="000000"/>
              <w:right w:val="single" w:sz="2" w:space="0" w:color="000000"/>
            </w:tcBorders>
          </w:tcPr>
          <w:p>
            <w:pPr/>
          </w:p>
        </w:tc>
        <w:tc>
          <w:tcPr>
            <w:tcW w:w="736" w:type="dxa"/>
            <w:tcBorders>
              <w:top w:val="nil" w:sz="6" w:space="0" w:color="auto"/>
              <w:left w:val="single" w:sz="2" w:space="0" w:color="000000"/>
              <w:bottom w:val="single" w:sz="2" w:space="0" w:color="000000"/>
              <w:right w:val="single" w:sz="2" w:space="0" w:color="000000"/>
            </w:tcBorders>
          </w:tcPr>
          <w:p>
            <w:pPr/>
          </w:p>
        </w:tc>
        <w:tc>
          <w:tcPr>
            <w:tcW w:w="734" w:type="dxa"/>
            <w:tcBorders>
              <w:top w:val="nil" w:sz="6" w:space="0" w:color="auto"/>
              <w:left w:val="single" w:sz="2" w:space="0" w:color="000000"/>
              <w:bottom w:val="single" w:sz="2" w:space="0" w:color="000000"/>
              <w:right w:val="single" w:sz="2" w:space="0" w:color="000000"/>
            </w:tcBorders>
          </w:tcPr>
          <w:p>
            <w:pPr/>
          </w:p>
        </w:tc>
        <w:tc>
          <w:tcPr>
            <w:tcW w:w="737" w:type="dxa"/>
            <w:tcBorders>
              <w:top w:val="nil" w:sz="6" w:space="0" w:color="auto"/>
              <w:left w:val="single" w:sz="2" w:space="0" w:color="000000"/>
              <w:bottom w:val="single" w:sz="2" w:space="0" w:color="000000"/>
              <w:right w:val="single" w:sz="2" w:space="0" w:color="000000"/>
            </w:tcBorders>
          </w:tcPr>
          <w:p>
            <w:pPr/>
          </w:p>
        </w:tc>
        <w:tc>
          <w:tcPr>
            <w:tcW w:w="737" w:type="dxa"/>
            <w:vMerge/>
            <w:tcBorders>
              <w:left w:val="single" w:sz="2" w:space="0" w:color="000000"/>
              <w:bottom w:val="single" w:sz="2" w:space="0" w:color="000000"/>
              <w:right w:val="single" w:sz="2" w:space="0" w:color="000000"/>
            </w:tcBorders>
          </w:tcPr>
          <w:p>
            <w:pPr/>
          </w:p>
        </w:tc>
        <w:tc>
          <w:tcPr>
            <w:tcW w:w="736" w:type="dxa"/>
            <w:tcBorders>
              <w:top w:val="nil" w:sz="6" w:space="0" w:color="auto"/>
              <w:left w:val="single" w:sz="2" w:space="0" w:color="000000"/>
              <w:bottom w:val="single" w:sz="2" w:space="0" w:color="000000"/>
              <w:right w:val="single" w:sz="2" w:space="0" w:color="000000"/>
            </w:tcBorders>
          </w:tcPr>
          <w:p>
            <w:pPr/>
          </w:p>
        </w:tc>
      </w:tr>
      <w:tr>
        <w:trPr>
          <w:trHeight w:val="355" w:hRule="exact"/>
        </w:trPr>
        <w:tc>
          <w:tcPr>
            <w:tcW w:w="736"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完美数</w:t>
            </w:r>
          </w:p>
        </w:tc>
        <w:tc>
          <w:tcPr>
            <w:tcW w:w="737" w:type="dxa"/>
            <w:tcBorders>
              <w:top w:val="single" w:sz="2" w:space="0" w:color="000000"/>
              <w:left w:val="single" w:sz="2" w:space="0" w:color="000000"/>
              <w:bottom w:val="nil" w:sz="6" w:space="0" w:color="auto"/>
              <w:right w:val="single" w:sz="2" w:space="0" w:color="000000"/>
            </w:tcBorders>
          </w:tcPr>
          <w:p>
            <w:pPr/>
          </w:p>
        </w:tc>
        <w:tc>
          <w:tcPr>
            <w:tcW w:w="736" w:type="dxa"/>
            <w:tcBorders>
              <w:top w:val="single" w:sz="2" w:space="0" w:color="000000"/>
              <w:left w:val="single" w:sz="2" w:space="0" w:color="000000"/>
              <w:bottom w:val="nil" w:sz="6" w:space="0" w:color="auto"/>
              <w:right w:val="single" w:sz="2" w:space="0" w:color="000000"/>
            </w:tcBorders>
          </w:tcPr>
          <w:p>
            <w:pPr/>
          </w:p>
        </w:tc>
        <w:tc>
          <w:tcPr>
            <w:tcW w:w="736" w:type="dxa"/>
            <w:tcBorders>
              <w:top w:val="single" w:sz="2" w:space="0" w:color="000000"/>
              <w:left w:val="single" w:sz="2" w:space="0" w:color="000000"/>
              <w:bottom w:val="nil" w:sz="6" w:space="0" w:color="auto"/>
              <w:right w:val="single" w:sz="2" w:space="0" w:color="000000"/>
            </w:tcBorders>
          </w:tcPr>
          <w:p>
            <w:pPr/>
          </w:p>
        </w:tc>
        <w:tc>
          <w:tcPr>
            <w:tcW w:w="737" w:type="dxa"/>
            <w:tcBorders>
              <w:top w:val="single" w:sz="2" w:space="0" w:color="000000"/>
              <w:left w:val="single" w:sz="2" w:space="0" w:color="000000"/>
              <w:bottom w:val="nil" w:sz="6" w:space="0" w:color="auto"/>
              <w:right w:val="single" w:sz="2" w:space="0" w:color="000000"/>
            </w:tcBorders>
          </w:tcPr>
          <w:p>
            <w:pPr/>
          </w:p>
        </w:tc>
        <w:tc>
          <w:tcPr>
            <w:tcW w:w="734" w:type="dxa"/>
            <w:vMerge w:val="restart"/>
            <w:tcBorders>
              <w:top w:val="single" w:sz="2" w:space="0" w:color="000000"/>
              <w:left w:val="single" w:sz="2" w:space="0" w:color="000000"/>
              <w:right w:val="single" w:sz="2" w:space="0" w:color="000000"/>
            </w:tcBorders>
          </w:tcPr>
          <w:p>
            <w:pPr/>
          </w:p>
        </w:tc>
        <w:tc>
          <w:tcPr>
            <w:tcW w:w="736" w:type="dxa"/>
            <w:tcBorders>
              <w:top w:val="single" w:sz="2" w:space="0" w:color="000000"/>
              <w:left w:val="single" w:sz="2" w:space="0" w:color="000000"/>
              <w:bottom w:val="nil" w:sz="6" w:space="0" w:color="auto"/>
              <w:right w:val="single" w:sz="2" w:space="0" w:color="000000"/>
            </w:tcBorders>
          </w:tcPr>
          <w:p>
            <w:pPr/>
          </w:p>
        </w:tc>
        <w:tc>
          <w:tcPr>
            <w:tcW w:w="734" w:type="dxa"/>
            <w:tcBorders>
              <w:top w:val="single" w:sz="2" w:space="0" w:color="000000"/>
              <w:left w:val="single" w:sz="2" w:space="0" w:color="000000"/>
              <w:bottom w:val="nil" w:sz="6" w:space="0" w:color="auto"/>
              <w:right w:val="single" w:sz="2" w:space="0" w:color="000000"/>
            </w:tcBorders>
          </w:tcPr>
          <w:p>
            <w:pPr/>
          </w:p>
        </w:tc>
        <w:tc>
          <w:tcPr>
            <w:tcW w:w="736" w:type="dxa"/>
            <w:vMerge w:val="restart"/>
            <w:tcBorders>
              <w:top w:val="single" w:sz="2" w:space="0" w:color="000000"/>
              <w:left w:val="single" w:sz="2" w:space="0" w:color="000000"/>
              <w:right w:val="single" w:sz="2" w:space="0" w:color="000000"/>
            </w:tcBorders>
          </w:tcPr>
          <w:p>
            <w:pPr/>
          </w:p>
        </w:tc>
        <w:tc>
          <w:tcPr>
            <w:tcW w:w="734" w:type="dxa"/>
            <w:tcBorders>
              <w:top w:val="single" w:sz="2" w:space="0" w:color="000000"/>
              <w:left w:val="single" w:sz="2" w:space="0" w:color="000000"/>
              <w:bottom w:val="nil" w:sz="6" w:space="0" w:color="auto"/>
              <w:right w:val="single" w:sz="2" w:space="0" w:color="000000"/>
            </w:tcBorders>
          </w:tcPr>
          <w:p>
            <w:pPr/>
          </w:p>
        </w:tc>
        <w:tc>
          <w:tcPr>
            <w:tcW w:w="737" w:type="dxa"/>
            <w:tcBorders>
              <w:top w:val="single" w:sz="2" w:space="0" w:color="000000"/>
              <w:left w:val="single" w:sz="2" w:space="0" w:color="000000"/>
              <w:bottom w:val="nil" w:sz="6" w:space="0" w:color="auto"/>
              <w:right w:val="single" w:sz="2" w:space="0" w:color="000000"/>
            </w:tcBorders>
          </w:tcPr>
          <w:p>
            <w:pPr/>
          </w:p>
        </w:tc>
        <w:tc>
          <w:tcPr>
            <w:tcW w:w="737" w:type="dxa"/>
            <w:vMerge w:val="restart"/>
            <w:tcBorders>
              <w:top w:val="single" w:sz="2" w:space="0" w:color="000000"/>
              <w:left w:val="single" w:sz="2" w:space="0" w:color="000000"/>
              <w:right w:val="single" w:sz="2" w:space="0" w:color="000000"/>
            </w:tcBorders>
          </w:tcPr>
          <w:p>
            <w:pPr/>
          </w:p>
        </w:tc>
        <w:tc>
          <w:tcPr>
            <w:tcW w:w="736" w:type="dxa"/>
            <w:tcBorders>
              <w:top w:val="single" w:sz="2" w:space="0" w:color="000000"/>
              <w:left w:val="single" w:sz="2" w:space="0" w:color="000000"/>
              <w:bottom w:val="nil" w:sz="6" w:space="0" w:color="auto"/>
              <w:right w:val="single" w:sz="2" w:space="0" w:color="000000"/>
            </w:tcBorders>
          </w:tcPr>
          <w:p>
            <w:pPr/>
          </w:p>
        </w:tc>
      </w:tr>
      <w:tr>
        <w:trPr>
          <w:trHeight w:val="937" w:hRule="exact"/>
        </w:trPr>
        <w:tc>
          <w:tcPr>
            <w:tcW w:w="736" w:type="dxa"/>
            <w:tcBorders>
              <w:top w:val="nil" w:sz="6" w:space="0" w:color="auto"/>
              <w:left w:val="single" w:sz="2" w:space="0" w:color="000000"/>
              <w:bottom w:val="nil" w:sz="6" w:space="0" w:color="auto"/>
              <w:right w:val="single" w:sz="2" w:space="0" w:color="000000"/>
            </w:tcBorders>
          </w:tcPr>
          <w:p>
            <w:pPr>
              <w:pStyle w:val="TableParagraph"/>
              <w:spacing w:line="316" w:lineRule="auto" w:before="10"/>
              <w:ind w:left="25" w:right="23"/>
              <w:jc w:val="left"/>
              <w:rPr>
                <w:rFonts w:ascii="宋体" w:hAnsi="宋体" w:cs="宋体" w:eastAsia="宋体" w:hint="default"/>
                <w:sz w:val="18"/>
                <w:szCs w:val="18"/>
              </w:rPr>
            </w:pPr>
            <w:r>
              <w:rPr>
                <w:rFonts w:ascii="宋体" w:hAnsi="宋体" w:cs="宋体" w:eastAsia="宋体" w:hint="default"/>
                <w:sz w:val="18"/>
                <w:szCs w:val="18"/>
              </w:rPr>
              <w:t>联（杭 </w:t>
            </w:r>
            <w:r>
              <w:rPr>
                <w:rFonts w:ascii="宋体" w:hAnsi="宋体" w:cs="宋体" w:eastAsia="宋体" w:hint="default"/>
                <w:spacing w:val="-10"/>
                <w:sz w:val="18"/>
                <w:szCs w:val="18"/>
              </w:rPr>
              <w:t>州）科技</w:t>
            </w:r>
            <w:r>
              <w:rPr>
                <w:rFonts w:ascii="宋体" w:hAnsi="宋体" w:cs="宋体" w:eastAsia="宋体" w:hint="default"/>
                <w:sz w:val="18"/>
                <w:szCs w:val="18"/>
              </w:rPr>
              <w:t> 有限公</w:t>
            </w:r>
          </w:p>
        </w:tc>
        <w:tc>
          <w:tcPr>
            <w:tcW w:w="737"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142,793,</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427.38</w:t>
            </w:r>
          </w:p>
        </w:tc>
        <w:tc>
          <w:tcPr>
            <w:tcW w:w="736"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22,046,9</w:t>
            </w:r>
          </w:p>
          <w:p>
            <w:pPr>
              <w:pStyle w:val="TableParagraph"/>
              <w:spacing w:line="240" w:lineRule="auto" w:before="106"/>
              <w:ind w:left="301" w:right="0"/>
              <w:jc w:val="left"/>
              <w:rPr>
                <w:rFonts w:ascii="Times New Roman" w:hAnsi="Times New Roman" w:cs="Times New Roman" w:eastAsia="Times New Roman" w:hint="default"/>
                <w:sz w:val="18"/>
                <w:szCs w:val="18"/>
              </w:rPr>
            </w:pPr>
            <w:r>
              <w:rPr>
                <w:rFonts w:ascii="Times New Roman"/>
                <w:sz w:val="18"/>
              </w:rPr>
              <w:t>28.01</w:t>
            </w:r>
          </w:p>
        </w:tc>
        <w:tc>
          <w:tcPr>
            <w:tcW w:w="736"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164,840,</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355.39</w:t>
            </w:r>
          </w:p>
        </w:tc>
        <w:tc>
          <w:tcPr>
            <w:tcW w:w="737"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7,488,90</w:t>
            </w:r>
          </w:p>
          <w:p>
            <w:pPr>
              <w:pStyle w:val="TableParagraph"/>
              <w:spacing w:line="240" w:lineRule="auto" w:before="106"/>
              <w:ind w:left="392" w:right="0"/>
              <w:jc w:val="left"/>
              <w:rPr>
                <w:rFonts w:ascii="Times New Roman" w:hAnsi="Times New Roman" w:cs="Times New Roman" w:eastAsia="Times New Roman" w:hint="default"/>
                <w:sz w:val="18"/>
                <w:szCs w:val="18"/>
              </w:rPr>
            </w:pPr>
            <w:r>
              <w:rPr>
                <w:rFonts w:ascii="Times New Roman"/>
                <w:sz w:val="18"/>
              </w:rPr>
              <w:t>0.25</w:t>
            </w:r>
          </w:p>
        </w:tc>
        <w:tc>
          <w:tcPr>
            <w:tcW w:w="734" w:type="dxa"/>
            <w:vMerge/>
            <w:tcBorders>
              <w:left w:val="single" w:sz="2" w:space="0" w:color="000000"/>
              <w:right w:val="single" w:sz="2" w:space="0" w:color="000000"/>
            </w:tcBorders>
          </w:tcPr>
          <w:p>
            <w:pPr/>
          </w:p>
        </w:tc>
        <w:tc>
          <w:tcPr>
            <w:tcW w:w="736"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7,488,90</w:t>
            </w:r>
          </w:p>
          <w:p>
            <w:pPr>
              <w:pStyle w:val="TableParagraph"/>
              <w:spacing w:line="240" w:lineRule="auto" w:before="106"/>
              <w:ind w:left="391" w:right="0"/>
              <w:jc w:val="left"/>
              <w:rPr>
                <w:rFonts w:ascii="Times New Roman" w:hAnsi="Times New Roman" w:cs="Times New Roman" w:eastAsia="Times New Roman" w:hint="default"/>
                <w:sz w:val="18"/>
                <w:szCs w:val="18"/>
              </w:rPr>
            </w:pPr>
            <w:r>
              <w:rPr>
                <w:rFonts w:ascii="Times New Roman"/>
                <w:sz w:val="18"/>
              </w:rPr>
              <w:t>0.25</w:t>
            </w:r>
          </w:p>
        </w:tc>
        <w:tc>
          <w:tcPr>
            <w:tcW w:w="734" w:type="dxa"/>
            <w:tcBorders>
              <w:top w:val="nil" w:sz="6" w:space="0" w:color="auto"/>
              <w:left w:val="single" w:sz="2" w:space="0" w:color="000000"/>
              <w:bottom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4" w:right="0"/>
              <w:jc w:val="left"/>
              <w:rPr>
                <w:rFonts w:ascii="Times New Roman" w:hAnsi="Times New Roman" w:cs="Times New Roman" w:eastAsia="Times New Roman" w:hint="default"/>
                <w:sz w:val="18"/>
                <w:szCs w:val="18"/>
              </w:rPr>
            </w:pPr>
            <w:r>
              <w:rPr>
                <w:rFonts w:ascii="Times New Roman"/>
                <w:sz w:val="18"/>
              </w:rPr>
              <w:t>9,320.31</w:t>
            </w:r>
          </w:p>
        </w:tc>
        <w:tc>
          <w:tcPr>
            <w:tcW w:w="736" w:type="dxa"/>
            <w:vMerge/>
            <w:tcBorders>
              <w:left w:val="single" w:sz="2" w:space="0" w:color="000000"/>
              <w:right w:val="single" w:sz="2" w:space="0" w:color="000000"/>
            </w:tcBorders>
          </w:tcPr>
          <w:p>
            <w:pPr/>
          </w:p>
        </w:tc>
        <w:tc>
          <w:tcPr>
            <w:tcW w:w="734" w:type="dxa"/>
            <w:tcBorders>
              <w:top w:val="nil" w:sz="6" w:space="0" w:color="auto"/>
              <w:left w:val="single" w:sz="2" w:space="0" w:color="000000"/>
              <w:bottom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4" w:right="0"/>
              <w:jc w:val="left"/>
              <w:rPr>
                <w:rFonts w:ascii="Times New Roman" w:hAnsi="Times New Roman" w:cs="Times New Roman" w:eastAsia="Times New Roman" w:hint="default"/>
                <w:sz w:val="18"/>
                <w:szCs w:val="18"/>
              </w:rPr>
            </w:pPr>
            <w:r>
              <w:rPr>
                <w:rFonts w:ascii="Times New Roman"/>
                <w:sz w:val="18"/>
              </w:rPr>
              <w:t>9,320.31</w:t>
            </w:r>
          </w:p>
        </w:tc>
        <w:tc>
          <w:tcPr>
            <w:tcW w:w="737"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10,056.1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37" w:type="dxa"/>
            <w:vMerge/>
            <w:tcBorders>
              <w:left w:val="single" w:sz="2" w:space="0" w:color="000000"/>
              <w:right w:val="single" w:sz="2" w:space="0" w:color="000000"/>
            </w:tcBorders>
          </w:tcPr>
          <w:p>
            <w:pPr/>
          </w:p>
        </w:tc>
        <w:tc>
          <w:tcPr>
            <w:tcW w:w="736"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10,056.1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353" w:hRule="exact"/>
        </w:trPr>
        <w:tc>
          <w:tcPr>
            <w:tcW w:w="736"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7" w:type="dxa"/>
            <w:tcBorders>
              <w:top w:val="nil" w:sz="6" w:space="0" w:color="auto"/>
              <w:left w:val="single" w:sz="2" w:space="0" w:color="000000"/>
              <w:bottom w:val="single" w:sz="2" w:space="0" w:color="000000"/>
              <w:right w:val="single" w:sz="2" w:space="0" w:color="000000"/>
            </w:tcBorders>
          </w:tcPr>
          <w:p>
            <w:pPr/>
          </w:p>
        </w:tc>
        <w:tc>
          <w:tcPr>
            <w:tcW w:w="736" w:type="dxa"/>
            <w:tcBorders>
              <w:top w:val="nil" w:sz="6" w:space="0" w:color="auto"/>
              <w:left w:val="single" w:sz="2" w:space="0" w:color="000000"/>
              <w:bottom w:val="single" w:sz="2" w:space="0" w:color="000000"/>
              <w:right w:val="single" w:sz="2" w:space="0" w:color="000000"/>
            </w:tcBorders>
          </w:tcPr>
          <w:p>
            <w:pPr/>
          </w:p>
        </w:tc>
        <w:tc>
          <w:tcPr>
            <w:tcW w:w="736" w:type="dxa"/>
            <w:tcBorders>
              <w:top w:val="nil" w:sz="6" w:space="0" w:color="auto"/>
              <w:left w:val="single" w:sz="2" w:space="0" w:color="000000"/>
              <w:bottom w:val="single" w:sz="2" w:space="0" w:color="000000"/>
              <w:right w:val="single" w:sz="2" w:space="0" w:color="000000"/>
            </w:tcBorders>
          </w:tcPr>
          <w:p>
            <w:pPr/>
          </w:p>
        </w:tc>
        <w:tc>
          <w:tcPr>
            <w:tcW w:w="737" w:type="dxa"/>
            <w:tcBorders>
              <w:top w:val="nil" w:sz="6" w:space="0" w:color="auto"/>
              <w:left w:val="single" w:sz="2" w:space="0" w:color="000000"/>
              <w:bottom w:val="single" w:sz="2" w:space="0" w:color="000000"/>
              <w:right w:val="single" w:sz="2" w:space="0" w:color="000000"/>
            </w:tcBorders>
          </w:tcPr>
          <w:p>
            <w:pPr/>
          </w:p>
        </w:tc>
        <w:tc>
          <w:tcPr>
            <w:tcW w:w="734" w:type="dxa"/>
            <w:vMerge/>
            <w:tcBorders>
              <w:left w:val="single" w:sz="2" w:space="0" w:color="000000"/>
              <w:bottom w:val="single" w:sz="2" w:space="0" w:color="000000"/>
              <w:right w:val="single" w:sz="2" w:space="0" w:color="000000"/>
            </w:tcBorders>
          </w:tcPr>
          <w:p>
            <w:pPr/>
          </w:p>
        </w:tc>
        <w:tc>
          <w:tcPr>
            <w:tcW w:w="736" w:type="dxa"/>
            <w:tcBorders>
              <w:top w:val="nil" w:sz="6" w:space="0" w:color="auto"/>
              <w:left w:val="single" w:sz="2" w:space="0" w:color="000000"/>
              <w:bottom w:val="single" w:sz="2" w:space="0" w:color="000000"/>
              <w:right w:val="single" w:sz="2" w:space="0" w:color="000000"/>
            </w:tcBorders>
          </w:tcPr>
          <w:p>
            <w:pPr/>
          </w:p>
        </w:tc>
        <w:tc>
          <w:tcPr>
            <w:tcW w:w="734" w:type="dxa"/>
            <w:tcBorders>
              <w:top w:val="nil" w:sz="6" w:space="0" w:color="auto"/>
              <w:left w:val="single" w:sz="2" w:space="0" w:color="000000"/>
              <w:bottom w:val="single" w:sz="2" w:space="0" w:color="000000"/>
              <w:right w:val="single" w:sz="2" w:space="0" w:color="000000"/>
            </w:tcBorders>
          </w:tcPr>
          <w:p>
            <w:pPr/>
          </w:p>
        </w:tc>
        <w:tc>
          <w:tcPr>
            <w:tcW w:w="736" w:type="dxa"/>
            <w:vMerge/>
            <w:tcBorders>
              <w:left w:val="single" w:sz="2" w:space="0" w:color="000000"/>
              <w:bottom w:val="single" w:sz="2" w:space="0" w:color="000000"/>
              <w:right w:val="single" w:sz="2" w:space="0" w:color="000000"/>
            </w:tcBorders>
          </w:tcPr>
          <w:p>
            <w:pPr/>
          </w:p>
        </w:tc>
        <w:tc>
          <w:tcPr>
            <w:tcW w:w="734" w:type="dxa"/>
            <w:tcBorders>
              <w:top w:val="nil" w:sz="6" w:space="0" w:color="auto"/>
              <w:left w:val="single" w:sz="2" w:space="0" w:color="000000"/>
              <w:bottom w:val="single" w:sz="2" w:space="0" w:color="000000"/>
              <w:right w:val="single" w:sz="2" w:space="0" w:color="000000"/>
            </w:tcBorders>
          </w:tcPr>
          <w:p>
            <w:pPr/>
          </w:p>
        </w:tc>
        <w:tc>
          <w:tcPr>
            <w:tcW w:w="737" w:type="dxa"/>
            <w:tcBorders>
              <w:top w:val="nil" w:sz="6" w:space="0" w:color="auto"/>
              <w:left w:val="single" w:sz="2" w:space="0" w:color="000000"/>
              <w:bottom w:val="single" w:sz="2" w:space="0" w:color="000000"/>
              <w:right w:val="single" w:sz="2" w:space="0" w:color="000000"/>
            </w:tcBorders>
          </w:tcPr>
          <w:p>
            <w:pPr/>
          </w:p>
        </w:tc>
        <w:tc>
          <w:tcPr>
            <w:tcW w:w="737" w:type="dxa"/>
            <w:vMerge/>
            <w:tcBorders>
              <w:left w:val="single" w:sz="2" w:space="0" w:color="000000"/>
              <w:bottom w:val="single" w:sz="2" w:space="0" w:color="000000"/>
              <w:right w:val="single" w:sz="2" w:space="0" w:color="000000"/>
            </w:tcBorders>
          </w:tcPr>
          <w:p>
            <w:pPr/>
          </w:p>
        </w:tc>
        <w:tc>
          <w:tcPr>
            <w:tcW w:w="736" w:type="dxa"/>
            <w:tcBorders>
              <w:top w:val="nil" w:sz="6" w:space="0" w:color="auto"/>
              <w:left w:val="single" w:sz="2" w:space="0" w:color="000000"/>
              <w:bottom w:val="single" w:sz="2" w:space="0" w:color="000000"/>
              <w:right w:val="single" w:sz="2" w:space="0" w:color="000000"/>
            </w:tcBorders>
          </w:tcPr>
          <w:p>
            <w:pP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1061"/>
        <w:gridCol w:w="1061"/>
        <w:gridCol w:w="1062"/>
        <w:gridCol w:w="1066"/>
        <w:gridCol w:w="1064"/>
        <w:gridCol w:w="1063"/>
        <w:gridCol w:w="1063"/>
        <w:gridCol w:w="1063"/>
        <w:gridCol w:w="1066"/>
      </w:tblGrid>
      <w:tr>
        <w:trPr>
          <w:trHeight w:val="397" w:hRule="exact"/>
        </w:trPr>
        <w:tc>
          <w:tcPr>
            <w:tcW w:w="1061" w:type="dxa"/>
            <w:vMerge w:val="restart"/>
            <w:tcBorders>
              <w:top w:val="single" w:sz="2" w:space="0" w:color="000000"/>
              <w:left w:val="single" w:sz="2" w:space="0" w:color="000000"/>
              <w:right w:val="single" w:sz="2"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08" w:hRule="exact"/>
        </w:trPr>
        <w:tc>
          <w:tcPr>
            <w:tcW w:w="1061" w:type="dxa"/>
            <w:vMerge/>
            <w:tcBorders>
              <w:left w:val="single" w:sz="2" w:space="0" w:color="000000"/>
              <w:bottom w:val="single" w:sz="2" w:space="0" w:color="000000"/>
              <w:right w:val="single" w:sz="2" w:space="0" w:color="000000"/>
            </w:tcBorders>
            <w:shd w:val="clear" w:color="auto" w:fill="D3D3D3"/>
          </w:tcPr>
          <w:p>
            <w:pPr/>
          </w:p>
        </w:tc>
        <w:tc>
          <w:tcPr>
            <w:tcW w:w="1061"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440" w:right="78"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259" w:right="78"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438" w:right="78"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260" w:right="78"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1" w:hRule="exact"/>
        </w:trPr>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2"/>
              <w:ind w:left="25" w:right="128"/>
              <w:jc w:val="both"/>
              <w:rPr>
                <w:rFonts w:ascii="宋体" w:hAnsi="宋体" w:cs="宋体" w:eastAsia="宋体" w:hint="default"/>
                <w:sz w:val="18"/>
                <w:szCs w:val="18"/>
              </w:rPr>
            </w:pPr>
            <w:r>
              <w:rPr>
                <w:rFonts w:ascii="宋体" w:hAnsi="宋体" w:cs="宋体" w:eastAsia="宋体" w:hint="default"/>
                <w:sz w:val="18"/>
                <w:szCs w:val="18"/>
              </w:rPr>
              <w:t>福建新开普 信息科技有 限公司</w:t>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68,229,742.8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6,494,179.52</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6,494,179.52</w:t>
            </w:r>
          </w:p>
        </w:tc>
        <w:tc>
          <w:tcPr>
            <w:tcW w:w="1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6,932,310.05</w:t>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48,232,826.3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3,235,973.09</w:t>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3,235,973.09</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-473,320.72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51" w:type="dxa"/>
        <w:tblLayout w:type="fixed"/>
        <w:tblCellMar>
          <w:top w:w="0" w:type="dxa"/>
          <w:left w:w="0" w:type="dxa"/>
          <w:bottom w:w="0" w:type="dxa"/>
          <w:right w:w="0" w:type="dxa"/>
        </w:tblCellMar>
        <w:tblLook w:val="01E0"/>
      </w:tblPr>
      <w:tblGrid>
        <w:gridCol w:w="1061"/>
        <w:gridCol w:w="1061"/>
        <w:gridCol w:w="1062"/>
        <w:gridCol w:w="1066"/>
        <w:gridCol w:w="1064"/>
        <w:gridCol w:w="1063"/>
        <w:gridCol w:w="1063"/>
        <w:gridCol w:w="1063"/>
        <w:gridCol w:w="1066"/>
      </w:tblGrid>
      <w:tr>
        <w:trPr>
          <w:trHeight w:val="1021" w:hRule="exact"/>
        </w:trPr>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25" w:right="128"/>
              <w:jc w:val="both"/>
              <w:rPr>
                <w:rFonts w:ascii="宋体" w:hAnsi="宋体" w:cs="宋体" w:eastAsia="宋体" w:hint="default"/>
                <w:sz w:val="18"/>
                <w:szCs w:val="18"/>
              </w:rPr>
            </w:pPr>
            <w:r>
              <w:rPr>
                <w:rFonts w:ascii="宋体" w:hAnsi="宋体" w:cs="宋体" w:eastAsia="宋体" w:hint="default"/>
                <w:sz w:val="18"/>
                <w:szCs w:val="18"/>
              </w:rPr>
              <w:t>北京希嘉创 智教育科技 有限公司</w:t>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48,426,389.3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5,148,488.06</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5,148,488.06</w:t>
            </w:r>
          </w:p>
        </w:tc>
        <w:tc>
          <w:tcPr>
            <w:tcW w:w="1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5,194,809.16</w:t>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39,195,590.7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4,995,105.89</w:t>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4,995,105.89</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-12,740,612.5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021" w:hRule="exact"/>
        </w:trPr>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25" w:right="23"/>
              <w:jc w:val="both"/>
              <w:rPr>
                <w:rFonts w:ascii="宋体" w:hAnsi="宋体" w:cs="宋体" w:eastAsia="宋体" w:hint="default"/>
                <w:sz w:val="18"/>
                <w:szCs w:val="18"/>
              </w:rPr>
            </w:pPr>
            <w:r>
              <w:rPr>
                <w:rFonts w:ascii="宋体" w:hAnsi="宋体" w:cs="宋体" w:eastAsia="宋体" w:hint="default"/>
                <w:spacing w:val="-13"/>
                <w:sz w:val="18"/>
                <w:szCs w:val="18"/>
              </w:rPr>
              <w:t>完美数联（杭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州）科技有限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3,988,225.51</w:t>
            </w:r>
          </w:p>
        </w:tc>
        <w:tc>
          <w:tcPr>
            <w:tcW w:w="10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-14,283,901.0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-14,283,901.0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-15,870,800.2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-735.79</w:t>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-735.79</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9,320.31</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13"/>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spacing w:line="568" w:lineRule="auto" w:before="0"/>
        <w:ind w:left="574" w:right="6008"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b/>
          <w:bCs/>
          <w:w w:val="99"/>
          <w:sz w:val="21"/>
          <w:szCs w:val="21"/>
        </w:rPr>
        <w:t> </w:t>
      </w:r>
      <w:r>
        <w:rPr>
          <w:rFonts w:ascii="宋体" w:hAnsi="宋体" w:cs="宋体" w:eastAsia="宋体" w:hint="default"/>
          <w:sz w:val="21"/>
          <w:szCs w:val="21"/>
        </w:rPr>
        <w:t>详见</w:t>
      </w:r>
      <w:r>
        <w:rPr>
          <w:rFonts w:ascii="Times New Roman" w:hAnsi="Times New Roman" w:cs="Times New Roman" w:eastAsia="Times New Roman" w:hint="default"/>
          <w:sz w:val="21"/>
          <w:szCs w:val="21"/>
        </w:rPr>
        <w:t>“</w:t>
      </w:r>
      <w:r>
        <w:rPr>
          <w:rFonts w:ascii="宋体" w:hAnsi="宋体" w:cs="宋体" w:eastAsia="宋体" w:hint="default"/>
          <w:sz w:val="21"/>
          <w:szCs w:val="21"/>
        </w:rPr>
        <w:t>附注十二、关联方及关联交易</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Heading3"/>
        <w:spacing w:line="240" w:lineRule="auto" w:before="82"/>
        <w:ind w:right="1113"/>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3190"/>
        <w:gridCol w:w="3191"/>
        <w:gridCol w:w="3190"/>
      </w:tblGrid>
      <w:tr>
        <w:trPr>
          <w:trHeight w:val="396" w:hRule="exact"/>
        </w:trPr>
        <w:tc>
          <w:tcPr>
            <w:tcW w:w="3190" w:type="dxa"/>
            <w:tcBorders>
              <w:top w:val="single" w:sz="2" w:space="0" w:color="000000"/>
              <w:left w:val="single" w:sz="2" w:space="0" w:color="000000"/>
              <w:bottom w:val="single" w:sz="2" w:space="0" w:color="000000"/>
              <w:right w:val="single" w:sz="2" w:space="0" w:color="000000"/>
            </w:tcBorders>
            <w:shd w:val="clear" w:color="auto" w:fill="D3D3D3"/>
          </w:tcPr>
          <w:p>
            <w:pPr/>
          </w:p>
        </w:tc>
        <w:tc>
          <w:tcPr>
            <w:tcW w:w="3191"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423" w:right="0"/>
              <w:jc w:val="left"/>
              <w:rPr>
                <w:rFonts w:ascii="宋体" w:hAnsi="宋体" w:cs="宋体" w:eastAsia="宋体" w:hint="default"/>
                <w:sz w:val="18"/>
                <w:szCs w:val="18"/>
              </w:rPr>
            </w:pPr>
            <w:r>
              <w:rPr>
                <w:rFonts w:ascii="宋体" w:hAnsi="宋体" w:cs="宋体" w:eastAsia="宋体" w:hint="default"/>
                <w:sz w:val="18"/>
                <w:szCs w:val="18"/>
              </w:rPr>
              <w:t>福建新开普信息科技有限公司</w:t>
            </w:r>
          </w:p>
        </w:tc>
        <w:tc>
          <w:tcPr>
            <w:tcW w:w="319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332" w:right="0"/>
              <w:jc w:val="left"/>
              <w:rPr>
                <w:rFonts w:ascii="宋体" w:hAnsi="宋体" w:cs="宋体" w:eastAsia="宋体" w:hint="default"/>
                <w:sz w:val="18"/>
                <w:szCs w:val="18"/>
              </w:rPr>
            </w:pPr>
            <w:r>
              <w:rPr>
                <w:rFonts w:ascii="宋体" w:hAnsi="宋体" w:cs="宋体" w:eastAsia="宋体" w:hint="default"/>
                <w:sz w:val="18"/>
                <w:szCs w:val="18"/>
              </w:rPr>
              <w:t>完美数联（杭州）科技有限公司</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34,320,000.00</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152,857,143.00</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31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34,320,000.00</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152,857,143.00</w:t>
            </w:r>
          </w:p>
        </w:tc>
      </w:tr>
      <w:tr>
        <w:trPr>
          <w:trHeight w:val="709" w:hRule="exact"/>
        </w:trPr>
        <w:tc>
          <w:tcPr>
            <w:tcW w:w="319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02" w:lineRule="auto" w:before="51"/>
              <w:ind w:left="25" w:right="47"/>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 司净资产份额</w:t>
            </w:r>
          </w:p>
        </w:tc>
        <w:tc>
          <w:tcPr>
            <w:tcW w:w="3191" w:type="dxa"/>
            <w:tcBorders>
              <w:top w:val="single" w:sz="2" w:space="0" w:color="000000"/>
              <w:left w:val="single" w:sz="11" w:space="0" w:color="D3D3D3"/>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14,025,988.72</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54,677,228.48</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3191" w:type="dxa"/>
            <w:tcBorders>
              <w:top w:val="single" w:sz="2" w:space="0" w:color="000000"/>
              <w:left w:val="single" w:sz="11" w:space="0" w:color="D3D3D3"/>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20,294,011.28</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98,179,914.52</w:t>
            </w:r>
          </w:p>
        </w:tc>
      </w:tr>
      <w:tr>
        <w:trPr>
          <w:trHeight w:val="397" w:hRule="exact"/>
        </w:trPr>
        <w:tc>
          <w:tcPr>
            <w:tcW w:w="319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3191" w:type="dxa"/>
            <w:tcBorders>
              <w:top w:val="single" w:sz="2" w:space="0" w:color="000000"/>
              <w:left w:val="single" w:sz="11" w:space="0" w:color="D3D3D3"/>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-20,294,011.28</w:t>
            </w:r>
          </w:p>
        </w:tc>
        <w:tc>
          <w:tcPr>
            <w:tcW w:w="3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98,179,914.52</w:t>
            </w:r>
          </w:p>
        </w:tc>
      </w:tr>
    </w:tbl>
    <w:p>
      <w:pPr>
        <w:spacing w:before="51"/>
        <w:ind w:left="154" w:right="111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4"/>
          <w:szCs w:val="14"/>
        </w:rPr>
      </w:pPr>
    </w:p>
    <w:p>
      <w:pPr>
        <w:spacing w:before="0"/>
        <w:ind w:left="573" w:right="1113" w:firstLine="0"/>
        <w:jc w:val="left"/>
        <w:rPr>
          <w:rFonts w:ascii="宋体" w:hAnsi="宋体" w:cs="宋体" w:eastAsia="宋体" w:hint="default"/>
          <w:sz w:val="18"/>
          <w:szCs w:val="18"/>
        </w:rPr>
      </w:pPr>
      <w:r>
        <w:rPr>
          <w:rFonts w:ascii="宋体" w:hAnsi="宋体" w:cs="宋体" w:eastAsia="宋体" w:hint="default"/>
          <w:sz w:val="18"/>
          <w:szCs w:val="18"/>
        </w:rPr>
        <w:t>完美数联（杭州）科技有限公司为少数股东增资。</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113"/>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51"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96" w:hRule="exact"/>
        </w:trPr>
        <w:tc>
          <w:tcPr>
            <w:tcW w:w="1372" w:type="dxa"/>
            <w:vMerge w:val="restart"/>
            <w:tcBorders>
              <w:top w:val="single" w:sz="2" w:space="0" w:color="000000"/>
              <w:left w:val="single" w:sz="2" w:space="0" w:color="000000"/>
              <w:right w:val="single" w:sz="2"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2" w:right="53"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2" w:space="0" w:color="000000"/>
              <w:left w:val="single" w:sz="2" w:space="0" w:color="000000"/>
              <w:right w:val="single" w:sz="2"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2" w:space="0" w:color="000000"/>
              <w:left w:val="single" w:sz="2" w:space="0" w:color="000000"/>
              <w:right w:val="single" w:sz="2"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1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2" w:space="0" w:color="000000"/>
              <w:left w:val="single" w:sz="2" w:space="0" w:color="000000"/>
              <w:right w:val="single" w:sz="2"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2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2" w:space="0" w:color="000000"/>
              <w:left w:val="single" w:sz="2" w:space="0" w:color="000000"/>
              <w:right w:val="single" w:sz="2" w:space="0" w:color="000000"/>
            </w:tcBorders>
            <w:shd w:val="clear" w:color="auto" w:fill="D3D3D3"/>
          </w:tcPr>
          <w:p>
            <w:pPr>
              <w:pStyle w:val="TableParagraph"/>
              <w:spacing w:line="316" w:lineRule="auto" w:before="51"/>
              <w:ind w:left="50" w:right="48"/>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2" w:space="0" w:color="000000"/>
              <w:bottom w:val="single" w:sz="2" w:space="0" w:color="000000"/>
              <w:right w:val="single" w:sz="2" w:space="0" w:color="000000"/>
            </w:tcBorders>
            <w:shd w:val="clear" w:color="auto" w:fill="D3D3D3"/>
          </w:tcPr>
          <w:p>
            <w:pPr/>
          </w:p>
        </w:tc>
        <w:tc>
          <w:tcPr>
            <w:tcW w:w="1367" w:type="dxa"/>
            <w:vMerge/>
            <w:tcBorders>
              <w:left w:val="single" w:sz="2" w:space="0" w:color="000000"/>
              <w:bottom w:val="single" w:sz="2" w:space="0" w:color="000000"/>
              <w:right w:val="single" w:sz="2" w:space="0" w:color="000000"/>
            </w:tcBorders>
            <w:shd w:val="clear" w:color="auto" w:fill="D3D3D3"/>
          </w:tcPr>
          <w:p>
            <w:pPr/>
          </w:p>
        </w:tc>
        <w:tc>
          <w:tcPr>
            <w:tcW w:w="1367" w:type="dxa"/>
            <w:vMerge/>
            <w:tcBorders>
              <w:left w:val="single" w:sz="2" w:space="0" w:color="000000"/>
              <w:bottom w:val="single" w:sz="2" w:space="0" w:color="000000"/>
              <w:right w:val="single" w:sz="2" w:space="0" w:color="000000"/>
            </w:tcBorders>
            <w:shd w:val="clear" w:color="auto" w:fill="D3D3D3"/>
          </w:tcPr>
          <w:p>
            <w:pPr/>
          </w:p>
        </w:tc>
        <w:tc>
          <w:tcPr>
            <w:tcW w:w="1367" w:type="dxa"/>
            <w:vMerge/>
            <w:tcBorders>
              <w:left w:val="single" w:sz="2" w:space="0" w:color="000000"/>
              <w:bottom w:val="single" w:sz="2" w:space="0" w:color="000000"/>
              <w:right w:val="single" w:sz="2" w:space="0" w:color="000000"/>
            </w:tcBorders>
            <w:shd w:val="clear" w:color="auto" w:fill="D3D3D3"/>
          </w:tcPr>
          <w:p>
            <w:pPr/>
          </w:p>
        </w:tc>
        <w:tc>
          <w:tcPr>
            <w:tcW w:w="136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2" w:space="0" w:color="000000"/>
              <w:bottom w:val="single" w:sz="2" w:space="0" w:color="000000"/>
              <w:right w:val="single" w:sz="2" w:space="0" w:color="000000"/>
            </w:tcBorders>
            <w:shd w:val="clear" w:color="auto" w:fill="D3D3D3"/>
          </w:tcPr>
          <w:p>
            <w:pPr/>
          </w:p>
        </w:tc>
      </w:tr>
      <w:tr>
        <w:trPr>
          <w:trHeight w:val="356" w:hRule="exact"/>
        </w:trPr>
        <w:tc>
          <w:tcPr>
            <w:tcW w:w="1372"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嘉兴丹诚开普股</w:t>
            </w:r>
          </w:p>
        </w:tc>
        <w:tc>
          <w:tcPr>
            <w:tcW w:w="1367" w:type="dxa"/>
            <w:tcBorders>
              <w:top w:val="single" w:sz="2" w:space="0" w:color="000000"/>
              <w:left w:val="single" w:sz="2" w:space="0" w:color="000000"/>
              <w:bottom w:val="nil" w:sz="6" w:space="0" w:color="auto"/>
              <w:right w:val="single" w:sz="2" w:space="0" w:color="000000"/>
            </w:tcBorders>
          </w:tcPr>
          <w:p>
            <w:pPr/>
          </w:p>
        </w:tc>
        <w:tc>
          <w:tcPr>
            <w:tcW w:w="1367" w:type="dxa"/>
            <w:tcBorders>
              <w:top w:val="single" w:sz="2" w:space="0" w:color="000000"/>
              <w:left w:val="single" w:sz="2" w:space="0" w:color="000000"/>
              <w:bottom w:val="nil" w:sz="6" w:space="0" w:color="auto"/>
              <w:right w:val="single" w:sz="2" w:space="0" w:color="000000"/>
            </w:tcBorders>
          </w:tcPr>
          <w:p>
            <w:pPr/>
          </w:p>
        </w:tc>
        <w:tc>
          <w:tcPr>
            <w:tcW w:w="1367" w:type="dxa"/>
            <w:tcBorders>
              <w:top w:val="single" w:sz="2" w:space="0" w:color="000000"/>
              <w:left w:val="single" w:sz="2" w:space="0" w:color="000000"/>
              <w:bottom w:val="nil" w:sz="6" w:space="0" w:color="auto"/>
              <w:right w:val="single" w:sz="2" w:space="0" w:color="000000"/>
            </w:tcBorders>
          </w:tcPr>
          <w:p>
            <w:pPr/>
          </w:p>
        </w:tc>
        <w:tc>
          <w:tcPr>
            <w:tcW w:w="1367" w:type="dxa"/>
            <w:tcBorders>
              <w:top w:val="single" w:sz="2" w:space="0" w:color="000000"/>
              <w:left w:val="single" w:sz="2" w:space="0" w:color="000000"/>
              <w:bottom w:val="nil" w:sz="6" w:space="0" w:color="auto"/>
              <w:right w:val="single" w:sz="2" w:space="0" w:color="000000"/>
            </w:tcBorders>
          </w:tcPr>
          <w:p>
            <w:pPr/>
          </w:p>
        </w:tc>
        <w:tc>
          <w:tcPr>
            <w:tcW w:w="1367" w:type="dxa"/>
            <w:vMerge w:val="restart"/>
            <w:tcBorders>
              <w:top w:val="single" w:sz="2" w:space="0" w:color="000000"/>
              <w:left w:val="single" w:sz="2" w:space="0" w:color="000000"/>
              <w:right w:val="single" w:sz="2" w:space="0" w:color="000000"/>
            </w:tcBorders>
          </w:tcPr>
          <w:p>
            <w:pPr/>
          </w:p>
        </w:tc>
        <w:tc>
          <w:tcPr>
            <w:tcW w:w="1366" w:type="dxa"/>
            <w:tcBorders>
              <w:top w:val="single" w:sz="2" w:space="0" w:color="000000"/>
              <w:left w:val="single" w:sz="2" w:space="0" w:color="000000"/>
              <w:bottom w:val="nil" w:sz="6" w:space="0" w:color="auto"/>
              <w:right w:val="single" w:sz="2" w:space="0" w:color="000000"/>
            </w:tcBorders>
          </w:tcPr>
          <w:p>
            <w:pPr/>
          </w:p>
        </w:tc>
      </w:tr>
      <w:tr>
        <w:trPr>
          <w:trHeight w:val="316" w:hRule="exact"/>
        </w:trPr>
        <w:tc>
          <w:tcPr>
            <w:tcW w:w="1372"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权投资合伙企业</w:t>
            </w:r>
          </w:p>
        </w:tc>
        <w:tc>
          <w:tcPr>
            <w:tcW w:w="1367"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1367"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1367"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nil" w:sz="6" w:space="0" w:color="auto"/>
              <w:left w:val="single" w:sz="2" w:space="0" w:color="000000"/>
              <w:bottom w:val="nil" w:sz="6" w:space="0" w:color="auto"/>
              <w:right w:val="single" w:sz="2" w:space="0" w:color="000000"/>
            </w:tcBorders>
          </w:tcPr>
          <w:p>
            <w:pPr>
              <w:pStyle w:val="TableParagraph"/>
              <w:spacing w:line="240" w:lineRule="auto" w:before="51"/>
              <w:ind w:left="782" w:right="0"/>
              <w:jc w:val="left"/>
              <w:rPr>
                <w:rFonts w:ascii="Times New Roman" w:hAnsi="Times New Roman" w:cs="Times New Roman" w:eastAsia="Times New Roman" w:hint="default"/>
                <w:sz w:val="18"/>
                <w:szCs w:val="18"/>
              </w:rPr>
            </w:pPr>
            <w:r>
              <w:rPr>
                <w:rFonts w:ascii="Times New Roman"/>
                <w:sz w:val="18"/>
              </w:rPr>
              <w:t>96.67%</w:t>
            </w:r>
          </w:p>
        </w:tc>
        <w:tc>
          <w:tcPr>
            <w:tcW w:w="1367" w:type="dxa"/>
            <w:vMerge/>
            <w:tcBorders>
              <w:left w:val="single" w:sz="2" w:space="0" w:color="000000"/>
              <w:right w:val="single" w:sz="2" w:space="0" w:color="000000"/>
            </w:tcBorders>
          </w:tcPr>
          <w:p>
            <w:pPr/>
          </w:p>
        </w:tc>
        <w:tc>
          <w:tcPr>
            <w:tcW w:w="1366"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349" w:hRule="exact"/>
        </w:trPr>
        <w:tc>
          <w:tcPr>
            <w:tcW w:w="1372"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6"/>
              <w:ind w:left="25"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7" w:type="dxa"/>
            <w:tcBorders>
              <w:top w:val="nil" w:sz="6" w:space="0" w:color="auto"/>
              <w:left w:val="single" w:sz="2" w:space="0" w:color="000000"/>
              <w:bottom w:val="single" w:sz="2" w:space="0" w:color="000000"/>
              <w:right w:val="single" w:sz="2" w:space="0" w:color="000000"/>
            </w:tcBorders>
          </w:tcPr>
          <w:p>
            <w:pPr/>
          </w:p>
        </w:tc>
        <w:tc>
          <w:tcPr>
            <w:tcW w:w="1367" w:type="dxa"/>
            <w:tcBorders>
              <w:top w:val="nil" w:sz="6" w:space="0" w:color="auto"/>
              <w:left w:val="single" w:sz="2" w:space="0" w:color="000000"/>
              <w:bottom w:val="single" w:sz="2" w:space="0" w:color="000000"/>
              <w:right w:val="single" w:sz="2" w:space="0" w:color="000000"/>
            </w:tcBorders>
          </w:tcPr>
          <w:p>
            <w:pPr/>
          </w:p>
        </w:tc>
        <w:tc>
          <w:tcPr>
            <w:tcW w:w="1367" w:type="dxa"/>
            <w:tcBorders>
              <w:top w:val="nil" w:sz="6" w:space="0" w:color="auto"/>
              <w:left w:val="single" w:sz="2" w:space="0" w:color="000000"/>
              <w:bottom w:val="single" w:sz="2" w:space="0" w:color="000000"/>
              <w:right w:val="single" w:sz="2" w:space="0" w:color="000000"/>
            </w:tcBorders>
          </w:tcPr>
          <w:p>
            <w:pPr/>
          </w:p>
        </w:tc>
        <w:tc>
          <w:tcPr>
            <w:tcW w:w="1367" w:type="dxa"/>
            <w:tcBorders>
              <w:top w:val="nil" w:sz="6" w:space="0" w:color="auto"/>
              <w:left w:val="single" w:sz="2" w:space="0" w:color="000000"/>
              <w:bottom w:val="single" w:sz="2" w:space="0" w:color="000000"/>
              <w:right w:val="single" w:sz="2" w:space="0" w:color="000000"/>
            </w:tcBorders>
          </w:tcPr>
          <w:p>
            <w:pPr/>
          </w:p>
        </w:tc>
        <w:tc>
          <w:tcPr>
            <w:tcW w:w="1367" w:type="dxa"/>
            <w:vMerge/>
            <w:tcBorders>
              <w:left w:val="single" w:sz="2" w:space="0" w:color="000000"/>
              <w:bottom w:val="single" w:sz="2" w:space="0" w:color="000000"/>
              <w:right w:val="single" w:sz="2" w:space="0" w:color="000000"/>
            </w:tcBorders>
          </w:tcPr>
          <w:p>
            <w:pPr/>
          </w:p>
        </w:tc>
        <w:tc>
          <w:tcPr>
            <w:tcW w:w="1366" w:type="dxa"/>
            <w:tcBorders>
              <w:top w:val="nil" w:sz="6" w:space="0" w:color="auto"/>
              <w:left w:val="single" w:sz="2" w:space="0" w:color="000000"/>
              <w:bottom w:val="single" w:sz="2" w:space="0" w:color="000000"/>
              <w:right w:val="single" w:sz="2" w:space="0" w:color="000000"/>
            </w:tcBorders>
          </w:tcPr>
          <w:p>
            <w:pPr/>
          </w:p>
        </w:tc>
      </w:tr>
    </w:tbl>
    <w:p>
      <w:pPr>
        <w:spacing w:after="0"/>
        <w:sectPr>
          <w:pgSz w:w="11910" w:h="16840"/>
          <w:pgMar w:header="877" w:footer="982" w:top="1100" w:bottom="1180" w:left="980" w:right="0"/>
        </w:sectPr>
      </w:pPr>
    </w:p>
    <w:p>
      <w:pPr>
        <w:spacing w:line="240" w:lineRule="auto" w:before="6"/>
        <w:rPr>
          <w:rFonts w:ascii="宋体" w:hAnsi="宋体" w:cs="宋体" w:eastAsia="宋体" w:hint="default"/>
          <w:b/>
          <w:bCs/>
          <w:sz w:val="24"/>
          <w:szCs w:val="24"/>
        </w:rPr>
      </w:pPr>
    </w:p>
    <w:tbl>
      <w:tblPr>
        <w:tblW w:w="0" w:type="auto"/>
        <w:jc w:val="left"/>
        <w:tblInd w:w="151"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09" w:hRule="exact"/>
        </w:trPr>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25" w:right="79"/>
              <w:jc w:val="left"/>
              <w:rPr>
                <w:rFonts w:ascii="宋体" w:hAnsi="宋体" w:cs="宋体" w:eastAsia="宋体" w:hint="default"/>
                <w:sz w:val="18"/>
                <w:szCs w:val="18"/>
              </w:rPr>
            </w:pPr>
            <w:r>
              <w:rPr>
                <w:rFonts w:ascii="宋体" w:hAnsi="宋体" w:cs="宋体" w:eastAsia="宋体" w:hint="default"/>
                <w:sz w:val="18"/>
                <w:szCs w:val="18"/>
              </w:rPr>
              <w:t>成都兰途网络科 技有限公司</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25" w:right="74"/>
              <w:jc w:val="left"/>
              <w:rPr>
                <w:rFonts w:ascii="宋体" w:hAnsi="宋体" w:cs="宋体" w:eastAsia="宋体" w:hint="default"/>
                <w:sz w:val="18"/>
                <w:szCs w:val="18"/>
              </w:rPr>
            </w:pPr>
            <w:r>
              <w:rPr>
                <w:rFonts w:ascii="宋体" w:hAnsi="宋体" w:cs="宋体" w:eastAsia="宋体" w:hint="default"/>
                <w:sz w:val="18"/>
                <w:szCs w:val="18"/>
              </w:rPr>
              <w:t>销售、集成及服 务</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82" w:right="0"/>
              <w:jc w:val="left"/>
              <w:rPr>
                <w:rFonts w:ascii="Times New Roman" w:hAnsi="Times New Roman" w:cs="Times New Roman" w:eastAsia="Times New Roman" w:hint="default"/>
                <w:sz w:val="18"/>
                <w:szCs w:val="18"/>
              </w:rPr>
            </w:pPr>
            <w:r>
              <w:rPr>
                <w:rFonts w:ascii="Times New Roman"/>
                <w:sz w:val="18"/>
              </w:rPr>
              <w:t>35.00%</w:t>
            </w:r>
          </w:p>
        </w:tc>
        <w:tc>
          <w:tcPr>
            <w:tcW w:w="1367" w:type="dxa"/>
            <w:tcBorders>
              <w:top w:val="single" w:sz="2" w:space="0" w:color="000000"/>
              <w:left w:val="single" w:sz="2" w:space="0" w:color="000000"/>
              <w:bottom w:val="single" w:sz="2" w:space="0" w:color="000000"/>
              <w:right w:val="single" w:sz="2" w:space="0" w:color="000000"/>
            </w:tcBorders>
          </w:tcPr>
          <w:p>
            <w:pP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2"/>
        <w:rPr>
          <w:rFonts w:ascii="宋体" w:hAnsi="宋体" w:cs="宋体" w:eastAsia="宋体" w:hint="default"/>
          <w:b/>
          <w:bCs/>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7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550"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成都兰途</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嘉兴丹诚开普</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希嘉教育</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成都兰途</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嘉兴丹诚开普</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8,269,947.63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306,622.79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71,356,031.82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7,269,536.27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309,851.27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46,078.13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17,265,958.28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98,848.39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34,600,000.00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8,316,025.76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35,906,622.79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88,621,990.10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7,368,384.66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34,909,851.27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4,888,783.08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25,693,797.79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2,713,477.06</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4,888,783.08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25,693,797.79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2,713,477.06</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归属于母公司股东 权益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3,427,242.68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35,906,622.79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62,928,192.31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4,654,907.60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34,909,851.27</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按持股比例计算的 净资产份额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1,199,534.94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34,710,932.25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15,102,766.15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1,629,217.66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33,747,353.22</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对联营企业权益投 资的账面价值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7,649,143.58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39,195,401.90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39,128,167.77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7,649,143.58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37,483,401.90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5,884,666.86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39,195,590.78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6,044,971.42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-1,227,666.41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-715,228.48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4,995,105.89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-963,929.53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1,522,867.62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-1,227,666.41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-715,228.48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4,995,105.89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-963,929.53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1,522,867.62</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3,653,491.47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3,713,036.44</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-59,544.97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-12,475.93</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-59,544.97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-12,475.93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both"/>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0"/>
        <w:jc w:val="both"/>
        <w:rPr>
          <w:b w:val="0"/>
          <w:bCs w:val="0"/>
        </w:rPr>
      </w:pPr>
      <w:r>
        <w:rPr/>
        <w:t>十、与金融工具相关的风险</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131" w:firstLine="420"/>
        <w:jc w:val="both"/>
      </w:pPr>
      <w:r>
        <w:rPr>
          <w:spacing w:val="-1"/>
        </w:rPr>
        <w:t>本公司在经营过程中面临各种金融风险：信用风险、市场风险和流动性风险。公司董事会全面负责风</w:t>
      </w:r>
      <w:r>
        <w:rPr/>
        <w:t> </w:t>
      </w:r>
      <w:r>
        <w:rPr>
          <w:spacing w:val="-1"/>
        </w:rPr>
        <w:t>险管理目标和政策的确定，并对风险管理目标和政策承担最终责任，但是董事会已授权本公司财务部门设</w:t>
      </w:r>
      <w:r>
        <w:rPr>
          <w:spacing w:val="-81"/>
        </w:rPr>
        <w:t> </w:t>
      </w:r>
      <w:r>
        <w:rPr>
          <w:spacing w:val="-81"/>
        </w:rPr>
      </w:r>
      <w:r>
        <w:rPr>
          <w:spacing w:val="-1"/>
        </w:rPr>
        <w:t>计和实施能确保风险管理目标和政策得以有效执行的程序。董事会通过财务部门主管递交的月度报告来审</w:t>
      </w:r>
      <w:r>
        <w:rPr>
          <w:spacing w:val="-81"/>
        </w:rPr>
        <w:t> </w:t>
      </w:r>
      <w:r>
        <w:rPr>
          <w:spacing w:val="-81"/>
        </w:rPr>
      </w:r>
      <w:r>
        <w:rPr>
          <w:spacing w:val="-1"/>
        </w:rPr>
        <w:t>查已执行程序的有效性以及风险管理目标和政策的合理性。本公司的内部审计师也会审计风险管理的政策</w:t>
      </w:r>
      <w:r>
        <w:rPr>
          <w:spacing w:val="-81"/>
        </w:rPr>
        <w:t> </w:t>
      </w:r>
      <w:r>
        <w:rPr>
          <w:spacing w:val="-81"/>
        </w:rPr>
      </w:r>
      <w:r>
        <w:rPr/>
        <w:t>和程序，并且将有关发现汇报给审计委员会。</w:t>
      </w:r>
    </w:p>
    <w:p>
      <w:pPr>
        <w:pStyle w:val="BodyText"/>
        <w:spacing w:line="408" w:lineRule="auto"/>
        <w:ind w:left="153" w:right="1130" w:firstLine="420"/>
        <w:jc w:val="both"/>
      </w:pPr>
      <w:r>
        <w:rPr>
          <w:spacing w:val="-1"/>
        </w:rPr>
        <w:t>本公司风险管理的总体目标是在不过度影响公司竞争力和应变力的情况下，制定尽可能降低风险的风</w:t>
      </w:r>
      <w:r>
        <w:rPr/>
        <w:t> 险管理政策。</w:t>
      </w:r>
    </w:p>
    <w:p>
      <w:pPr>
        <w:pStyle w:val="BodyText"/>
        <w:spacing w:line="386" w:lineRule="auto"/>
        <w:ind w:left="574" w:right="1113" w:hanging="1"/>
        <w:jc w:val="left"/>
      </w:pPr>
      <w:r>
        <w:rPr>
          <w:rFonts w:ascii="Times New Roman" w:hAnsi="Times New Roman" w:cs="Times New Roman" w:eastAsia="Times New Roman" w:hint="default"/>
        </w:rPr>
        <w:t>1</w:t>
      </w:r>
      <w:r>
        <w:rPr/>
        <w:t>、信用风险 </w:t>
      </w:r>
      <w:r>
        <w:rPr>
          <w:spacing w:val="-1"/>
        </w:rPr>
        <w:t>信用风险是指金融工具的一方不履行义务，造成另一方发生财务损失的风险。本公司主要面临赊销导</w:t>
      </w:r>
    </w:p>
    <w:p>
      <w:pPr>
        <w:pStyle w:val="BodyText"/>
        <w:spacing w:line="408" w:lineRule="auto" w:before="65"/>
        <w:ind w:right="1131"/>
        <w:jc w:val="both"/>
      </w:pPr>
      <w:r>
        <w:rPr>
          <w:spacing w:val="-1"/>
        </w:rPr>
        <w:t>致的客户信用风险。在签订新合同之前，本公司会对新客户的信用风险进行评估，包括外部信用评级和在</w:t>
      </w:r>
      <w:r>
        <w:rPr>
          <w:spacing w:val="-83"/>
        </w:rPr>
        <w:t> </w:t>
      </w:r>
      <w:r>
        <w:rPr>
          <w:spacing w:val="-83"/>
        </w:rPr>
      </w:r>
      <w:r>
        <w:rPr>
          <w:spacing w:val="-1"/>
        </w:rPr>
        <w:t>某些情况下的银行资信证明（当此信息可获取时）。公司对每一客户均设置了赊销限额，该限额为无需获</w:t>
      </w:r>
      <w:r>
        <w:rPr>
          <w:spacing w:val="-82"/>
        </w:rPr>
        <w:t> </w:t>
      </w:r>
      <w:r>
        <w:rPr>
          <w:spacing w:val="-82"/>
        </w:rPr>
      </w:r>
      <w:r>
        <w:rPr/>
        <w:t>得额外批准的最大额度。</w:t>
      </w:r>
    </w:p>
    <w:p>
      <w:pPr>
        <w:pStyle w:val="BodyText"/>
        <w:spacing w:line="400" w:lineRule="auto"/>
        <w:ind w:right="1127" w:firstLine="420"/>
        <w:jc w:val="both"/>
      </w:pPr>
      <w:r>
        <w:rPr>
          <w:spacing w:val="3"/>
        </w:rPr>
        <w:t>公司通过对已有客户信用评级的季度监控以及应收账款账龄分析的月度审核来确保公司的整体信用</w:t>
      </w:r>
      <w:r>
        <w:rPr/>
        <w:t> 风险在可控的范围内。在监控客户的信用风险时，按照客户的信用特征对其分组。被评为</w:t>
      </w:r>
      <w:r>
        <w:rPr>
          <w:rFonts w:ascii="Times New Roman" w:hAnsi="Times New Roman" w:cs="Times New Roman" w:eastAsia="Times New Roman" w:hint="default"/>
        </w:rPr>
        <w:t>“</w:t>
      </w:r>
      <w:r>
        <w:rPr/>
        <w:t>高风险</w:t>
      </w:r>
      <w:r>
        <w:rPr>
          <w:rFonts w:ascii="Times New Roman" w:hAnsi="Times New Roman" w:cs="Times New Roman" w:eastAsia="Times New Roman" w:hint="default"/>
        </w:rPr>
        <w:t>”</w:t>
      </w:r>
      <w:r>
        <w:rPr/>
        <w:t>级别的 </w:t>
      </w:r>
      <w:r>
        <w:rPr>
          <w:spacing w:val="-1"/>
        </w:rPr>
        <w:t>客户会放在受限制客户名单里，并且只有在额外批准的前提下，公司才可在未来期间内对其赊销，否则必</w:t>
      </w:r>
      <w:r>
        <w:rPr>
          <w:spacing w:val="-83"/>
        </w:rPr>
        <w:t> </w:t>
      </w:r>
      <w:r>
        <w:rPr>
          <w:spacing w:val="-83"/>
        </w:rPr>
      </w:r>
      <w:r>
        <w:rPr/>
        <w:t>须要求其提前支付相应款项。</w:t>
      </w:r>
    </w:p>
    <w:p>
      <w:pPr>
        <w:pStyle w:val="BodyText"/>
        <w:spacing w:line="386" w:lineRule="auto" w:before="52"/>
        <w:ind w:left="574" w:right="1090" w:hanging="1"/>
        <w:jc w:val="left"/>
      </w:pPr>
      <w:r>
        <w:rPr>
          <w:rFonts w:ascii="Times New Roman" w:hAnsi="Times New Roman" w:cs="Times New Roman" w:eastAsia="Times New Roman" w:hint="default"/>
        </w:rPr>
        <w:t>2</w:t>
      </w:r>
      <w:r>
        <w:rPr/>
        <w:t>、市场风险 金融工具的市场风险，是指金融工具的公允价值或未来现金流量因市场价格变动而发生波动的风险，</w:t>
      </w:r>
    </w:p>
    <w:p>
      <w:pPr>
        <w:pStyle w:val="BodyText"/>
        <w:spacing w:line="240" w:lineRule="auto" w:before="65"/>
        <w:ind w:right="0"/>
        <w:jc w:val="both"/>
      </w:pPr>
      <w:r>
        <w:rPr/>
        <w:t>包括汇率风险、利率风险和其他价格风险。</w:t>
      </w:r>
    </w:p>
    <w:p>
      <w:pPr>
        <w:spacing w:after="0" w:line="240" w:lineRule="auto"/>
        <w:jc w:val="both"/>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386" w:lineRule="auto" w:before="35"/>
        <w:ind w:left="574" w:right="1113" w:hanging="1"/>
        <w:jc w:val="left"/>
      </w:pPr>
      <w:r>
        <w:rPr/>
        <w:t>（</w:t>
      </w:r>
      <w:r>
        <w:rPr>
          <w:rFonts w:ascii="Times New Roman" w:hAnsi="Times New Roman" w:cs="Times New Roman" w:eastAsia="Times New Roman" w:hint="default"/>
        </w:rPr>
        <w:t>1</w:t>
      </w:r>
      <w:r>
        <w:rPr/>
        <w:t>）利率风险 </w:t>
      </w:r>
      <w:r>
        <w:rPr>
          <w:spacing w:val="-1"/>
        </w:rPr>
        <w:t>利率风险，是指金融工具的公允价值或未来现金流量因市场利率变动而发生波动的风险。本公司面临</w:t>
      </w:r>
    </w:p>
    <w:p>
      <w:pPr>
        <w:pStyle w:val="BodyText"/>
        <w:spacing w:line="408" w:lineRule="auto" w:before="65"/>
        <w:ind w:left="574" w:right="1113" w:hanging="420"/>
        <w:jc w:val="left"/>
        <w:rPr>
          <w:rFonts w:ascii="Times New Roman" w:hAnsi="Times New Roman" w:cs="Times New Roman" w:eastAsia="Times New Roman" w:hint="default"/>
        </w:rPr>
      </w:pPr>
      <w:r>
        <w:rPr/>
        <w:t>的利率风险主要来源于银行借款。 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日，在其他变量保持不变的情况下，如果以浮动利率计算的借款利率上升或下降</w:t>
      </w:r>
      <w:r>
        <w:rPr>
          <w:rFonts w:ascii="Times New Roman" w:hAnsi="Times New Roman" w:cs="Times New Roman" w:eastAsia="Times New Roman" w:hint="default"/>
        </w:rPr>
        <w:t>100</w:t>
      </w:r>
    </w:p>
    <w:p>
      <w:pPr>
        <w:pStyle w:val="BodyText"/>
        <w:spacing w:line="386" w:lineRule="auto" w:before="14"/>
        <w:ind w:left="153" w:right="1130"/>
        <w:jc w:val="both"/>
      </w:pPr>
      <w:r>
        <w:rPr>
          <w:spacing w:val="-1"/>
        </w:rPr>
        <w:t>个基点，则本公司的净利润将减少或增加</w:t>
      </w:r>
      <w:r>
        <w:rPr>
          <w:rFonts w:ascii="Times New Roman" w:hAnsi="Times New Roman" w:cs="Times New Roman" w:eastAsia="Times New Roman" w:hint="default"/>
          <w:spacing w:val="-1"/>
        </w:rPr>
        <w:t>75,131.07</w:t>
      </w:r>
      <w:r>
        <w:rPr>
          <w:spacing w:val="-1"/>
        </w:rPr>
        <w:t>元（</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143,556.84</w:t>
      </w:r>
      <w:r>
        <w:rPr>
          <w:spacing w:val="-1"/>
        </w:rPr>
        <w:t>元）。管理层认为</w:t>
      </w:r>
      <w:r>
        <w:rPr>
          <w:rFonts w:ascii="Times New Roman" w:hAnsi="Times New Roman" w:cs="Times New Roman" w:eastAsia="Times New Roman" w:hint="default"/>
          <w:spacing w:val="-1"/>
        </w:rPr>
        <w:t>100</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t>个基点合理反映了下一年度利率可能发生变动的合理范围。</w:t>
      </w:r>
    </w:p>
    <w:p>
      <w:pPr>
        <w:pStyle w:val="BodyText"/>
        <w:spacing w:line="386" w:lineRule="auto" w:before="65"/>
        <w:ind w:left="573" w:right="1931" w:hanging="1"/>
        <w:jc w:val="left"/>
      </w:pPr>
      <w:r>
        <w:rPr/>
        <w:t>（</w:t>
      </w:r>
      <w:r>
        <w:rPr>
          <w:rFonts w:ascii="Times New Roman" w:hAnsi="Times New Roman" w:cs="Times New Roman" w:eastAsia="Times New Roman" w:hint="default"/>
        </w:rPr>
        <w:t>2</w:t>
      </w:r>
      <w:r>
        <w:rPr/>
        <w:t>）汇率风险 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日，本公司未签署任何远期外汇合约或货币互换合约，不存在外汇风险。</w:t>
      </w:r>
    </w:p>
    <w:p>
      <w:pPr>
        <w:pStyle w:val="BodyText"/>
        <w:spacing w:line="386" w:lineRule="auto" w:before="35"/>
        <w:ind w:left="573" w:right="1091" w:hanging="1"/>
        <w:jc w:val="left"/>
      </w:pPr>
      <w:r>
        <w:rPr/>
        <w:t>（</w:t>
      </w:r>
      <w:r>
        <w:rPr>
          <w:rFonts w:ascii="Times New Roman" w:hAnsi="Times New Roman" w:cs="Times New Roman" w:eastAsia="Times New Roman" w:hint="default"/>
        </w:rPr>
        <w:t>3</w:t>
      </w:r>
      <w:r>
        <w:rPr/>
        <w:t>）其他价格风险 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日，本公司未持有其他上市公司的权益投资，不存在其他价格风险。 </w:t>
      </w:r>
      <w:r>
        <w:rPr>
          <w:rFonts w:ascii="Times New Roman" w:hAnsi="Times New Roman" w:cs="Times New Roman" w:eastAsia="Times New Roman" w:hint="default"/>
          <w:b/>
          <w:bCs/>
        </w:rPr>
        <w:t>3</w:t>
      </w:r>
      <w:r>
        <w:rPr>
          <w:rFonts w:ascii="宋体" w:hAnsi="宋体" w:cs="宋体" w:eastAsia="宋体" w:hint="default"/>
          <w:b/>
          <w:bCs/>
        </w:rPr>
        <w:t>、</w:t>
      </w:r>
      <w:r>
        <w:rPr/>
        <w:t>流动性风险 流动性风险，是指企业在履行以交付现金或其他金融资产的方式结算的义务时发生资金短缺的风险。</w:t>
      </w:r>
    </w:p>
    <w:p>
      <w:pPr>
        <w:pStyle w:val="BodyText"/>
        <w:spacing w:line="398" w:lineRule="auto" w:before="65"/>
        <w:ind w:left="153" w:right="1131"/>
        <w:jc w:val="both"/>
      </w:pPr>
      <w:r>
        <w:rPr>
          <w:spacing w:val="-1"/>
        </w:rPr>
        <w:t>本公司的政策是确保拥有充足的现金以偿还到期债务。流动性风险由本公司的财务部门集中控制。财务部</w:t>
      </w:r>
      <w:r>
        <w:rPr>
          <w:spacing w:val="-81"/>
        </w:rPr>
        <w:t> </w:t>
      </w:r>
      <w:r>
        <w:rPr>
          <w:spacing w:val="-81"/>
        </w:rPr>
      </w:r>
      <w:r>
        <w:rPr>
          <w:spacing w:val="-1"/>
        </w:rPr>
        <w:t>门通过监控现金余额、可随时变现的有价证券以及对未来</w:t>
      </w:r>
      <w:r>
        <w:rPr>
          <w:rFonts w:ascii="Times New Roman" w:hAnsi="Times New Roman" w:cs="Times New Roman" w:eastAsia="Times New Roman" w:hint="default"/>
          <w:spacing w:val="-1"/>
        </w:rPr>
        <w:t>12</w:t>
      </w:r>
      <w:r>
        <w:rPr>
          <w:spacing w:val="-1"/>
        </w:rPr>
        <w:t>个月现金流量的滚动预测，确保公司在所有合</w:t>
      </w:r>
      <w:r>
        <w:rPr>
          <w:spacing w:val="-83"/>
        </w:rPr>
        <w:t> </w:t>
      </w:r>
      <w:r>
        <w:rPr>
          <w:spacing w:val="-83"/>
        </w:rPr>
      </w:r>
      <w:r>
        <w:rPr/>
        <w:t>理预测的情况下拥有充足的资金偿还债务。</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52,000,000.00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52,000,000.00</w:t>
            </w:r>
          </w:p>
        </w:tc>
      </w:tr>
      <w:tr>
        <w:trPr>
          <w:trHeight w:val="1026"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2"/>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 动计入当期损益的金融 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52,000,000.00</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52,000,000.00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52,000,000.00</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（三）其他权益工具投资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60,000.00</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491,820.00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491,820.00</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52,491,820.00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52,551,820.00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line="568" w:lineRule="auto" w:before="35"/>
        <w:ind w:left="573" w:right="2351"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b/>
          <w:bCs/>
          <w:w w:val="99"/>
          <w:sz w:val="21"/>
          <w:szCs w:val="21"/>
        </w:rPr>
        <w:t> </w:t>
      </w:r>
      <w:r>
        <w:rPr>
          <w:rFonts w:ascii="宋体" w:hAnsi="宋体" w:cs="宋体" w:eastAsia="宋体" w:hint="default"/>
          <w:sz w:val="21"/>
          <w:szCs w:val="21"/>
        </w:rPr>
        <w:t>第一层次输入值是在计量日能够取得的相同资产或负债在活跃市场上未经调整的报价。</w:t>
      </w:r>
    </w:p>
    <w:p>
      <w:pPr>
        <w:spacing w:line="585" w:lineRule="auto" w:before="128"/>
        <w:ind w:left="346" w:right="2427" w:firstLine="0"/>
        <w:jc w:val="center"/>
        <w:rPr>
          <w:rFonts w:ascii="宋体" w:hAnsi="宋体" w:cs="宋体" w:eastAsia="宋体" w:hint="default"/>
          <w:sz w:val="21"/>
          <w:szCs w:val="21"/>
        </w:rPr>
      </w:pP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、持续和非持续第二层次公允价值计量项目，采用的估值技术和重要参数的定性及定量信息</w:t>
      </w:r>
      <w:r>
        <w:rPr>
          <w:rFonts w:ascii="宋体" w:hAnsi="宋体" w:cs="宋体" w:eastAsia="宋体" w:hint="default"/>
          <w:b/>
          <w:bCs/>
          <w:spacing w:val="8"/>
          <w:w w:val="95"/>
          <w:sz w:val="21"/>
          <w:szCs w:val="21"/>
        </w:rPr>
        <w:t> </w:t>
      </w:r>
      <w:r>
        <w:rPr>
          <w:rFonts w:ascii="宋体" w:hAnsi="宋体" w:cs="宋体" w:eastAsia="宋体" w:hint="default"/>
          <w:b/>
          <w:bCs/>
          <w:spacing w:val="8"/>
          <w:w w:val="95"/>
          <w:sz w:val="21"/>
          <w:szCs w:val="21"/>
        </w:rPr>
      </w:r>
      <w:r>
        <w:rPr>
          <w:rFonts w:ascii="宋体" w:hAnsi="宋体" w:cs="宋体" w:eastAsia="宋体" w:hint="default"/>
          <w:sz w:val="21"/>
          <w:szCs w:val="21"/>
        </w:rPr>
        <w:t>第二层次输入值是除第一层次输入值外相关资产或负债直接或间接可观察的输入值。 </w:t>
      </w:r>
      <w:r>
        <w:rPr>
          <w:rFonts w:ascii="Times New Roman" w:hAnsi="Times New Roman" w:cs="Times New Roman" w:eastAsia="Times New Roman" w:hint="default"/>
          <w:b/>
          <w:bCs/>
          <w:w w:val="95"/>
          <w:sz w:val="21"/>
          <w:szCs w:val="21"/>
        </w:rPr>
        <w:t>4</w:t>
      </w:r>
      <w:r>
        <w:rPr>
          <w:rFonts w:ascii="宋体" w:hAnsi="宋体" w:cs="宋体" w:eastAsia="宋体" w:hint="default"/>
          <w:b/>
          <w:bCs/>
          <w:w w:val="95"/>
          <w:sz w:val="21"/>
          <w:szCs w:val="21"/>
        </w:rPr>
        <w:t>、持续和非持续第三层次公允价值计量项目，采用的估值技术和重要参数的定性及定量信息</w:t>
      </w:r>
      <w:r>
        <w:rPr>
          <w:rFonts w:ascii="宋体" w:hAnsi="宋体" w:cs="宋体" w:eastAsia="宋体" w:hint="default"/>
          <w:sz w:val="21"/>
          <w:szCs w:val="21"/>
        </w:rPr>
      </w:r>
    </w:p>
    <w:p>
      <w:pPr>
        <w:pStyle w:val="BodyText"/>
        <w:spacing w:line="240" w:lineRule="auto" w:before="65"/>
        <w:ind w:left="573" w:right="1113"/>
        <w:jc w:val="left"/>
      </w:pPr>
      <w:r>
        <w:rPr/>
        <w:t>第三层次输入值是相关资产或负债的不可观察输入值。</w:t>
      </w:r>
    </w:p>
    <w:p>
      <w:pPr>
        <w:spacing w:line="240" w:lineRule="auto" w:before="0"/>
        <w:rPr>
          <w:rFonts w:ascii="宋体" w:hAnsi="宋体" w:cs="宋体" w:eastAsia="宋体" w:hint="default"/>
          <w:sz w:val="20"/>
          <w:szCs w:val="20"/>
        </w:rPr>
      </w:pPr>
    </w:p>
    <w:p>
      <w:pPr>
        <w:pStyle w:val="Heading3"/>
        <w:spacing w:line="240" w:lineRule="auto" w:before="154"/>
        <w:ind w:left="153" w:right="1113"/>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81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before="51"/>
        <w:ind w:left="154" w:right="1113"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line="240" w:lineRule="auto" w:before="12"/>
        <w:rPr>
          <w:rFonts w:ascii="宋体" w:hAnsi="宋体" w:cs="宋体" w:eastAsia="宋体" w:hint="default"/>
          <w:sz w:val="12"/>
          <w:szCs w:val="12"/>
        </w:rPr>
      </w:pPr>
    </w:p>
    <w:p>
      <w:pPr>
        <w:spacing w:line="398" w:lineRule="auto" w:before="0"/>
        <w:ind w:left="154" w:right="7630" w:firstLine="420"/>
        <w:jc w:val="left"/>
        <w:rPr>
          <w:rFonts w:ascii="宋体" w:hAnsi="宋体" w:cs="宋体" w:eastAsia="宋体" w:hint="default"/>
          <w:sz w:val="18"/>
          <w:szCs w:val="18"/>
        </w:rPr>
      </w:pPr>
      <w:r>
        <w:rPr>
          <w:rFonts w:ascii="宋体" w:hAnsi="宋体" w:cs="宋体" w:eastAsia="宋体" w:hint="default"/>
          <w:sz w:val="21"/>
          <w:szCs w:val="21"/>
        </w:rPr>
        <w:t>本企业最终控制方是杨维国</w:t>
      </w:r>
      <w:r>
        <w:rPr>
          <w:rFonts w:ascii="宋体" w:hAnsi="宋体" w:cs="宋体" w:eastAsia="宋体" w:hint="default"/>
          <w:sz w:val="18"/>
          <w:szCs w:val="18"/>
        </w:rPr>
        <w:t>。</w:t>
      </w:r>
      <w:r>
        <w:rPr>
          <w:rFonts w:ascii="宋体" w:hAnsi="宋体" w:cs="宋体" w:eastAsia="宋体" w:hint="default"/>
          <w:sz w:val="18"/>
          <w:szCs w:val="18"/>
        </w:rPr>
        <w:t> 其他说明：</w:t>
      </w:r>
    </w:p>
    <w:p>
      <w:pPr>
        <w:pStyle w:val="BodyText"/>
        <w:spacing w:line="386" w:lineRule="auto" w:before="50"/>
        <w:ind w:left="153" w:right="1117" w:firstLine="420"/>
        <w:jc w:val="both"/>
      </w:pPr>
      <w:r>
        <w:rPr>
          <w:spacing w:val="-1"/>
        </w:rPr>
        <w:t>本公司最终控制方是杨维国先生，任职董事长兼总经理，截至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日，杨维国直接持有公司</w:t>
      </w:r>
      <w:r>
        <w:rPr/>
        <w:t> 股份</w:t>
      </w:r>
      <w:r>
        <w:rPr>
          <w:rFonts w:ascii="Times New Roman" w:hAnsi="Times New Roman" w:cs="Times New Roman" w:eastAsia="Times New Roman" w:hint="default"/>
        </w:rPr>
        <w:t>78,079,108.00</w:t>
      </w:r>
      <w:r>
        <w:rPr/>
        <w:t>股，占公司总股本的</w:t>
      </w:r>
      <w:r>
        <w:rPr>
          <w:rFonts w:ascii="Times New Roman" w:hAnsi="Times New Roman" w:cs="Times New Roman" w:eastAsia="Times New Roman" w:hint="default"/>
        </w:rPr>
        <w:t>16.23%</w:t>
      </w:r>
      <w:r>
        <w:rPr/>
        <w:t>，通过郑州佳辰企业管理咨询中心（有限合伙）间接持有公 </w:t>
      </w:r>
      <w:r>
        <w:rPr>
          <w:spacing w:val="7"/>
        </w:rPr>
        <w:t>司股份</w:t>
      </w:r>
      <w:r>
        <w:rPr>
          <w:rFonts w:ascii="Times New Roman" w:hAnsi="Times New Roman" w:cs="Times New Roman" w:eastAsia="Times New Roman" w:hint="default"/>
          <w:spacing w:val="7"/>
        </w:rPr>
        <w:t>332,682.00</w:t>
      </w:r>
      <w:r>
        <w:rPr>
          <w:spacing w:val="7"/>
        </w:rPr>
        <w:t>股，占公司总股本的</w:t>
      </w:r>
      <w:r>
        <w:rPr>
          <w:rFonts w:ascii="Times New Roman" w:hAnsi="Times New Roman" w:cs="Times New Roman" w:eastAsia="Times New Roman" w:hint="default"/>
          <w:spacing w:val="7"/>
        </w:rPr>
        <w:t>0.0692%</w:t>
      </w:r>
      <w:r>
        <w:rPr>
          <w:spacing w:val="7"/>
        </w:rPr>
        <w:t>，合计持有公司股份</w:t>
      </w:r>
      <w:r>
        <w:rPr>
          <w:rFonts w:ascii="Times New Roman" w:hAnsi="Times New Roman" w:cs="Times New Roman" w:eastAsia="Times New Roman" w:hint="default"/>
          <w:spacing w:val="7"/>
        </w:rPr>
        <w:t>78,411,790.00</w:t>
      </w:r>
      <w:r>
        <w:rPr>
          <w:spacing w:val="7"/>
        </w:rPr>
        <w:t>股，占公司总股本的</w:t>
      </w:r>
      <w:r>
        <w:rPr>
          <w:spacing w:val="-102"/>
        </w:rPr>
        <w:t> </w:t>
      </w:r>
      <w:r>
        <w:rPr>
          <w:spacing w:val="-102"/>
        </w:rPr>
      </w:r>
      <w:r>
        <w:rPr>
          <w:rFonts w:ascii="Times New Roman" w:hAnsi="Times New Roman" w:cs="Times New Roman" w:eastAsia="Times New Roman" w:hint="default"/>
        </w:rPr>
        <w:t>16.2987%</w:t>
      </w:r>
      <w:r>
        <w:rPr/>
        <w:t>，为公司第一大股东、实际控制人。</w:t>
      </w:r>
    </w:p>
    <w:p>
      <w:pPr>
        <w:spacing w:after="0" w:line="386" w:lineRule="auto"/>
        <w:jc w:val="both"/>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1113"/>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spacing w:before="0"/>
        <w:ind w:left="154" w:right="1113"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本企业子公司的情况详见附注九、在其他主体中的权益。</w:t>
      </w:r>
    </w:p>
    <w:p>
      <w:pPr>
        <w:spacing w:line="240" w:lineRule="auto" w:before="10"/>
        <w:rPr>
          <w:rFonts w:ascii="宋体" w:hAnsi="宋体" w:cs="宋体" w:eastAsia="宋体" w:hint="default"/>
          <w:sz w:val="26"/>
          <w:szCs w:val="26"/>
        </w:rPr>
      </w:pPr>
    </w:p>
    <w:p>
      <w:pPr>
        <w:pStyle w:val="Heading3"/>
        <w:spacing w:line="240" w:lineRule="auto"/>
        <w:ind w:right="1113"/>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2291"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本企业重要的合营或联营企业详见附注九、在其他主体中的权益。 本期与本公司发生关联方交易，或前期与本公司发生关联方交易形成余额的其他合营或联营企业情况如下：</w:t>
      </w:r>
    </w:p>
    <w:tbl>
      <w:tblPr>
        <w:tblW w:w="0" w:type="auto"/>
        <w:jc w:val="left"/>
        <w:tblInd w:w="151" w:type="dxa"/>
        <w:tblLayout w:type="fixed"/>
        <w:tblCellMar>
          <w:top w:w="0" w:type="dxa"/>
          <w:left w:w="0" w:type="dxa"/>
          <w:bottom w:w="0" w:type="dxa"/>
          <w:right w:w="0" w:type="dxa"/>
        </w:tblCellMar>
        <w:tblLook w:val="01E0"/>
      </w:tblPr>
      <w:tblGrid>
        <w:gridCol w:w="4782"/>
        <w:gridCol w:w="4786"/>
      </w:tblGrid>
      <w:tr>
        <w:trPr>
          <w:trHeight w:val="397" w:hRule="exact"/>
        </w:trPr>
        <w:tc>
          <w:tcPr>
            <w:tcW w:w="478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1578"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396" w:hRule="exact"/>
        </w:trPr>
        <w:tc>
          <w:tcPr>
            <w:tcW w:w="47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成都兰途网络科技有限公司</w:t>
            </w:r>
          </w:p>
        </w:tc>
        <w:tc>
          <w:tcPr>
            <w:tcW w:w="4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97" w:hRule="exact"/>
        </w:trPr>
        <w:tc>
          <w:tcPr>
            <w:tcW w:w="47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北京乐智科技有限公司</w:t>
            </w:r>
          </w:p>
        </w:tc>
        <w:tc>
          <w:tcPr>
            <w:tcW w:w="4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97" w:hRule="exact"/>
        </w:trPr>
        <w:tc>
          <w:tcPr>
            <w:tcW w:w="47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嘉兴丹诚开普股权投资合伙企业（有限合伙）</w:t>
            </w:r>
          </w:p>
        </w:tc>
        <w:tc>
          <w:tcPr>
            <w:tcW w:w="4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7"/>
        <w:rPr>
          <w:rFonts w:ascii="宋体" w:hAnsi="宋体" w:cs="宋体" w:eastAsia="宋体" w:hint="default"/>
          <w:sz w:val="20"/>
          <w:szCs w:val="20"/>
        </w:rPr>
      </w:pPr>
    </w:p>
    <w:p>
      <w:pPr>
        <w:pStyle w:val="Heading3"/>
        <w:spacing w:line="240" w:lineRule="auto" w:before="35"/>
        <w:ind w:right="1113"/>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51" w:type="dxa"/>
        <w:tblLayout w:type="fixed"/>
        <w:tblCellMar>
          <w:top w:w="0" w:type="dxa"/>
          <w:left w:w="0" w:type="dxa"/>
          <w:bottom w:w="0" w:type="dxa"/>
          <w:right w:w="0" w:type="dxa"/>
        </w:tblCellMar>
        <w:tblLook w:val="01E0"/>
      </w:tblPr>
      <w:tblGrid>
        <w:gridCol w:w="4782"/>
        <w:gridCol w:w="4786"/>
      </w:tblGrid>
      <w:tr>
        <w:trPr>
          <w:trHeight w:val="397" w:hRule="exact"/>
        </w:trPr>
        <w:tc>
          <w:tcPr>
            <w:tcW w:w="478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1400"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397" w:hRule="exact"/>
        </w:trPr>
        <w:tc>
          <w:tcPr>
            <w:tcW w:w="47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河南佳弘信诚企业管理咨询中心（有限合伙）</w:t>
            </w:r>
          </w:p>
        </w:tc>
        <w:tc>
          <w:tcPr>
            <w:tcW w:w="4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董事、副总经理尚卫国担任普通合伙人</w:t>
            </w:r>
          </w:p>
        </w:tc>
      </w:tr>
      <w:tr>
        <w:trPr>
          <w:trHeight w:val="397" w:hRule="exact"/>
        </w:trPr>
        <w:tc>
          <w:tcPr>
            <w:tcW w:w="47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湖南科瑞特科技有限公司</w:t>
            </w:r>
          </w:p>
        </w:tc>
        <w:tc>
          <w:tcPr>
            <w:tcW w:w="4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联营企业嘉兴丹诚持股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；副总经理杜建平担任董事</w:t>
            </w:r>
          </w:p>
        </w:tc>
      </w:tr>
      <w:tr>
        <w:trPr>
          <w:trHeight w:val="397" w:hRule="exact"/>
        </w:trPr>
        <w:tc>
          <w:tcPr>
            <w:tcW w:w="47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职派咨询（北京）有限责任公司</w:t>
            </w:r>
          </w:p>
        </w:tc>
        <w:tc>
          <w:tcPr>
            <w:tcW w:w="4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联营企业嘉兴丹诚持股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p>
        </w:tc>
      </w:tr>
      <w:tr>
        <w:trPr>
          <w:trHeight w:val="397" w:hRule="exact"/>
        </w:trPr>
        <w:tc>
          <w:tcPr>
            <w:tcW w:w="47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上海序新企业管理合伙企业管理合伙企业（有限合伙）</w:t>
            </w:r>
          </w:p>
        </w:tc>
        <w:tc>
          <w:tcPr>
            <w:tcW w:w="4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副总经理何伟担任普通合伙人</w:t>
            </w:r>
          </w:p>
        </w:tc>
      </w:tr>
      <w:tr>
        <w:trPr>
          <w:trHeight w:val="397" w:hRule="exact"/>
        </w:trPr>
        <w:tc>
          <w:tcPr>
            <w:tcW w:w="47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吴凤辉、王爱娟</w:t>
            </w:r>
          </w:p>
        </w:tc>
        <w:tc>
          <w:tcPr>
            <w:tcW w:w="4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子公司福建新开普的少数股东</w:t>
            </w:r>
          </w:p>
        </w:tc>
      </w:tr>
    </w:tbl>
    <w:p>
      <w:pPr>
        <w:spacing w:line="240" w:lineRule="auto" w:before="2"/>
        <w:rPr>
          <w:rFonts w:ascii="宋体" w:hAnsi="宋体" w:cs="宋体" w:eastAsia="宋体" w:hint="default"/>
          <w:b/>
          <w:bCs/>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line="240" w:lineRule="auto" w:before="5"/>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1540"/>
        <w:gridCol w:w="1454"/>
        <w:gridCol w:w="1454"/>
        <w:gridCol w:w="1706"/>
        <w:gridCol w:w="1708"/>
        <w:gridCol w:w="1706"/>
      </w:tblGrid>
      <w:tr>
        <w:trPr>
          <w:trHeight w:val="397" w:hRule="exact"/>
        </w:trPr>
        <w:tc>
          <w:tcPr>
            <w:tcW w:w="154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496"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1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220"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131"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40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09" w:hRule="exact"/>
        </w:trPr>
        <w:tc>
          <w:tcPr>
            <w:tcW w:w="1540" w:type="dxa"/>
            <w:tcBorders>
              <w:top w:val="single" w:sz="2" w:space="0" w:color="000000"/>
              <w:left w:val="single" w:sz="2" w:space="0" w:color="000000"/>
              <w:bottom w:val="single" w:sz="2" w:space="0" w:color="000000"/>
              <w:right w:val="single" w:sz="2" w:space="0" w:color="000000"/>
            </w:tcBorders>
          </w:tcPr>
          <w:p>
            <w:pPr>
              <w:pStyle w:val="TableParagraph"/>
              <w:spacing w:line="319" w:lineRule="auto" w:before="51"/>
              <w:ind w:left="25" w:right="67"/>
              <w:jc w:val="left"/>
              <w:rPr>
                <w:rFonts w:ascii="宋体" w:hAnsi="宋体" w:cs="宋体" w:eastAsia="宋体" w:hint="default"/>
                <w:sz w:val="18"/>
                <w:szCs w:val="18"/>
              </w:rPr>
            </w:pPr>
            <w:r>
              <w:rPr>
                <w:rFonts w:ascii="宋体" w:hAnsi="宋体" w:cs="宋体" w:eastAsia="宋体" w:hint="default"/>
                <w:sz w:val="18"/>
                <w:szCs w:val="18"/>
              </w:rPr>
              <w:t>湖南科瑞特科技有 限公司</w:t>
            </w:r>
          </w:p>
        </w:tc>
        <w:tc>
          <w:tcPr>
            <w:tcW w:w="1454" w:type="dxa"/>
            <w:tcBorders>
              <w:top w:val="single" w:sz="2" w:space="0" w:color="000000"/>
              <w:left w:val="single" w:sz="2" w:space="0" w:color="000000"/>
              <w:bottom w:val="single" w:sz="2" w:space="0" w:color="000000"/>
              <w:right w:val="single" w:sz="2" w:space="0" w:color="000000"/>
            </w:tcBorders>
          </w:tcPr>
          <w:p>
            <w:pPr>
              <w:pStyle w:val="TableParagraph"/>
              <w:spacing w:line="319" w:lineRule="auto" w:before="51"/>
              <w:ind w:left="26" w:right="161"/>
              <w:jc w:val="left"/>
              <w:rPr>
                <w:rFonts w:ascii="宋体" w:hAnsi="宋体" w:cs="宋体" w:eastAsia="宋体" w:hint="default"/>
                <w:sz w:val="18"/>
                <w:szCs w:val="18"/>
              </w:rPr>
            </w:pPr>
            <w:r>
              <w:rPr>
                <w:rFonts w:ascii="宋体" w:hAnsi="宋体" w:cs="宋体" w:eastAsia="宋体" w:hint="default"/>
                <w:sz w:val="18"/>
                <w:szCs w:val="18"/>
              </w:rPr>
              <w:t>与日常经营相关 的关联交易</w:t>
            </w:r>
          </w:p>
        </w:tc>
        <w:tc>
          <w:tcPr>
            <w:tcW w:w="14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3,181,011.62</w:t>
            </w:r>
          </w:p>
        </w:tc>
        <w:tc>
          <w:tcPr>
            <w:tcW w:w="1706" w:type="dxa"/>
            <w:tcBorders>
              <w:top w:val="single" w:sz="2" w:space="0" w:color="000000"/>
              <w:left w:val="single" w:sz="2" w:space="0" w:color="000000"/>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2" w:space="0" w:color="000000"/>
              <w:left w:val="single" w:sz="2" w:space="0" w:color="000000"/>
              <w:bottom w:val="single" w:sz="2" w:space="0" w:color="000000"/>
              <w:right w:val="single" w:sz="2" w:space="0" w:color="000000"/>
            </w:tcBorders>
          </w:tcPr>
          <w:p>
            <w:pPr/>
          </w:p>
        </w:tc>
      </w:tr>
      <w:tr>
        <w:trPr>
          <w:trHeight w:val="709" w:hRule="exact"/>
        </w:trPr>
        <w:tc>
          <w:tcPr>
            <w:tcW w:w="1540" w:type="dxa"/>
            <w:tcBorders>
              <w:top w:val="single" w:sz="2" w:space="0" w:color="000000"/>
              <w:left w:val="single" w:sz="2" w:space="0" w:color="000000"/>
              <w:bottom w:val="single" w:sz="2" w:space="0" w:color="000000"/>
              <w:right w:val="single" w:sz="2" w:space="0" w:color="000000"/>
            </w:tcBorders>
          </w:tcPr>
          <w:p>
            <w:pPr>
              <w:pStyle w:val="TableParagraph"/>
              <w:spacing w:line="319" w:lineRule="auto" w:before="51"/>
              <w:ind w:left="25" w:right="67"/>
              <w:jc w:val="left"/>
              <w:rPr>
                <w:rFonts w:ascii="宋体" w:hAnsi="宋体" w:cs="宋体" w:eastAsia="宋体" w:hint="default"/>
                <w:sz w:val="18"/>
                <w:szCs w:val="18"/>
              </w:rPr>
            </w:pPr>
            <w:r>
              <w:rPr>
                <w:rFonts w:ascii="宋体" w:hAnsi="宋体" w:cs="宋体" w:eastAsia="宋体" w:hint="default"/>
                <w:sz w:val="18"/>
                <w:szCs w:val="18"/>
              </w:rPr>
              <w:t>成都兰途网络科技 有限公司</w:t>
            </w:r>
          </w:p>
        </w:tc>
        <w:tc>
          <w:tcPr>
            <w:tcW w:w="1454" w:type="dxa"/>
            <w:tcBorders>
              <w:top w:val="single" w:sz="2" w:space="0" w:color="000000"/>
              <w:left w:val="single" w:sz="2" w:space="0" w:color="000000"/>
              <w:bottom w:val="single" w:sz="2" w:space="0" w:color="000000"/>
              <w:right w:val="single" w:sz="2" w:space="0" w:color="000000"/>
            </w:tcBorders>
          </w:tcPr>
          <w:p>
            <w:pPr>
              <w:pStyle w:val="TableParagraph"/>
              <w:spacing w:line="319" w:lineRule="auto" w:before="51"/>
              <w:ind w:left="26" w:right="161"/>
              <w:jc w:val="left"/>
              <w:rPr>
                <w:rFonts w:ascii="宋体" w:hAnsi="宋体" w:cs="宋体" w:eastAsia="宋体" w:hint="default"/>
                <w:sz w:val="18"/>
                <w:szCs w:val="18"/>
              </w:rPr>
            </w:pPr>
            <w:r>
              <w:rPr>
                <w:rFonts w:ascii="宋体" w:hAnsi="宋体" w:cs="宋体" w:eastAsia="宋体" w:hint="default"/>
                <w:sz w:val="18"/>
                <w:szCs w:val="18"/>
              </w:rPr>
              <w:t>与日常经营相关 的关联交易</w:t>
            </w:r>
          </w:p>
        </w:tc>
        <w:tc>
          <w:tcPr>
            <w:tcW w:w="14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371,514.44</w:t>
            </w:r>
          </w:p>
        </w:tc>
        <w:tc>
          <w:tcPr>
            <w:tcW w:w="1706" w:type="dxa"/>
            <w:tcBorders>
              <w:top w:val="single" w:sz="2" w:space="0" w:color="000000"/>
              <w:left w:val="single" w:sz="2" w:space="0" w:color="000000"/>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6" w:right="0"/>
              <w:jc w:val="left"/>
              <w:rPr>
                <w:rFonts w:ascii="Times New Roman" w:hAnsi="Times New Roman" w:cs="Times New Roman" w:eastAsia="Times New Roman" w:hint="default"/>
                <w:sz w:val="18"/>
                <w:szCs w:val="18"/>
              </w:rPr>
            </w:pPr>
            <w:r>
              <w:rPr>
                <w:rFonts w:ascii="Times New Roman"/>
                <w:sz w:val="18"/>
              </w:rPr>
              <w:t>584,364.61</w:t>
            </w: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line="240" w:lineRule="auto" w:before="6"/>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51" w:type="dxa"/>
        <w:tblLayout w:type="fixed"/>
        <w:tblCellMar>
          <w:top w:w="0" w:type="dxa"/>
          <w:left w:w="0" w:type="dxa"/>
          <w:bottom w:w="0" w:type="dxa"/>
          <w:right w:w="0" w:type="dxa"/>
        </w:tblCellMar>
        <w:tblLook w:val="01E0"/>
      </w:tblPr>
      <w:tblGrid>
        <w:gridCol w:w="2398"/>
        <w:gridCol w:w="2258"/>
        <w:gridCol w:w="2260"/>
        <w:gridCol w:w="2652"/>
      </w:tblGrid>
      <w:tr>
        <w:trPr>
          <w:trHeight w:val="397" w:hRule="exact"/>
        </w:trPr>
        <w:tc>
          <w:tcPr>
            <w:tcW w:w="239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67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8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09" w:hRule="exact"/>
        </w:trPr>
        <w:tc>
          <w:tcPr>
            <w:tcW w:w="2398"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25" w:right="25"/>
              <w:jc w:val="left"/>
              <w:rPr>
                <w:rFonts w:ascii="宋体" w:hAnsi="宋体" w:cs="宋体" w:eastAsia="宋体" w:hint="default"/>
                <w:sz w:val="18"/>
                <w:szCs w:val="18"/>
              </w:rPr>
            </w:pPr>
            <w:r>
              <w:rPr>
                <w:rFonts w:ascii="宋体" w:hAnsi="宋体" w:cs="宋体" w:eastAsia="宋体" w:hint="default"/>
                <w:sz w:val="18"/>
                <w:szCs w:val="18"/>
              </w:rPr>
              <w:t>职派咨询（北京）有限责任公 司</w:t>
            </w:r>
          </w:p>
        </w:tc>
        <w:tc>
          <w:tcPr>
            <w:tcW w:w="2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与日常经营相关的关联交易</w:t>
            </w:r>
          </w:p>
        </w:tc>
        <w:tc>
          <w:tcPr>
            <w:tcW w:w="2260" w:type="dxa"/>
            <w:tcBorders>
              <w:top w:val="single" w:sz="2" w:space="0" w:color="000000"/>
              <w:left w:val="single" w:sz="2" w:space="0" w:color="000000"/>
              <w:bottom w:val="single" w:sz="2" w:space="0" w:color="000000"/>
              <w:right w:val="single" w:sz="2" w:space="0" w:color="000000"/>
            </w:tcBorders>
          </w:tcPr>
          <w:p>
            <w:pPr/>
          </w:p>
        </w:tc>
        <w:tc>
          <w:tcPr>
            <w:tcW w:w="2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67,156.60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51" w:type="dxa"/>
        <w:tblLayout w:type="fixed"/>
        <w:tblCellMar>
          <w:top w:w="0" w:type="dxa"/>
          <w:left w:w="0" w:type="dxa"/>
          <w:bottom w:w="0" w:type="dxa"/>
          <w:right w:w="0" w:type="dxa"/>
        </w:tblCellMar>
        <w:tblLook w:val="01E0"/>
      </w:tblPr>
      <w:tblGrid>
        <w:gridCol w:w="2398"/>
        <w:gridCol w:w="2258"/>
        <w:gridCol w:w="2260"/>
        <w:gridCol w:w="2652"/>
      </w:tblGrid>
      <w:tr>
        <w:trPr>
          <w:trHeight w:val="397" w:hRule="exact"/>
        </w:trPr>
        <w:tc>
          <w:tcPr>
            <w:tcW w:w="23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湖南科瑞特科技有限公司</w:t>
            </w:r>
          </w:p>
        </w:tc>
        <w:tc>
          <w:tcPr>
            <w:tcW w:w="2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与日常经营相关的关联交易</w:t>
            </w:r>
          </w:p>
        </w:tc>
        <w:tc>
          <w:tcPr>
            <w:tcW w:w="2260" w:type="dxa"/>
            <w:tcBorders>
              <w:top w:val="single" w:sz="2" w:space="0" w:color="000000"/>
              <w:left w:val="single" w:sz="2" w:space="0" w:color="000000"/>
              <w:bottom w:val="single" w:sz="2" w:space="0" w:color="000000"/>
              <w:right w:val="single" w:sz="2" w:space="0" w:color="000000"/>
            </w:tcBorders>
          </w:tcPr>
          <w:p>
            <w:pPr/>
          </w:p>
        </w:tc>
        <w:tc>
          <w:tcPr>
            <w:tcW w:w="2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left="1677" w:right="0"/>
              <w:jc w:val="left"/>
              <w:rPr>
                <w:rFonts w:ascii="Times New Roman" w:hAnsi="Times New Roman" w:cs="Times New Roman" w:eastAsia="Times New Roman" w:hint="default"/>
                <w:sz w:val="18"/>
                <w:szCs w:val="18"/>
              </w:rPr>
            </w:pPr>
            <w:r>
              <w:rPr>
                <w:rFonts w:ascii="Times New Roman"/>
                <w:sz w:val="18"/>
              </w:rPr>
              <w:t>4,038,879.32</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北京希嘉创智教育科技 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8"/>
              <w:jc w:val="left"/>
              <w:rPr>
                <w:rFonts w:ascii="宋体" w:hAnsi="宋体" w:cs="宋体" w:eastAsia="宋体" w:hint="default"/>
                <w:sz w:val="18"/>
                <w:szCs w:val="18"/>
              </w:rPr>
            </w:pPr>
            <w:r>
              <w:rPr>
                <w:rFonts w:ascii="宋体" w:hAnsi="宋体" w:cs="宋体" w:eastAsia="宋体" w:hint="default"/>
                <w:sz w:val="18"/>
                <w:szCs w:val="18"/>
              </w:rPr>
              <w:t>上海树维信息科技有限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上海树维信息科技有限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1113"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6"/>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396" w:hRule="exact"/>
        </w:trPr>
        <w:tc>
          <w:tcPr>
            <w:tcW w:w="191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59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54"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397" w:hRule="exact"/>
        </w:trPr>
        <w:tc>
          <w:tcPr>
            <w:tcW w:w="19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19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66,000,000.00</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7" w:hRule="exact"/>
        </w:trPr>
        <w:tc>
          <w:tcPr>
            <w:tcW w:w="19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19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7" w:hRule="exact"/>
        </w:trPr>
        <w:tc>
          <w:tcPr>
            <w:tcW w:w="19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19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7" w:hRule="exact"/>
        </w:trPr>
        <w:tc>
          <w:tcPr>
            <w:tcW w:w="19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19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46,650,000.00</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7" w:hRule="exact"/>
        </w:trPr>
        <w:tc>
          <w:tcPr>
            <w:tcW w:w="19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19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17,350,000.00</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7" w:hRule="exact"/>
        </w:trPr>
        <w:tc>
          <w:tcPr>
            <w:tcW w:w="19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19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82,000,000.00</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5,984,478.96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4,316,637.96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396" w:hRule="exact"/>
        </w:trPr>
        <w:tc>
          <w:tcPr>
            <w:tcW w:w="1595" w:type="dxa"/>
            <w:vMerge w:val="restart"/>
            <w:tcBorders>
              <w:top w:val="single" w:sz="2" w:space="0" w:color="000000"/>
              <w:left w:val="single" w:sz="2" w:space="0" w:color="000000"/>
              <w:right w:val="single" w:sz="2"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2" w:space="0" w:color="000000"/>
              <w:left w:val="single" w:sz="2" w:space="0" w:color="000000"/>
              <w:right w:val="single" w:sz="2"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7" w:hRule="exact"/>
        </w:trPr>
        <w:tc>
          <w:tcPr>
            <w:tcW w:w="1595" w:type="dxa"/>
            <w:vMerge/>
            <w:tcBorders>
              <w:left w:val="single" w:sz="2" w:space="0" w:color="000000"/>
              <w:bottom w:val="single" w:sz="2" w:space="0" w:color="000000"/>
              <w:right w:val="single" w:sz="2" w:space="0" w:color="000000"/>
            </w:tcBorders>
            <w:shd w:val="clear" w:color="auto" w:fill="D3D3D3"/>
          </w:tcPr>
          <w:p>
            <w:pPr/>
          </w:p>
        </w:tc>
        <w:tc>
          <w:tcPr>
            <w:tcW w:w="1595" w:type="dxa"/>
            <w:vMerge/>
            <w:tcBorders>
              <w:left w:val="single" w:sz="2" w:space="0" w:color="000000"/>
              <w:bottom w:val="single" w:sz="2" w:space="0" w:color="000000"/>
              <w:right w:val="single" w:sz="2" w:space="0" w:color="000000"/>
            </w:tcBorders>
            <w:shd w:val="clear" w:color="auto" w:fill="D3D3D3"/>
          </w:tcPr>
          <w:p>
            <w:pPr/>
          </w:p>
        </w:tc>
        <w:tc>
          <w:tcPr>
            <w:tcW w:w="1595"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4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43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43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43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97" w:hRule="exact"/>
        </w:trPr>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r>
      <w:tr>
        <w:trPr>
          <w:trHeight w:val="709" w:hRule="exact"/>
        </w:trPr>
        <w:tc>
          <w:tcPr>
            <w:tcW w:w="1595"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319" w:lineRule="auto" w:before="51"/>
              <w:ind w:left="26" w:right="121"/>
              <w:jc w:val="left"/>
              <w:rPr>
                <w:rFonts w:ascii="宋体" w:hAnsi="宋体" w:cs="宋体" w:eastAsia="宋体" w:hint="default"/>
                <w:sz w:val="18"/>
                <w:szCs w:val="18"/>
              </w:rPr>
            </w:pPr>
            <w:r>
              <w:rPr>
                <w:rFonts w:ascii="宋体" w:hAnsi="宋体" w:cs="宋体" w:eastAsia="宋体" w:hint="default"/>
                <w:sz w:val="18"/>
                <w:szCs w:val="18"/>
              </w:rPr>
              <w:t>北京希嘉创智教育 科技有限公司</w:t>
            </w:r>
          </w:p>
        </w:tc>
        <w:tc>
          <w:tcPr>
            <w:tcW w:w="1595"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2,820,804.00</w:t>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282,080.40</w:t>
            </w:r>
          </w:p>
        </w:tc>
      </w:tr>
      <w:tr>
        <w:trPr>
          <w:trHeight w:val="397" w:hRule="exact"/>
        </w:trPr>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r>
      <w:tr>
        <w:trPr>
          <w:trHeight w:val="709" w:hRule="exact"/>
        </w:trPr>
        <w:tc>
          <w:tcPr>
            <w:tcW w:w="1595"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26" w:right="121"/>
              <w:jc w:val="left"/>
              <w:rPr>
                <w:rFonts w:ascii="宋体" w:hAnsi="宋体" w:cs="宋体" w:eastAsia="宋体" w:hint="default"/>
                <w:sz w:val="18"/>
                <w:szCs w:val="18"/>
              </w:rPr>
            </w:pPr>
            <w:r>
              <w:rPr>
                <w:rFonts w:ascii="宋体" w:hAnsi="宋体" w:cs="宋体" w:eastAsia="宋体" w:hint="default"/>
                <w:sz w:val="18"/>
                <w:szCs w:val="18"/>
              </w:rPr>
              <w:t>成都兰途网络科技 有限公司</w:t>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1,332,764.20</w:t>
            </w:r>
          </w:p>
        </w:tc>
        <w:tc>
          <w:tcPr>
            <w:tcW w:w="1594"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r>
      <w:tr>
        <w:trPr>
          <w:trHeight w:val="396" w:hRule="exact"/>
        </w:trPr>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
        </w:tc>
      </w:tr>
      <w:tr>
        <w:trPr>
          <w:trHeight w:val="709" w:hRule="exact"/>
        </w:trPr>
        <w:tc>
          <w:tcPr>
            <w:tcW w:w="1595"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2"/>
              <w:ind w:left="26" w:right="121"/>
              <w:jc w:val="left"/>
              <w:rPr>
                <w:rFonts w:ascii="宋体" w:hAnsi="宋体" w:cs="宋体" w:eastAsia="宋体" w:hint="default"/>
                <w:sz w:val="18"/>
                <w:szCs w:val="18"/>
              </w:rPr>
            </w:pPr>
            <w:r>
              <w:rPr>
                <w:rFonts w:ascii="宋体" w:hAnsi="宋体" w:cs="宋体" w:eastAsia="宋体" w:hint="default"/>
                <w:sz w:val="18"/>
                <w:szCs w:val="18"/>
              </w:rPr>
              <w:t>北京乐智科技有限 公司</w:t>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50,551.46</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25,275.73</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50,551.46</w:t>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15,165.44</w:t>
            </w:r>
          </w:p>
        </w:tc>
      </w:tr>
      <w:tr>
        <w:trPr>
          <w:trHeight w:val="709" w:hRule="exact"/>
        </w:trPr>
        <w:tc>
          <w:tcPr>
            <w:tcW w:w="1595" w:type="dxa"/>
            <w:tcBorders>
              <w:top w:val="single" w:sz="2" w:space="0" w:color="000000"/>
              <w:left w:val="single" w:sz="2" w:space="0" w:color="000000"/>
              <w:bottom w:val="single" w:sz="2" w:space="0" w:color="000000"/>
              <w:right w:val="single" w:sz="2" w:space="0" w:color="000000"/>
            </w:tcBorders>
          </w:tcPr>
          <w:p>
            <w:pP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319" w:lineRule="auto" w:before="51"/>
              <w:ind w:left="26" w:right="121"/>
              <w:jc w:val="left"/>
              <w:rPr>
                <w:rFonts w:ascii="宋体" w:hAnsi="宋体" w:cs="宋体" w:eastAsia="宋体" w:hint="default"/>
                <w:sz w:val="18"/>
                <w:szCs w:val="18"/>
              </w:rPr>
            </w:pPr>
            <w:r>
              <w:rPr>
                <w:rFonts w:ascii="宋体" w:hAnsi="宋体" w:cs="宋体" w:eastAsia="宋体" w:hint="default"/>
                <w:sz w:val="18"/>
                <w:szCs w:val="18"/>
              </w:rPr>
              <w:t>成都兰途网络科技 有限公司</w:t>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213,520.70</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30,837.85</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45,120.70</w:t>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13,536.21</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2392"/>
        <w:gridCol w:w="2393"/>
        <w:gridCol w:w="2392"/>
        <w:gridCol w:w="2392"/>
      </w:tblGrid>
      <w:tr>
        <w:trPr>
          <w:trHeight w:val="396" w:hRule="exact"/>
        </w:trPr>
        <w:tc>
          <w:tcPr>
            <w:tcW w:w="239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65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65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7"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2" w:space="0" w:color="000000"/>
              <w:left w:val="single" w:sz="2" w:space="0" w:color="000000"/>
              <w:bottom w:val="single" w:sz="2" w:space="0" w:color="000000"/>
              <w:right w:val="single" w:sz="2" w:space="0" w:color="000000"/>
            </w:tcBorders>
          </w:tcPr>
          <w:p>
            <w:pPr/>
          </w:p>
        </w:tc>
        <w:tc>
          <w:tcPr>
            <w:tcW w:w="2392" w:type="dxa"/>
            <w:tcBorders>
              <w:top w:val="single" w:sz="2" w:space="0" w:color="000000"/>
              <w:left w:val="single" w:sz="2" w:space="0" w:color="000000"/>
              <w:bottom w:val="single" w:sz="2" w:space="0" w:color="000000"/>
              <w:right w:val="single" w:sz="2" w:space="0" w:color="000000"/>
            </w:tcBorders>
          </w:tcPr>
          <w:p>
            <w:pPr/>
          </w:p>
        </w:tc>
        <w:tc>
          <w:tcPr>
            <w:tcW w:w="2392" w:type="dxa"/>
            <w:tcBorders>
              <w:top w:val="single" w:sz="2" w:space="0" w:color="000000"/>
              <w:left w:val="single" w:sz="2" w:space="0" w:color="000000"/>
              <w:bottom w:val="single" w:sz="2" w:space="0" w:color="000000"/>
              <w:right w:val="single" w:sz="2" w:space="0" w:color="000000"/>
            </w:tcBorders>
          </w:tcPr>
          <w:p>
            <w:pPr/>
          </w:p>
        </w:tc>
      </w:tr>
      <w:tr>
        <w:trPr>
          <w:trHeight w:val="397" w:hRule="exact"/>
        </w:trPr>
        <w:tc>
          <w:tcPr>
            <w:tcW w:w="2392" w:type="dxa"/>
            <w:tcBorders>
              <w:top w:val="single" w:sz="2" w:space="0" w:color="000000"/>
              <w:left w:val="single" w:sz="2" w:space="0" w:color="000000"/>
              <w:bottom w:val="single" w:sz="2" w:space="0" w:color="000000"/>
              <w:right w:val="single" w:sz="2" w:space="0" w:color="000000"/>
            </w:tcBorders>
          </w:tcPr>
          <w:p>
            <w:pP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成都兰途网络科技有限公司</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461,137.16</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left="1551" w:right="0"/>
              <w:jc w:val="left"/>
              <w:rPr>
                <w:rFonts w:ascii="Times New Roman" w:hAnsi="Times New Roman" w:cs="Times New Roman" w:eastAsia="Times New Roman" w:hint="default"/>
                <w:sz w:val="18"/>
                <w:szCs w:val="18"/>
              </w:rPr>
            </w:pPr>
            <w:r>
              <w:rPr>
                <w:rFonts w:ascii="Times New Roman"/>
                <w:sz w:val="18"/>
              </w:rPr>
              <w:t>920,841.16</w:t>
            </w:r>
          </w:p>
        </w:tc>
      </w:tr>
      <w:tr>
        <w:trPr>
          <w:trHeight w:val="397" w:hRule="exact"/>
        </w:trPr>
        <w:tc>
          <w:tcPr>
            <w:tcW w:w="2392" w:type="dxa"/>
            <w:tcBorders>
              <w:top w:val="single" w:sz="2" w:space="0" w:color="000000"/>
              <w:left w:val="single" w:sz="2" w:space="0" w:color="000000"/>
              <w:bottom w:val="single" w:sz="2" w:space="0" w:color="000000"/>
              <w:right w:val="single" w:sz="2" w:space="0" w:color="000000"/>
            </w:tcBorders>
          </w:tcPr>
          <w:p>
            <w:pP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湖南科瑞特科技有限公司</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274,053.10</w:t>
            </w:r>
          </w:p>
        </w:tc>
        <w:tc>
          <w:tcPr>
            <w:tcW w:w="2392" w:type="dxa"/>
            <w:tcBorders>
              <w:top w:val="single" w:sz="2" w:space="0" w:color="000000"/>
              <w:left w:val="single" w:sz="2" w:space="0" w:color="000000"/>
              <w:bottom w:val="single" w:sz="2" w:space="0" w:color="000000"/>
              <w:right w:val="single" w:sz="2" w:space="0" w:color="000000"/>
            </w:tcBorders>
          </w:tcPr>
          <w:p>
            <w:pPr/>
          </w:p>
        </w:tc>
      </w:tr>
      <w:tr>
        <w:trPr>
          <w:trHeight w:val="397"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2" w:space="0" w:color="000000"/>
              <w:left w:val="single" w:sz="2" w:space="0" w:color="000000"/>
              <w:bottom w:val="single" w:sz="2" w:space="0" w:color="000000"/>
              <w:right w:val="single" w:sz="2" w:space="0" w:color="000000"/>
            </w:tcBorders>
          </w:tcPr>
          <w:p>
            <w:pPr/>
          </w:p>
        </w:tc>
        <w:tc>
          <w:tcPr>
            <w:tcW w:w="2392" w:type="dxa"/>
            <w:tcBorders>
              <w:top w:val="single" w:sz="2" w:space="0" w:color="000000"/>
              <w:left w:val="single" w:sz="2" w:space="0" w:color="000000"/>
              <w:bottom w:val="single" w:sz="2" w:space="0" w:color="000000"/>
              <w:right w:val="single" w:sz="2" w:space="0" w:color="000000"/>
            </w:tcBorders>
          </w:tcPr>
          <w:p>
            <w:pPr/>
          </w:p>
        </w:tc>
        <w:tc>
          <w:tcPr>
            <w:tcW w:w="2392" w:type="dxa"/>
            <w:tcBorders>
              <w:top w:val="single" w:sz="2" w:space="0" w:color="000000"/>
              <w:left w:val="single" w:sz="2" w:space="0" w:color="000000"/>
              <w:bottom w:val="single" w:sz="2" w:space="0" w:color="000000"/>
              <w:right w:val="single" w:sz="2" w:space="0" w:color="000000"/>
            </w:tcBorders>
          </w:tcPr>
          <w:p>
            <w:pPr/>
          </w:p>
        </w:tc>
      </w:tr>
      <w:tr>
        <w:trPr>
          <w:trHeight w:val="709" w:hRule="exact"/>
        </w:trPr>
        <w:tc>
          <w:tcPr>
            <w:tcW w:w="2392" w:type="dxa"/>
            <w:tcBorders>
              <w:top w:val="single" w:sz="2" w:space="0" w:color="000000"/>
              <w:left w:val="single" w:sz="2" w:space="0" w:color="000000"/>
              <w:bottom w:val="single" w:sz="2" w:space="0" w:color="000000"/>
              <w:right w:val="single" w:sz="2" w:space="0" w:color="000000"/>
            </w:tcBorders>
          </w:tcPr>
          <w:p>
            <w:pP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25" w:right="23"/>
              <w:jc w:val="left"/>
              <w:rPr>
                <w:rFonts w:ascii="宋体" w:hAnsi="宋体" w:cs="宋体" w:eastAsia="宋体" w:hint="default"/>
                <w:sz w:val="18"/>
                <w:szCs w:val="18"/>
              </w:rPr>
            </w:pPr>
            <w:r>
              <w:rPr>
                <w:rFonts w:ascii="宋体" w:hAnsi="宋体" w:cs="宋体" w:eastAsia="宋体" w:hint="default"/>
                <w:sz w:val="18"/>
                <w:szCs w:val="18"/>
              </w:rPr>
              <w:t>职派咨询（北京）有限责任公 司</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4,000.00</w:t>
            </w:r>
          </w:p>
        </w:tc>
        <w:tc>
          <w:tcPr>
            <w:tcW w:w="2392" w:type="dxa"/>
            <w:tcBorders>
              <w:top w:val="single" w:sz="2" w:space="0" w:color="000000"/>
              <w:left w:val="single" w:sz="2" w:space="0" w:color="000000"/>
              <w:bottom w:val="single" w:sz="2" w:space="0" w:color="000000"/>
              <w:right w:val="single" w:sz="2"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574" w:right="1113"/>
        <w:jc w:val="left"/>
      </w:pPr>
      <w:r>
        <w:rPr/>
        <w:t>以下为本公司于资产负债表日，已签约而尚不必在资产负债表上列示的与关联方有关的承诺事项：</w:t>
      </w:r>
    </w:p>
    <w:p>
      <w:pPr>
        <w:spacing w:line="240" w:lineRule="auto" w:before="12"/>
        <w:rPr>
          <w:rFonts w:ascii="宋体" w:hAnsi="宋体" w:cs="宋体" w:eastAsia="宋体" w:hint="default"/>
          <w:sz w:val="9"/>
          <w:szCs w:val="9"/>
        </w:rPr>
      </w:pPr>
    </w:p>
    <w:tbl>
      <w:tblPr>
        <w:tblW w:w="0" w:type="auto"/>
        <w:jc w:val="left"/>
        <w:tblInd w:w="151" w:type="dxa"/>
        <w:tblLayout w:type="fixed"/>
        <w:tblCellMar>
          <w:top w:w="0" w:type="dxa"/>
          <w:left w:w="0" w:type="dxa"/>
          <w:bottom w:w="0" w:type="dxa"/>
          <w:right w:w="0" w:type="dxa"/>
        </w:tblCellMar>
        <w:tblLook w:val="01E0"/>
      </w:tblPr>
      <w:tblGrid>
        <w:gridCol w:w="1844"/>
        <w:gridCol w:w="2792"/>
        <w:gridCol w:w="1963"/>
        <w:gridCol w:w="3040"/>
      </w:tblGrid>
      <w:tr>
        <w:trPr>
          <w:trHeight w:val="324" w:hRule="exact"/>
        </w:trPr>
        <w:tc>
          <w:tcPr>
            <w:tcW w:w="1844"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792"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63"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left="259" w:right="0"/>
              <w:jc w:val="left"/>
              <w:rPr>
                <w:rFonts w:ascii="宋体" w:hAnsi="宋体" w:cs="宋体" w:eastAsia="宋体" w:hint="default"/>
                <w:sz w:val="18"/>
                <w:szCs w:val="18"/>
              </w:rPr>
            </w:pPr>
            <w:r>
              <w:rPr>
                <w:rFonts w:ascii="宋体" w:hAnsi="宋体" w:cs="宋体" w:eastAsia="宋体" w:hint="default"/>
                <w:sz w:val="18"/>
                <w:szCs w:val="18"/>
              </w:rPr>
              <w:t>期末余额（万元）</w:t>
            </w:r>
          </w:p>
        </w:tc>
        <w:tc>
          <w:tcPr>
            <w:tcW w:w="3040"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0"/>
              <w:ind w:left="616" w:right="0"/>
              <w:jc w:val="left"/>
              <w:rPr>
                <w:rFonts w:ascii="宋体" w:hAnsi="宋体" w:cs="宋体" w:eastAsia="宋体" w:hint="default"/>
                <w:sz w:val="18"/>
                <w:szCs w:val="18"/>
              </w:rPr>
            </w:pPr>
            <w:r>
              <w:rPr>
                <w:rFonts w:ascii="宋体" w:hAnsi="宋体" w:cs="宋体" w:eastAsia="宋体" w:hint="default"/>
                <w:sz w:val="18"/>
                <w:szCs w:val="18"/>
              </w:rPr>
              <w:t>上年年末余额（万元）</w:t>
            </w:r>
          </w:p>
        </w:tc>
      </w:tr>
      <w:tr>
        <w:trPr>
          <w:trHeight w:val="350" w:hRule="exact"/>
        </w:trPr>
        <w:tc>
          <w:tcPr>
            <w:tcW w:w="1844" w:type="dxa"/>
            <w:tcBorders>
              <w:top w:val="single" w:sz="6" w:space="0" w:color="BFBFBF"/>
              <w:left w:val="single" w:sz="2" w:space="0" w:color="000000"/>
              <w:bottom w:val="single" w:sz="2" w:space="0" w:color="000000"/>
              <w:right w:val="single" w:sz="2"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担保</w:t>
            </w:r>
          </w:p>
        </w:tc>
        <w:tc>
          <w:tcPr>
            <w:tcW w:w="2792" w:type="dxa"/>
            <w:tcBorders>
              <w:top w:val="single" w:sz="6" w:space="0" w:color="BFBFBF"/>
              <w:left w:val="single" w:sz="2" w:space="0" w:color="000000"/>
              <w:bottom w:val="single" w:sz="2" w:space="0" w:color="000000"/>
              <w:right w:val="single" w:sz="2" w:space="0" w:color="000000"/>
            </w:tcBorders>
          </w:tcPr>
          <w:p>
            <w:pPr/>
          </w:p>
        </w:tc>
        <w:tc>
          <w:tcPr>
            <w:tcW w:w="1963" w:type="dxa"/>
            <w:tcBorders>
              <w:top w:val="single" w:sz="6" w:space="0" w:color="BFBFBF"/>
              <w:left w:val="single" w:sz="2" w:space="0" w:color="000000"/>
              <w:bottom w:val="single" w:sz="2" w:space="0" w:color="000000"/>
              <w:right w:val="single" w:sz="2" w:space="0" w:color="000000"/>
            </w:tcBorders>
          </w:tcPr>
          <w:p>
            <w:pPr/>
          </w:p>
        </w:tc>
        <w:tc>
          <w:tcPr>
            <w:tcW w:w="3040" w:type="dxa"/>
            <w:tcBorders>
              <w:top w:val="single" w:sz="6" w:space="0" w:color="BFBFBF"/>
              <w:left w:val="single" w:sz="2" w:space="0" w:color="000000"/>
              <w:bottom w:val="single" w:sz="2" w:space="0" w:color="000000"/>
              <w:right w:val="single" w:sz="2" w:space="0" w:color="000000"/>
            </w:tcBorders>
          </w:tcPr>
          <w:p>
            <w:pPr/>
          </w:p>
        </w:tc>
      </w:tr>
      <w:tr>
        <w:trPr>
          <w:trHeight w:val="336" w:hRule="exact"/>
        </w:trPr>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提供担保</w:t>
            </w:r>
          </w:p>
        </w:tc>
        <w:tc>
          <w:tcPr>
            <w:tcW w:w="2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杨维国</w:t>
            </w:r>
          </w:p>
        </w:tc>
        <w:tc>
          <w:tcPr>
            <w:tcW w:w="19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9,935.00</w:t>
            </w:r>
          </w:p>
        </w:tc>
        <w:tc>
          <w:tcPr>
            <w:tcW w:w="30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28,000.00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1113"/>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574" w:right="1113"/>
        <w:jc w:val="left"/>
      </w:pPr>
      <w:r>
        <w:rPr/>
        <w:t>（</w:t>
      </w:r>
      <w:r>
        <w:rPr>
          <w:rFonts w:ascii="Times New Roman" w:hAnsi="Times New Roman" w:cs="Times New Roman" w:eastAsia="Times New Roman" w:hint="default"/>
        </w:rPr>
        <w:t>1</w:t>
      </w:r>
      <w:r>
        <w:rPr/>
        <w:t>）向纳入合并财务报表范围的子公司提供的财务支持或其他支持：</w:t>
      </w:r>
    </w:p>
    <w:p>
      <w:pPr>
        <w:pStyle w:val="BodyText"/>
        <w:spacing w:line="393" w:lineRule="auto" w:before="177"/>
        <w:ind w:right="1025" w:firstLine="420"/>
        <w:jc w:val="both"/>
      </w:pPr>
      <w:r>
        <w:rPr/>
        <w:t>①经过第四届董事会第十次会议、第四届监事会第九次会议分别审议通过，公司以自有资金向控股子 公司福建新开普提供不超过金额</w:t>
      </w:r>
      <w:r>
        <w:rPr>
          <w:rFonts w:ascii="Times New Roman" w:hAnsi="Times New Roman" w:cs="Times New Roman" w:eastAsia="Times New Roman" w:hint="default"/>
        </w:rPr>
        <w:t>500</w:t>
      </w:r>
      <w:r>
        <w:rPr/>
        <w:t>万元的财务资助，用于补充福建新开普的运营资金，福建新开普可以</w:t>
      </w:r>
      <w:r>
        <w:rPr>
          <w:spacing w:val="-35"/>
        </w:rPr>
        <w:t> </w:t>
      </w:r>
      <w:r>
        <w:rPr>
          <w:spacing w:val="-35"/>
        </w:rPr>
      </w:r>
      <w:r>
        <w:rPr/>
        <w:t>在</w:t>
      </w:r>
      <w:r>
        <w:rPr>
          <w:rFonts w:ascii="Times New Roman" w:hAnsi="Times New Roman" w:cs="Times New Roman" w:eastAsia="Times New Roman" w:hint="default"/>
        </w:rPr>
        <w:t>500</w:t>
      </w:r>
      <w:r>
        <w:rPr/>
        <w:t>万元的额度内循环使用。财务资助期限为双方首次协议签署之日起一年内，资金使用费按中国人民</w:t>
      </w:r>
      <w:r>
        <w:rPr>
          <w:spacing w:val="-35"/>
        </w:rPr>
        <w:t> </w:t>
      </w:r>
      <w:r>
        <w:rPr>
          <w:spacing w:val="-35"/>
        </w:rPr>
      </w:r>
      <w:r>
        <w:rPr>
          <w:spacing w:val="-2"/>
        </w:rPr>
        <w:t>银行同期贷款利率上浮</w:t>
      </w:r>
      <w:r>
        <w:rPr>
          <w:rFonts w:ascii="Times New Roman" w:hAnsi="Times New Roman" w:cs="Times New Roman" w:eastAsia="Times New Roman" w:hint="default"/>
          <w:spacing w:val="-2"/>
        </w:rPr>
        <w:t>10%</w:t>
      </w:r>
      <w:r>
        <w:rPr>
          <w:spacing w:val="-2"/>
        </w:rPr>
        <w:t>结算。报告期内，公司向福建新开普提供财务资助及福建新开普还款明细如下：</w:t>
      </w:r>
    </w:p>
    <w:p>
      <w:pPr>
        <w:pStyle w:val="BodyText"/>
        <w:spacing w:line="225" w:lineRule="exact" w:before="0"/>
        <w:ind w:left="0" w:right="1129"/>
        <w:jc w:val="right"/>
      </w:pPr>
      <w:r>
        <w:rPr/>
        <w:t>单位：万元</w:t>
      </w:r>
    </w:p>
    <w:p>
      <w:pPr>
        <w:spacing w:line="240" w:lineRule="auto" w:before="13"/>
        <w:rPr>
          <w:rFonts w:ascii="宋体" w:hAnsi="宋体" w:cs="宋体" w:eastAsia="宋体" w:hint="default"/>
          <w:sz w:val="3"/>
          <w:szCs w:val="3"/>
        </w:rPr>
      </w:pPr>
    </w:p>
    <w:tbl>
      <w:tblPr>
        <w:tblW w:w="0" w:type="auto"/>
        <w:jc w:val="left"/>
        <w:tblInd w:w="151" w:type="dxa"/>
        <w:tblLayout w:type="fixed"/>
        <w:tblCellMar>
          <w:top w:w="0" w:type="dxa"/>
          <w:left w:w="0" w:type="dxa"/>
          <w:bottom w:w="0" w:type="dxa"/>
          <w:right w:w="0" w:type="dxa"/>
        </w:tblCellMar>
        <w:tblLook w:val="01E0"/>
      </w:tblPr>
      <w:tblGrid>
        <w:gridCol w:w="2354"/>
        <w:gridCol w:w="1280"/>
        <w:gridCol w:w="2281"/>
        <w:gridCol w:w="3724"/>
      </w:tblGrid>
      <w:tr>
        <w:trPr>
          <w:trHeight w:val="337" w:hRule="exact"/>
        </w:trPr>
        <w:tc>
          <w:tcPr>
            <w:tcW w:w="2354"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1"/>
              <w:ind w:left="813" w:right="0"/>
              <w:jc w:val="left"/>
              <w:rPr>
                <w:rFonts w:ascii="宋体" w:hAnsi="宋体" w:cs="宋体" w:eastAsia="宋体" w:hint="default"/>
                <w:sz w:val="18"/>
                <w:szCs w:val="18"/>
              </w:rPr>
            </w:pPr>
            <w:r>
              <w:rPr>
                <w:rFonts w:ascii="宋体" w:hAnsi="宋体" w:cs="宋体" w:eastAsia="宋体" w:hint="default"/>
                <w:sz w:val="18"/>
                <w:szCs w:val="18"/>
              </w:rPr>
              <w:t>借款日期</w:t>
            </w:r>
          </w:p>
        </w:tc>
        <w:tc>
          <w:tcPr>
            <w:tcW w:w="1280"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1"/>
              <w:ind w:left="277"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2281"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1"/>
              <w:ind w:left="777" w:right="0"/>
              <w:jc w:val="left"/>
              <w:rPr>
                <w:rFonts w:ascii="宋体" w:hAnsi="宋体" w:cs="宋体" w:eastAsia="宋体" w:hint="default"/>
                <w:sz w:val="18"/>
                <w:szCs w:val="18"/>
              </w:rPr>
            </w:pPr>
            <w:r>
              <w:rPr>
                <w:rFonts w:ascii="宋体" w:hAnsi="宋体" w:cs="宋体" w:eastAsia="宋体" w:hint="default"/>
                <w:sz w:val="18"/>
                <w:szCs w:val="18"/>
              </w:rPr>
              <w:t>还款日期</w:t>
            </w:r>
          </w:p>
        </w:tc>
        <w:tc>
          <w:tcPr>
            <w:tcW w:w="3724"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还款金额</w:t>
            </w:r>
          </w:p>
        </w:tc>
      </w:tr>
      <w:tr>
        <w:trPr>
          <w:trHeight w:val="337" w:hRule="exact"/>
        </w:trPr>
        <w:tc>
          <w:tcPr>
            <w:tcW w:w="23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left="808" w:right="0"/>
              <w:jc w:val="left"/>
              <w:rPr>
                <w:rFonts w:ascii="Times New Roman" w:hAnsi="Times New Roman" w:cs="Times New Roman" w:eastAsia="Times New Roman" w:hint="default"/>
                <w:sz w:val="18"/>
                <w:szCs w:val="18"/>
              </w:rPr>
            </w:pPr>
            <w:r>
              <w:rPr>
                <w:rFonts w:ascii="Times New Roman"/>
                <w:sz w:val="18"/>
              </w:rPr>
              <w:t>2019/3/26</w:t>
            </w:r>
          </w:p>
        </w:tc>
        <w:tc>
          <w:tcPr>
            <w:tcW w:w="1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left="773" w:right="0"/>
              <w:jc w:val="left"/>
              <w:rPr>
                <w:rFonts w:ascii="Times New Roman" w:hAnsi="Times New Roman" w:cs="Times New Roman" w:eastAsia="Times New Roman" w:hint="default"/>
                <w:sz w:val="18"/>
                <w:szCs w:val="18"/>
              </w:rPr>
            </w:pPr>
            <w:r>
              <w:rPr>
                <w:rFonts w:ascii="Times New Roman"/>
                <w:sz w:val="18"/>
              </w:rPr>
              <w:t>500.00</w:t>
            </w:r>
          </w:p>
        </w:tc>
        <w:tc>
          <w:tcPr>
            <w:tcW w:w="2281" w:type="dxa"/>
            <w:tcBorders>
              <w:top w:val="single" w:sz="2" w:space="0" w:color="000000"/>
              <w:left w:val="single" w:sz="2" w:space="0" w:color="000000"/>
              <w:bottom w:val="single" w:sz="2" w:space="0" w:color="000000"/>
              <w:right w:val="single" w:sz="2" w:space="0" w:color="000000"/>
            </w:tcBorders>
          </w:tcPr>
          <w:p>
            <w:pPr/>
          </w:p>
        </w:tc>
        <w:tc>
          <w:tcPr>
            <w:tcW w:w="3724" w:type="dxa"/>
            <w:tcBorders>
              <w:top w:val="single" w:sz="2" w:space="0" w:color="000000"/>
              <w:left w:val="single" w:sz="2" w:space="0" w:color="000000"/>
              <w:bottom w:val="single" w:sz="2" w:space="0" w:color="000000"/>
              <w:right w:val="single" w:sz="2" w:space="0" w:color="000000"/>
            </w:tcBorders>
          </w:tcPr>
          <w:p>
            <w:pPr/>
          </w:p>
        </w:tc>
      </w:tr>
      <w:tr>
        <w:trPr>
          <w:trHeight w:val="337" w:hRule="exact"/>
        </w:trPr>
        <w:tc>
          <w:tcPr>
            <w:tcW w:w="2354" w:type="dxa"/>
            <w:tcBorders>
              <w:top w:val="single" w:sz="2" w:space="0" w:color="000000"/>
              <w:left w:val="single" w:sz="2" w:space="0" w:color="000000"/>
              <w:bottom w:val="single" w:sz="2" w:space="0" w:color="000000"/>
              <w:right w:val="single" w:sz="2" w:space="0" w:color="000000"/>
            </w:tcBorders>
          </w:tcPr>
          <w:p>
            <w:pPr/>
          </w:p>
        </w:tc>
        <w:tc>
          <w:tcPr>
            <w:tcW w:w="1280" w:type="dxa"/>
            <w:tcBorders>
              <w:top w:val="single" w:sz="2" w:space="0" w:color="000000"/>
              <w:left w:val="single" w:sz="2" w:space="0" w:color="000000"/>
              <w:bottom w:val="single" w:sz="2" w:space="0" w:color="000000"/>
              <w:right w:val="single" w:sz="2" w:space="0" w:color="000000"/>
            </w:tcBorders>
          </w:tcPr>
          <w:p>
            <w:pPr/>
          </w:p>
        </w:tc>
        <w:tc>
          <w:tcPr>
            <w:tcW w:w="22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left="772" w:right="0"/>
              <w:jc w:val="left"/>
              <w:rPr>
                <w:rFonts w:ascii="Times New Roman" w:hAnsi="Times New Roman" w:cs="Times New Roman" w:eastAsia="Times New Roman" w:hint="default"/>
                <w:sz w:val="18"/>
                <w:szCs w:val="18"/>
              </w:rPr>
            </w:pPr>
            <w:r>
              <w:rPr>
                <w:rFonts w:ascii="Times New Roman"/>
                <w:sz w:val="18"/>
              </w:rPr>
              <w:t>2019/8/29</w:t>
            </w:r>
          </w:p>
        </w:tc>
        <w:tc>
          <w:tcPr>
            <w:tcW w:w="37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200.00</w:t>
            </w:r>
          </w:p>
        </w:tc>
      </w:tr>
      <w:tr>
        <w:trPr>
          <w:trHeight w:val="336" w:hRule="exact"/>
        </w:trPr>
        <w:tc>
          <w:tcPr>
            <w:tcW w:w="2354" w:type="dxa"/>
            <w:tcBorders>
              <w:top w:val="single" w:sz="2" w:space="0" w:color="000000"/>
              <w:left w:val="single" w:sz="2" w:space="0" w:color="000000"/>
              <w:bottom w:val="single" w:sz="2" w:space="0" w:color="000000"/>
              <w:right w:val="single" w:sz="2" w:space="0" w:color="000000"/>
            </w:tcBorders>
          </w:tcPr>
          <w:p>
            <w:pPr/>
          </w:p>
        </w:tc>
        <w:tc>
          <w:tcPr>
            <w:tcW w:w="1280" w:type="dxa"/>
            <w:tcBorders>
              <w:top w:val="single" w:sz="2" w:space="0" w:color="000000"/>
              <w:left w:val="single" w:sz="2" w:space="0" w:color="000000"/>
              <w:bottom w:val="single" w:sz="2" w:space="0" w:color="000000"/>
              <w:right w:val="single" w:sz="2" w:space="0" w:color="000000"/>
            </w:tcBorders>
          </w:tcPr>
          <w:p>
            <w:pPr/>
          </w:p>
        </w:tc>
        <w:tc>
          <w:tcPr>
            <w:tcW w:w="22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left="817" w:right="0"/>
              <w:jc w:val="left"/>
              <w:rPr>
                <w:rFonts w:ascii="Times New Roman" w:hAnsi="Times New Roman" w:cs="Times New Roman" w:eastAsia="Times New Roman" w:hint="default"/>
                <w:sz w:val="18"/>
                <w:szCs w:val="18"/>
              </w:rPr>
            </w:pPr>
            <w:r>
              <w:rPr>
                <w:rFonts w:ascii="Times New Roman"/>
                <w:sz w:val="18"/>
              </w:rPr>
              <w:t>2019/9/9</w:t>
            </w:r>
          </w:p>
        </w:tc>
        <w:tc>
          <w:tcPr>
            <w:tcW w:w="37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100.00</w:t>
            </w:r>
          </w:p>
        </w:tc>
      </w:tr>
      <w:tr>
        <w:trPr>
          <w:trHeight w:val="337" w:hRule="exact"/>
        </w:trPr>
        <w:tc>
          <w:tcPr>
            <w:tcW w:w="2354" w:type="dxa"/>
            <w:tcBorders>
              <w:top w:val="single" w:sz="2" w:space="0" w:color="000000"/>
              <w:left w:val="single" w:sz="2" w:space="0" w:color="000000"/>
              <w:bottom w:val="single" w:sz="2" w:space="0" w:color="000000"/>
              <w:right w:val="single" w:sz="2" w:space="0" w:color="000000"/>
            </w:tcBorders>
          </w:tcPr>
          <w:p>
            <w:pPr/>
          </w:p>
        </w:tc>
        <w:tc>
          <w:tcPr>
            <w:tcW w:w="1280" w:type="dxa"/>
            <w:tcBorders>
              <w:top w:val="single" w:sz="2" w:space="0" w:color="000000"/>
              <w:left w:val="single" w:sz="2" w:space="0" w:color="000000"/>
              <w:bottom w:val="single" w:sz="2" w:space="0" w:color="000000"/>
              <w:right w:val="single" w:sz="2" w:space="0" w:color="000000"/>
            </w:tcBorders>
          </w:tcPr>
          <w:p>
            <w:pPr/>
          </w:p>
        </w:tc>
        <w:tc>
          <w:tcPr>
            <w:tcW w:w="22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left="727" w:right="0"/>
              <w:jc w:val="left"/>
              <w:rPr>
                <w:rFonts w:ascii="Times New Roman" w:hAnsi="Times New Roman" w:cs="Times New Roman" w:eastAsia="Times New Roman" w:hint="default"/>
                <w:sz w:val="18"/>
                <w:szCs w:val="18"/>
              </w:rPr>
            </w:pPr>
            <w:r>
              <w:rPr>
                <w:rFonts w:ascii="Times New Roman"/>
                <w:sz w:val="18"/>
              </w:rPr>
              <w:t>2019/12/18</w:t>
            </w:r>
          </w:p>
        </w:tc>
        <w:tc>
          <w:tcPr>
            <w:tcW w:w="37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200.00</w:t>
            </w:r>
          </w:p>
        </w:tc>
      </w:tr>
    </w:tbl>
    <w:p>
      <w:pPr>
        <w:pStyle w:val="BodyText"/>
        <w:spacing w:line="240" w:lineRule="auto" w:before="63"/>
        <w:ind w:left="574" w:right="1113"/>
        <w:jc w:val="left"/>
      </w:pPr>
      <w:r>
        <w:rPr/>
        <w:t>②报告期内，公司向希嘉教育提供财务资助及希嘉教育还款明细如下：</w:t>
      </w:r>
    </w:p>
    <w:p>
      <w:pPr>
        <w:spacing w:line="240" w:lineRule="auto" w:before="5"/>
        <w:rPr>
          <w:rFonts w:ascii="宋体" w:hAnsi="宋体" w:cs="宋体" w:eastAsia="宋体" w:hint="default"/>
          <w:sz w:val="14"/>
          <w:szCs w:val="14"/>
        </w:rPr>
      </w:pPr>
    </w:p>
    <w:p>
      <w:pPr>
        <w:pStyle w:val="BodyText"/>
        <w:spacing w:line="240" w:lineRule="auto" w:before="35"/>
        <w:ind w:left="0" w:right="1130"/>
        <w:jc w:val="right"/>
      </w:pPr>
      <w:r>
        <w:rPr/>
        <w:t>单位：万元</w:t>
      </w:r>
    </w:p>
    <w:p>
      <w:pPr>
        <w:spacing w:line="240" w:lineRule="auto" w:before="7"/>
        <w:rPr>
          <w:rFonts w:ascii="宋体" w:hAnsi="宋体" w:cs="宋体" w:eastAsia="宋体" w:hint="default"/>
          <w:sz w:val="2"/>
          <w:szCs w:val="2"/>
        </w:rPr>
      </w:pPr>
    </w:p>
    <w:tbl>
      <w:tblPr>
        <w:tblW w:w="0" w:type="auto"/>
        <w:jc w:val="left"/>
        <w:tblInd w:w="151" w:type="dxa"/>
        <w:tblLayout w:type="fixed"/>
        <w:tblCellMar>
          <w:top w:w="0" w:type="dxa"/>
          <w:left w:w="0" w:type="dxa"/>
          <w:bottom w:w="0" w:type="dxa"/>
          <w:right w:w="0" w:type="dxa"/>
        </w:tblCellMar>
        <w:tblLook w:val="01E0"/>
      </w:tblPr>
      <w:tblGrid>
        <w:gridCol w:w="2568"/>
        <w:gridCol w:w="1450"/>
        <w:gridCol w:w="2579"/>
        <w:gridCol w:w="3043"/>
      </w:tblGrid>
      <w:tr>
        <w:trPr>
          <w:trHeight w:val="452" w:hRule="exact"/>
        </w:trPr>
        <w:tc>
          <w:tcPr>
            <w:tcW w:w="2568"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借款日期</w:t>
            </w:r>
          </w:p>
        </w:tc>
        <w:tc>
          <w:tcPr>
            <w:tcW w:w="1450"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77"/>
              <w:ind w:left="362"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2579"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还款日期</w:t>
            </w:r>
          </w:p>
        </w:tc>
        <w:tc>
          <w:tcPr>
            <w:tcW w:w="3043"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还款金额</w:t>
            </w:r>
          </w:p>
        </w:tc>
      </w:tr>
      <w:tr>
        <w:trPr>
          <w:trHeight w:val="348" w:hRule="exact"/>
        </w:trPr>
        <w:tc>
          <w:tcPr>
            <w:tcW w:w="2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105" w:right="0"/>
              <w:jc w:val="left"/>
              <w:rPr>
                <w:rFonts w:ascii="Times New Roman" w:hAnsi="Times New Roman" w:cs="Times New Roman" w:eastAsia="Times New Roman" w:hint="default"/>
                <w:sz w:val="18"/>
                <w:szCs w:val="18"/>
              </w:rPr>
            </w:pPr>
            <w:r>
              <w:rPr>
                <w:rFonts w:ascii="Times New Roman"/>
                <w:sz w:val="18"/>
              </w:rPr>
              <w:t>2019/4/4</w:t>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z w:val="18"/>
              </w:rPr>
              <w:t>150.00</w:t>
            </w:r>
          </w:p>
        </w:tc>
        <w:tc>
          <w:tcPr>
            <w:tcW w:w="2579" w:type="dxa"/>
            <w:tcBorders>
              <w:top w:val="single" w:sz="2" w:space="0" w:color="000000"/>
              <w:left w:val="single" w:sz="2" w:space="0" w:color="000000"/>
              <w:bottom w:val="single" w:sz="2" w:space="0" w:color="000000"/>
              <w:right w:val="single" w:sz="2" w:space="0" w:color="000000"/>
            </w:tcBorders>
          </w:tcPr>
          <w:p>
            <w:pPr/>
          </w:p>
        </w:tc>
        <w:tc>
          <w:tcPr>
            <w:tcW w:w="3043" w:type="dxa"/>
            <w:tcBorders>
              <w:top w:val="single" w:sz="2" w:space="0" w:color="000000"/>
              <w:left w:val="single" w:sz="2" w:space="0" w:color="000000"/>
              <w:bottom w:val="single" w:sz="2" w:space="0" w:color="000000"/>
              <w:right w:val="single" w:sz="2" w:space="0" w:color="000000"/>
            </w:tcBorders>
          </w:tcPr>
          <w:p>
            <w:pPr/>
          </w:p>
        </w:tc>
      </w:tr>
      <w:tr>
        <w:trPr>
          <w:trHeight w:val="348" w:hRule="exact"/>
        </w:trPr>
        <w:tc>
          <w:tcPr>
            <w:tcW w:w="2568" w:type="dxa"/>
            <w:tcBorders>
              <w:top w:val="single" w:sz="2" w:space="0" w:color="000000"/>
              <w:left w:val="single" w:sz="2" w:space="0" w:color="000000"/>
              <w:bottom w:val="single" w:sz="2" w:space="0" w:color="000000"/>
              <w:right w:val="single" w:sz="2" w:space="0" w:color="000000"/>
            </w:tcBorders>
          </w:tcPr>
          <w:p>
            <w:pPr/>
          </w:p>
        </w:tc>
        <w:tc>
          <w:tcPr>
            <w:tcW w:w="1450" w:type="dxa"/>
            <w:tcBorders>
              <w:top w:val="single" w:sz="2" w:space="0" w:color="000000"/>
              <w:left w:val="single" w:sz="2" w:space="0" w:color="000000"/>
              <w:bottom w:val="single" w:sz="2" w:space="0" w:color="000000"/>
              <w:right w:val="single" w:sz="2" w:space="0" w:color="000000"/>
            </w:tcBorders>
          </w:tcPr>
          <w:p>
            <w:pPr/>
          </w:p>
        </w:tc>
        <w:tc>
          <w:tcPr>
            <w:tcW w:w="2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z w:val="18"/>
              </w:rPr>
              <w:t>2019/4/29</w:t>
            </w:r>
          </w:p>
        </w:tc>
        <w:tc>
          <w:tcPr>
            <w:tcW w:w="30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z w:val="18"/>
              </w:rPr>
              <w:t>54.50</w:t>
            </w:r>
          </w:p>
        </w:tc>
      </w:tr>
      <w:tr>
        <w:trPr>
          <w:trHeight w:val="348" w:hRule="exact"/>
        </w:trPr>
        <w:tc>
          <w:tcPr>
            <w:tcW w:w="2568" w:type="dxa"/>
            <w:tcBorders>
              <w:top w:val="single" w:sz="2" w:space="0" w:color="000000"/>
              <w:left w:val="single" w:sz="2" w:space="0" w:color="000000"/>
              <w:bottom w:val="single" w:sz="2" w:space="0" w:color="000000"/>
              <w:right w:val="single" w:sz="2" w:space="0" w:color="000000"/>
            </w:tcBorders>
          </w:tcPr>
          <w:p>
            <w:pPr/>
          </w:p>
        </w:tc>
        <w:tc>
          <w:tcPr>
            <w:tcW w:w="1450" w:type="dxa"/>
            <w:tcBorders>
              <w:top w:val="single" w:sz="2" w:space="0" w:color="000000"/>
              <w:left w:val="single" w:sz="2" w:space="0" w:color="000000"/>
              <w:bottom w:val="single" w:sz="2" w:space="0" w:color="000000"/>
              <w:right w:val="single" w:sz="2" w:space="0" w:color="000000"/>
            </w:tcBorders>
          </w:tcPr>
          <w:p>
            <w:pPr/>
          </w:p>
        </w:tc>
        <w:tc>
          <w:tcPr>
            <w:tcW w:w="2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z w:val="18"/>
              </w:rPr>
              <w:t>2019/5/17</w:t>
            </w:r>
          </w:p>
        </w:tc>
        <w:tc>
          <w:tcPr>
            <w:tcW w:w="30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z w:val="18"/>
              </w:rPr>
              <w:t>36.50</w:t>
            </w:r>
          </w:p>
        </w:tc>
      </w:tr>
      <w:tr>
        <w:trPr>
          <w:trHeight w:val="348" w:hRule="exact"/>
        </w:trPr>
        <w:tc>
          <w:tcPr>
            <w:tcW w:w="2568" w:type="dxa"/>
            <w:tcBorders>
              <w:top w:val="single" w:sz="2" w:space="0" w:color="000000"/>
              <w:left w:val="single" w:sz="2" w:space="0" w:color="000000"/>
              <w:bottom w:val="single" w:sz="2" w:space="0" w:color="000000"/>
              <w:right w:val="single" w:sz="2" w:space="0" w:color="000000"/>
            </w:tcBorders>
          </w:tcPr>
          <w:p>
            <w:pPr/>
          </w:p>
        </w:tc>
        <w:tc>
          <w:tcPr>
            <w:tcW w:w="1450" w:type="dxa"/>
            <w:tcBorders>
              <w:top w:val="single" w:sz="2" w:space="0" w:color="000000"/>
              <w:left w:val="single" w:sz="2" w:space="0" w:color="000000"/>
              <w:bottom w:val="single" w:sz="2" w:space="0" w:color="000000"/>
              <w:right w:val="single" w:sz="2" w:space="0" w:color="000000"/>
            </w:tcBorders>
          </w:tcPr>
          <w:p>
            <w:pPr/>
          </w:p>
        </w:tc>
        <w:tc>
          <w:tcPr>
            <w:tcW w:w="2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z w:val="18"/>
              </w:rPr>
              <w:t>2019/5/30</w:t>
            </w:r>
          </w:p>
        </w:tc>
        <w:tc>
          <w:tcPr>
            <w:tcW w:w="30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z w:val="18"/>
              </w:rPr>
              <w:t>59.00</w:t>
            </w:r>
          </w:p>
        </w:tc>
      </w:tr>
      <w:tr>
        <w:trPr>
          <w:trHeight w:val="348" w:hRule="exact"/>
        </w:trPr>
        <w:tc>
          <w:tcPr>
            <w:tcW w:w="2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105" w:right="0"/>
              <w:jc w:val="left"/>
              <w:rPr>
                <w:rFonts w:ascii="Times New Roman" w:hAnsi="Times New Roman" w:cs="Times New Roman" w:eastAsia="Times New Roman" w:hint="default"/>
                <w:sz w:val="18"/>
                <w:szCs w:val="18"/>
              </w:rPr>
            </w:pPr>
            <w:r>
              <w:rPr>
                <w:rFonts w:ascii="Times New Roman"/>
                <w:sz w:val="18"/>
              </w:rPr>
              <w:t>2019/4/21</w:t>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z w:val="18"/>
              </w:rPr>
              <w:t>200.00</w:t>
            </w:r>
          </w:p>
        </w:tc>
        <w:tc>
          <w:tcPr>
            <w:tcW w:w="2579" w:type="dxa"/>
            <w:tcBorders>
              <w:top w:val="single" w:sz="2" w:space="0" w:color="000000"/>
              <w:left w:val="single" w:sz="2" w:space="0" w:color="000000"/>
              <w:bottom w:val="single" w:sz="2" w:space="0" w:color="000000"/>
              <w:right w:val="single" w:sz="2" w:space="0" w:color="000000"/>
            </w:tcBorders>
          </w:tcPr>
          <w:p>
            <w:pPr/>
          </w:p>
        </w:tc>
        <w:tc>
          <w:tcPr>
            <w:tcW w:w="3043" w:type="dxa"/>
            <w:tcBorders>
              <w:top w:val="single" w:sz="2" w:space="0" w:color="000000"/>
              <w:left w:val="single" w:sz="2" w:space="0" w:color="000000"/>
              <w:bottom w:val="single" w:sz="2" w:space="0" w:color="000000"/>
              <w:right w:val="single" w:sz="2" w:space="0" w:color="000000"/>
            </w:tcBorders>
          </w:tcPr>
          <w:p>
            <w:pPr/>
          </w:p>
        </w:tc>
      </w:tr>
      <w:tr>
        <w:trPr>
          <w:trHeight w:val="348" w:hRule="exact"/>
        </w:trPr>
        <w:tc>
          <w:tcPr>
            <w:tcW w:w="2568" w:type="dxa"/>
            <w:tcBorders>
              <w:top w:val="single" w:sz="2" w:space="0" w:color="000000"/>
              <w:left w:val="single" w:sz="2" w:space="0" w:color="000000"/>
              <w:bottom w:val="single" w:sz="2" w:space="0" w:color="000000"/>
              <w:right w:val="single" w:sz="2" w:space="0" w:color="000000"/>
            </w:tcBorders>
          </w:tcPr>
          <w:p>
            <w:pPr/>
          </w:p>
        </w:tc>
        <w:tc>
          <w:tcPr>
            <w:tcW w:w="1450" w:type="dxa"/>
            <w:tcBorders>
              <w:top w:val="single" w:sz="2" w:space="0" w:color="000000"/>
              <w:left w:val="single" w:sz="2" w:space="0" w:color="000000"/>
              <w:bottom w:val="single" w:sz="2" w:space="0" w:color="000000"/>
              <w:right w:val="single" w:sz="2" w:space="0" w:color="000000"/>
            </w:tcBorders>
          </w:tcPr>
          <w:p>
            <w:pPr/>
          </w:p>
        </w:tc>
        <w:tc>
          <w:tcPr>
            <w:tcW w:w="2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4"/>
              <w:jc w:val="right"/>
              <w:rPr>
                <w:rFonts w:ascii="Times New Roman" w:hAnsi="Times New Roman" w:cs="Times New Roman" w:eastAsia="Times New Roman" w:hint="default"/>
                <w:sz w:val="18"/>
                <w:szCs w:val="18"/>
              </w:rPr>
            </w:pPr>
            <w:r>
              <w:rPr>
                <w:rFonts w:ascii="Times New Roman"/>
                <w:spacing w:val="-1"/>
                <w:sz w:val="18"/>
              </w:rPr>
              <w:t>2019/8/11</w:t>
            </w:r>
          </w:p>
        </w:tc>
        <w:tc>
          <w:tcPr>
            <w:tcW w:w="30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z w:val="18"/>
              </w:rPr>
              <w:t>200.00</w:t>
            </w:r>
          </w:p>
        </w:tc>
      </w:tr>
      <w:tr>
        <w:trPr>
          <w:trHeight w:val="348" w:hRule="exact"/>
        </w:trPr>
        <w:tc>
          <w:tcPr>
            <w:tcW w:w="2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105" w:right="0"/>
              <w:jc w:val="left"/>
              <w:rPr>
                <w:rFonts w:ascii="Times New Roman" w:hAnsi="Times New Roman" w:cs="Times New Roman" w:eastAsia="Times New Roman" w:hint="default"/>
                <w:sz w:val="18"/>
                <w:szCs w:val="18"/>
              </w:rPr>
            </w:pPr>
            <w:r>
              <w:rPr>
                <w:rFonts w:ascii="Times New Roman"/>
                <w:sz w:val="18"/>
              </w:rPr>
              <w:t>2019/6/4</w:t>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z w:val="18"/>
              </w:rPr>
              <w:t>220.00</w:t>
            </w:r>
          </w:p>
        </w:tc>
        <w:tc>
          <w:tcPr>
            <w:tcW w:w="2579" w:type="dxa"/>
            <w:tcBorders>
              <w:top w:val="single" w:sz="2" w:space="0" w:color="000000"/>
              <w:left w:val="single" w:sz="2" w:space="0" w:color="000000"/>
              <w:bottom w:val="single" w:sz="2" w:space="0" w:color="000000"/>
              <w:right w:val="single" w:sz="2" w:space="0" w:color="000000"/>
            </w:tcBorders>
          </w:tcPr>
          <w:p>
            <w:pPr/>
          </w:p>
        </w:tc>
        <w:tc>
          <w:tcPr>
            <w:tcW w:w="3043" w:type="dxa"/>
            <w:tcBorders>
              <w:top w:val="single" w:sz="2" w:space="0" w:color="000000"/>
              <w:left w:val="single" w:sz="2" w:space="0" w:color="000000"/>
              <w:bottom w:val="single" w:sz="2" w:space="0" w:color="000000"/>
              <w:right w:val="single" w:sz="2" w:space="0" w:color="000000"/>
            </w:tcBorders>
          </w:tcPr>
          <w:p>
            <w:pPr/>
          </w:p>
        </w:tc>
      </w:tr>
      <w:tr>
        <w:trPr>
          <w:trHeight w:val="348" w:hRule="exact"/>
        </w:trPr>
        <w:tc>
          <w:tcPr>
            <w:tcW w:w="2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105" w:right="0"/>
              <w:jc w:val="left"/>
              <w:rPr>
                <w:rFonts w:ascii="Times New Roman" w:hAnsi="Times New Roman" w:cs="Times New Roman" w:eastAsia="Times New Roman" w:hint="default"/>
                <w:sz w:val="18"/>
                <w:szCs w:val="18"/>
              </w:rPr>
            </w:pPr>
            <w:r>
              <w:rPr>
                <w:rFonts w:ascii="Times New Roman"/>
                <w:sz w:val="18"/>
              </w:rPr>
              <w:t>2019/6/6</w:t>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z w:val="18"/>
              </w:rPr>
              <w:t>140.17</w:t>
            </w:r>
          </w:p>
        </w:tc>
        <w:tc>
          <w:tcPr>
            <w:tcW w:w="2579" w:type="dxa"/>
            <w:tcBorders>
              <w:top w:val="single" w:sz="2" w:space="0" w:color="000000"/>
              <w:left w:val="single" w:sz="2" w:space="0" w:color="000000"/>
              <w:bottom w:val="single" w:sz="2" w:space="0" w:color="000000"/>
              <w:right w:val="single" w:sz="2" w:space="0" w:color="000000"/>
            </w:tcBorders>
          </w:tcPr>
          <w:p>
            <w:pPr/>
          </w:p>
        </w:tc>
        <w:tc>
          <w:tcPr>
            <w:tcW w:w="3043" w:type="dxa"/>
            <w:tcBorders>
              <w:top w:val="single" w:sz="2" w:space="0" w:color="000000"/>
              <w:left w:val="single" w:sz="2" w:space="0" w:color="000000"/>
              <w:bottom w:val="single" w:sz="2" w:space="0" w:color="000000"/>
              <w:right w:val="single" w:sz="2" w:space="0" w:color="000000"/>
            </w:tcBorders>
          </w:tcPr>
          <w:p>
            <w:pPr/>
          </w:p>
        </w:tc>
      </w:tr>
      <w:tr>
        <w:trPr>
          <w:trHeight w:val="348" w:hRule="exact"/>
        </w:trPr>
        <w:tc>
          <w:tcPr>
            <w:tcW w:w="2568" w:type="dxa"/>
            <w:tcBorders>
              <w:top w:val="single" w:sz="2" w:space="0" w:color="000000"/>
              <w:left w:val="single" w:sz="2" w:space="0" w:color="000000"/>
              <w:bottom w:val="single" w:sz="2" w:space="0" w:color="000000"/>
              <w:right w:val="single" w:sz="2" w:space="0" w:color="000000"/>
            </w:tcBorders>
          </w:tcPr>
          <w:p>
            <w:pPr/>
          </w:p>
        </w:tc>
        <w:tc>
          <w:tcPr>
            <w:tcW w:w="1450" w:type="dxa"/>
            <w:tcBorders>
              <w:top w:val="single" w:sz="2" w:space="0" w:color="000000"/>
              <w:left w:val="single" w:sz="2" w:space="0" w:color="000000"/>
              <w:bottom w:val="single" w:sz="2" w:space="0" w:color="000000"/>
              <w:right w:val="single" w:sz="2" w:space="0" w:color="000000"/>
            </w:tcBorders>
          </w:tcPr>
          <w:p>
            <w:pPr/>
          </w:p>
        </w:tc>
        <w:tc>
          <w:tcPr>
            <w:tcW w:w="2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z w:val="18"/>
              </w:rPr>
              <w:t>2019/9/10</w:t>
            </w:r>
          </w:p>
        </w:tc>
        <w:tc>
          <w:tcPr>
            <w:tcW w:w="30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z w:val="18"/>
              </w:rPr>
              <w:t>360.17</w:t>
            </w:r>
          </w:p>
        </w:tc>
      </w:tr>
      <w:tr>
        <w:trPr>
          <w:trHeight w:val="348" w:hRule="exact"/>
        </w:trPr>
        <w:tc>
          <w:tcPr>
            <w:tcW w:w="2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105" w:right="0"/>
              <w:jc w:val="left"/>
              <w:rPr>
                <w:rFonts w:ascii="Times New Roman" w:hAnsi="Times New Roman" w:cs="Times New Roman" w:eastAsia="Times New Roman" w:hint="default"/>
                <w:sz w:val="18"/>
                <w:szCs w:val="18"/>
              </w:rPr>
            </w:pPr>
            <w:r>
              <w:rPr>
                <w:rFonts w:ascii="Times New Roman"/>
                <w:sz w:val="18"/>
              </w:rPr>
              <w:t>2019/7/10</w:t>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z w:val="18"/>
              </w:rPr>
              <w:t>100.00</w:t>
            </w:r>
          </w:p>
        </w:tc>
        <w:tc>
          <w:tcPr>
            <w:tcW w:w="2579" w:type="dxa"/>
            <w:tcBorders>
              <w:top w:val="single" w:sz="2" w:space="0" w:color="000000"/>
              <w:left w:val="single" w:sz="2" w:space="0" w:color="000000"/>
              <w:bottom w:val="single" w:sz="2" w:space="0" w:color="000000"/>
              <w:right w:val="single" w:sz="2" w:space="0" w:color="000000"/>
            </w:tcBorders>
          </w:tcPr>
          <w:p>
            <w:pPr/>
          </w:p>
        </w:tc>
        <w:tc>
          <w:tcPr>
            <w:tcW w:w="3043" w:type="dxa"/>
            <w:tcBorders>
              <w:top w:val="single" w:sz="2" w:space="0" w:color="000000"/>
              <w:left w:val="single" w:sz="2" w:space="0" w:color="000000"/>
              <w:bottom w:val="single" w:sz="2" w:space="0" w:color="000000"/>
              <w:right w:val="single" w:sz="2" w:space="0" w:color="000000"/>
            </w:tcBorders>
          </w:tcPr>
          <w:p>
            <w:pPr/>
          </w:p>
        </w:tc>
      </w:tr>
      <w:tr>
        <w:trPr>
          <w:trHeight w:val="348" w:hRule="exact"/>
        </w:trPr>
        <w:tc>
          <w:tcPr>
            <w:tcW w:w="2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105" w:right="0"/>
              <w:jc w:val="left"/>
              <w:rPr>
                <w:rFonts w:ascii="Times New Roman" w:hAnsi="Times New Roman" w:cs="Times New Roman" w:eastAsia="Times New Roman" w:hint="default"/>
                <w:sz w:val="18"/>
                <w:szCs w:val="18"/>
              </w:rPr>
            </w:pPr>
            <w:r>
              <w:rPr>
                <w:rFonts w:ascii="Times New Roman"/>
                <w:sz w:val="18"/>
              </w:rPr>
              <w:t>2019/7/26</w:t>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z w:val="18"/>
              </w:rPr>
              <w:t>139.83</w:t>
            </w:r>
          </w:p>
        </w:tc>
        <w:tc>
          <w:tcPr>
            <w:tcW w:w="2579" w:type="dxa"/>
            <w:tcBorders>
              <w:top w:val="single" w:sz="2" w:space="0" w:color="000000"/>
              <w:left w:val="single" w:sz="2" w:space="0" w:color="000000"/>
              <w:bottom w:val="single" w:sz="2" w:space="0" w:color="000000"/>
              <w:right w:val="single" w:sz="2" w:space="0" w:color="000000"/>
            </w:tcBorders>
          </w:tcPr>
          <w:p>
            <w:pPr/>
          </w:p>
        </w:tc>
        <w:tc>
          <w:tcPr>
            <w:tcW w:w="3043" w:type="dxa"/>
            <w:tcBorders>
              <w:top w:val="single" w:sz="2" w:space="0" w:color="000000"/>
              <w:left w:val="single" w:sz="2" w:space="0" w:color="000000"/>
              <w:bottom w:val="single" w:sz="2" w:space="0" w:color="000000"/>
              <w:right w:val="single" w:sz="2" w:space="0" w:color="000000"/>
            </w:tcBorders>
          </w:tcPr>
          <w:p>
            <w:pPr/>
          </w:p>
        </w:tc>
      </w:tr>
      <w:tr>
        <w:trPr>
          <w:trHeight w:val="348" w:hRule="exact"/>
        </w:trPr>
        <w:tc>
          <w:tcPr>
            <w:tcW w:w="2568" w:type="dxa"/>
            <w:tcBorders>
              <w:top w:val="single" w:sz="2" w:space="0" w:color="000000"/>
              <w:left w:val="single" w:sz="2" w:space="0" w:color="000000"/>
              <w:bottom w:val="single" w:sz="2" w:space="0" w:color="000000"/>
              <w:right w:val="single" w:sz="2" w:space="0" w:color="000000"/>
            </w:tcBorders>
          </w:tcPr>
          <w:p>
            <w:pPr/>
          </w:p>
        </w:tc>
        <w:tc>
          <w:tcPr>
            <w:tcW w:w="1450" w:type="dxa"/>
            <w:tcBorders>
              <w:top w:val="single" w:sz="2" w:space="0" w:color="000000"/>
              <w:left w:val="single" w:sz="2" w:space="0" w:color="000000"/>
              <w:bottom w:val="single" w:sz="2" w:space="0" w:color="000000"/>
              <w:right w:val="single" w:sz="2" w:space="0" w:color="000000"/>
            </w:tcBorders>
          </w:tcPr>
          <w:p>
            <w:pPr/>
          </w:p>
        </w:tc>
        <w:tc>
          <w:tcPr>
            <w:tcW w:w="2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z w:val="18"/>
              </w:rPr>
              <w:t>2019/10/16</w:t>
            </w:r>
          </w:p>
        </w:tc>
        <w:tc>
          <w:tcPr>
            <w:tcW w:w="30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2568" w:type="dxa"/>
            <w:tcBorders>
              <w:top w:val="single" w:sz="2" w:space="0" w:color="000000"/>
              <w:left w:val="single" w:sz="2" w:space="0" w:color="000000"/>
              <w:bottom w:val="single" w:sz="2" w:space="0" w:color="000000"/>
              <w:right w:val="single" w:sz="2" w:space="0" w:color="000000"/>
            </w:tcBorders>
          </w:tcPr>
          <w:p>
            <w:pPr/>
          </w:p>
        </w:tc>
        <w:tc>
          <w:tcPr>
            <w:tcW w:w="1450" w:type="dxa"/>
            <w:tcBorders>
              <w:top w:val="single" w:sz="2" w:space="0" w:color="000000"/>
              <w:left w:val="single" w:sz="2" w:space="0" w:color="000000"/>
              <w:bottom w:val="single" w:sz="2" w:space="0" w:color="000000"/>
              <w:right w:val="single" w:sz="2" w:space="0" w:color="000000"/>
            </w:tcBorders>
          </w:tcPr>
          <w:p>
            <w:pPr/>
          </w:p>
        </w:tc>
        <w:tc>
          <w:tcPr>
            <w:tcW w:w="2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z w:val="18"/>
              </w:rPr>
              <w:t>2019/10/16</w:t>
            </w:r>
          </w:p>
        </w:tc>
        <w:tc>
          <w:tcPr>
            <w:tcW w:w="30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z w:val="18"/>
              </w:rPr>
              <w:t>139.83</w:t>
            </w:r>
          </w:p>
        </w:tc>
      </w:tr>
      <w:tr>
        <w:trPr>
          <w:trHeight w:val="348" w:hRule="exact"/>
        </w:trPr>
        <w:tc>
          <w:tcPr>
            <w:tcW w:w="2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sz w:val="18"/>
              </w:rPr>
              <w:t>2019/10/10</w:t>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z w:val="18"/>
              </w:rPr>
              <w:t>100.00</w:t>
            </w:r>
          </w:p>
        </w:tc>
        <w:tc>
          <w:tcPr>
            <w:tcW w:w="2579" w:type="dxa"/>
            <w:tcBorders>
              <w:top w:val="single" w:sz="2" w:space="0" w:color="000000"/>
              <w:left w:val="single" w:sz="2" w:space="0" w:color="000000"/>
              <w:bottom w:val="single" w:sz="2" w:space="0" w:color="000000"/>
              <w:right w:val="single" w:sz="2" w:space="0" w:color="000000"/>
            </w:tcBorders>
          </w:tcPr>
          <w:p>
            <w:pPr/>
          </w:p>
        </w:tc>
        <w:tc>
          <w:tcPr>
            <w:tcW w:w="3043" w:type="dxa"/>
            <w:tcBorders>
              <w:top w:val="single" w:sz="2" w:space="0" w:color="000000"/>
              <w:left w:val="single" w:sz="2" w:space="0" w:color="000000"/>
              <w:bottom w:val="single" w:sz="2" w:space="0" w:color="000000"/>
              <w:right w:val="single" w:sz="2" w:space="0" w:color="000000"/>
            </w:tcBorders>
          </w:tcPr>
          <w:p>
            <w:pPr/>
          </w:p>
        </w:tc>
      </w:tr>
      <w:tr>
        <w:trPr>
          <w:trHeight w:val="348" w:hRule="exact"/>
        </w:trPr>
        <w:tc>
          <w:tcPr>
            <w:tcW w:w="2568" w:type="dxa"/>
            <w:tcBorders>
              <w:top w:val="single" w:sz="2" w:space="0" w:color="000000"/>
              <w:left w:val="single" w:sz="2" w:space="0" w:color="000000"/>
              <w:bottom w:val="single" w:sz="2" w:space="0" w:color="000000"/>
              <w:right w:val="single" w:sz="2" w:space="0" w:color="000000"/>
            </w:tcBorders>
          </w:tcPr>
          <w:p>
            <w:pPr/>
          </w:p>
        </w:tc>
        <w:tc>
          <w:tcPr>
            <w:tcW w:w="1450" w:type="dxa"/>
            <w:tcBorders>
              <w:top w:val="single" w:sz="2" w:space="0" w:color="000000"/>
              <w:left w:val="single" w:sz="2" w:space="0" w:color="000000"/>
              <w:bottom w:val="single" w:sz="2" w:space="0" w:color="000000"/>
              <w:right w:val="single" w:sz="2" w:space="0" w:color="000000"/>
            </w:tcBorders>
          </w:tcPr>
          <w:p>
            <w:pPr/>
          </w:p>
        </w:tc>
        <w:tc>
          <w:tcPr>
            <w:tcW w:w="2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z w:val="18"/>
              </w:rPr>
              <w:t>2019/10/17</w:t>
            </w:r>
          </w:p>
        </w:tc>
        <w:tc>
          <w:tcPr>
            <w:tcW w:w="30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2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sz w:val="18"/>
              </w:rPr>
              <w:t>2019/8/13</w:t>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z w:val="18"/>
              </w:rPr>
              <w:t>200.00</w:t>
            </w:r>
          </w:p>
        </w:tc>
        <w:tc>
          <w:tcPr>
            <w:tcW w:w="2579" w:type="dxa"/>
            <w:tcBorders>
              <w:top w:val="single" w:sz="2" w:space="0" w:color="000000"/>
              <w:left w:val="single" w:sz="2" w:space="0" w:color="000000"/>
              <w:bottom w:val="single" w:sz="2" w:space="0" w:color="000000"/>
              <w:right w:val="single" w:sz="2" w:space="0" w:color="000000"/>
            </w:tcBorders>
          </w:tcPr>
          <w:p>
            <w:pPr/>
          </w:p>
        </w:tc>
        <w:tc>
          <w:tcPr>
            <w:tcW w:w="3043" w:type="dxa"/>
            <w:tcBorders>
              <w:top w:val="single" w:sz="2" w:space="0" w:color="000000"/>
              <w:left w:val="single" w:sz="2" w:space="0" w:color="000000"/>
              <w:bottom w:val="single" w:sz="2" w:space="0" w:color="000000"/>
              <w:right w:val="single" w:sz="2" w:space="0" w:color="000000"/>
            </w:tcBorders>
          </w:tcPr>
          <w:p>
            <w:pPr/>
          </w:p>
        </w:tc>
      </w:tr>
      <w:tr>
        <w:trPr>
          <w:trHeight w:val="348" w:hRule="exact"/>
        </w:trPr>
        <w:tc>
          <w:tcPr>
            <w:tcW w:w="2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sz w:val="18"/>
              </w:rPr>
              <w:t>2019/9/10</w:t>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z w:val="18"/>
              </w:rPr>
              <w:t>360.17</w:t>
            </w:r>
          </w:p>
        </w:tc>
        <w:tc>
          <w:tcPr>
            <w:tcW w:w="2579" w:type="dxa"/>
            <w:tcBorders>
              <w:top w:val="single" w:sz="2" w:space="0" w:color="000000"/>
              <w:left w:val="single" w:sz="2" w:space="0" w:color="000000"/>
              <w:bottom w:val="single" w:sz="2" w:space="0" w:color="000000"/>
              <w:right w:val="single" w:sz="2" w:space="0" w:color="000000"/>
            </w:tcBorders>
          </w:tcPr>
          <w:p>
            <w:pPr/>
          </w:p>
        </w:tc>
        <w:tc>
          <w:tcPr>
            <w:tcW w:w="3043" w:type="dxa"/>
            <w:tcBorders>
              <w:top w:val="single" w:sz="2" w:space="0" w:color="000000"/>
              <w:left w:val="single" w:sz="2" w:space="0" w:color="000000"/>
              <w:bottom w:val="single" w:sz="2" w:space="0" w:color="000000"/>
              <w:right w:val="single" w:sz="2" w:space="0" w:color="000000"/>
            </w:tcBorders>
          </w:tcPr>
          <w:p>
            <w:pPr/>
          </w:p>
        </w:tc>
      </w:tr>
      <w:tr>
        <w:trPr>
          <w:trHeight w:val="348" w:hRule="exact"/>
        </w:trPr>
        <w:tc>
          <w:tcPr>
            <w:tcW w:w="2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sz w:val="18"/>
              </w:rPr>
              <w:t>2019/10/17</w:t>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z w:val="18"/>
              </w:rPr>
              <w:t>239.83</w:t>
            </w:r>
          </w:p>
        </w:tc>
        <w:tc>
          <w:tcPr>
            <w:tcW w:w="2579" w:type="dxa"/>
            <w:tcBorders>
              <w:top w:val="single" w:sz="2" w:space="0" w:color="000000"/>
              <w:left w:val="single" w:sz="2" w:space="0" w:color="000000"/>
              <w:bottom w:val="single" w:sz="2" w:space="0" w:color="000000"/>
              <w:right w:val="single" w:sz="2" w:space="0" w:color="000000"/>
            </w:tcBorders>
          </w:tcPr>
          <w:p>
            <w:pPr/>
          </w:p>
        </w:tc>
        <w:tc>
          <w:tcPr>
            <w:tcW w:w="3043" w:type="dxa"/>
            <w:tcBorders>
              <w:top w:val="single" w:sz="2" w:space="0" w:color="000000"/>
              <w:left w:val="single" w:sz="2" w:space="0" w:color="000000"/>
              <w:bottom w:val="single" w:sz="2" w:space="0" w:color="000000"/>
              <w:right w:val="single" w:sz="2" w:space="0" w:color="000000"/>
            </w:tcBorders>
          </w:tcPr>
          <w:p>
            <w:pPr/>
          </w:p>
        </w:tc>
      </w:tr>
    </w:tbl>
    <w:p>
      <w:pPr>
        <w:pStyle w:val="BodyText"/>
        <w:spacing w:line="240" w:lineRule="auto" w:before="63"/>
        <w:ind w:left="574" w:right="1113"/>
        <w:jc w:val="left"/>
      </w:pPr>
      <w:r>
        <w:rPr/>
        <w:t>（</w:t>
      </w:r>
      <w:r>
        <w:rPr>
          <w:rFonts w:ascii="Times New Roman" w:hAnsi="Times New Roman" w:cs="Times New Roman" w:eastAsia="Times New Roman" w:hint="default"/>
        </w:rPr>
        <w:t>2</w:t>
      </w:r>
      <w:r>
        <w:rPr/>
        <w:t>）其他关联方增资子公司</w:t>
      </w:r>
    </w:p>
    <w:p>
      <w:pPr>
        <w:pStyle w:val="BodyText"/>
        <w:spacing w:line="386" w:lineRule="auto" w:before="177"/>
        <w:ind w:right="1021" w:firstLine="42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日，公司召开第四届董事会第十八次会议及监事会第十七次会议审议通过了《关于上海云 </w:t>
      </w:r>
      <w:r>
        <w:rPr>
          <w:spacing w:val="-3"/>
        </w:rPr>
        <w:t>鑫创业投资有限公司增资完美数联（杭州）科技有限公司暨关联交易的议案》，公司股东杨维国、付秋生、</w:t>
      </w:r>
    </w:p>
    <w:p>
      <w:pPr>
        <w:spacing w:after="0" w:line="386"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396" w:lineRule="auto" w:before="35"/>
        <w:ind w:left="153" w:right="1127"/>
        <w:jc w:val="both"/>
      </w:pPr>
      <w:r>
        <w:rPr>
          <w:spacing w:val="-1"/>
        </w:rPr>
        <w:t>尚卫国、赵利宾、华梦阳、傅常顺、杜建平、刘恩臣、葛晓阁与上海云鑫签署了《股份转让协议》，上海</w:t>
      </w:r>
      <w:r>
        <w:rPr>
          <w:spacing w:val="-86"/>
        </w:rPr>
        <w:t> </w:t>
      </w:r>
      <w:r>
        <w:rPr>
          <w:spacing w:val="-86"/>
        </w:rPr>
      </w:r>
      <w:r>
        <w:rPr>
          <w:spacing w:val="-1"/>
        </w:rPr>
        <w:t>云鑫合计受让公司无限售条件流通股</w:t>
      </w:r>
      <w:r>
        <w:rPr>
          <w:rFonts w:ascii="Times New Roman" w:hAnsi="Times New Roman" w:cs="Times New Roman" w:eastAsia="Times New Roman" w:hint="default"/>
          <w:spacing w:val="-1"/>
        </w:rPr>
        <w:t>30,210,000</w:t>
      </w:r>
      <w:r>
        <w:rPr>
          <w:spacing w:val="-1"/>
        </w:rPr>
        <w:t>股，约占公司目前总股本的</w:t>
      </w:r>
      <w:r>
        <w:rPr>
          <w:rFonts w:ascii="Times New Roman" w:hAnsi="Times New Roman" w:cs="Times New Roman" w:eastAsia="Times New Roman" w:hint="default"/>
          <w:spacing w:val="-1"/>
        </w:rPr>
        <w:t>6.28%</w:t>
      </w:r>
      <w:r>
        <w:rPr>
          <w:spacing w:val="-1"/>
        </w:rPr>
        <w:t>，转让完成后上海云鑫成</w:t>
      </w:r>
      <w:r>
        <w:rPr>
          <w:spacing w:val="-98"/>
        </w:rPr>
        <w:t> </w:t>
      </w:r>
      <w:r>
        <w:rPr>
          <w:spacing w:val="-98"/>
        </w:rPr>
      </w:r>
      <w:r>
        <w:rPr>
          <w:spacing w:val="-1"/>
        </w:rPr>
        <w:t>为公司第二大股东。同时，公司、完美数联、天维恒瑞、上海云鑫签署了相关交易协议，上海云鑫以人民</w:t>
      </w:r>
      <w:r>
        <w:rPr>
          <w:spacing w:val="-83"/>
        </w:rPr>
        <w:t> </w:t>
      </w:r>
      <w:r>
        <w:rPr>
          <w:spacing w:val="-83"/>
        </w:rPr>
      </w:r>
      <w:r>
        <w:rPr>
          <w:spacing w:val="-3"/>
        </w:rPr>
        <w:t>币</w:t>
      </w:r>
      <w:r>
        <w:rPr>
          <w:rFonts w:ascii="Times New Roman" w:hAnsi="Times New Roman" w:cs="Times New Roman" w:eastAsia="Times New Roman" w:hint="default"/>
          <w:spacing w:val="-3"/>
        </w:rPr>
        <w:t>25,000.00</w:t>
      </w:r>
      <w:r>
        <w:rPr>
          <w:spacing w:val="-3"/>
        </w:rPr>
        <w:t>万元对完美数联进行增资。本次交易前，完美数联注册资本为</w:t>
      </w:r>
      <w:r>
        <w:rPr>
          <w:rFonts w:ascii="Times New Roman" w:hAnsi="Times New Roman" w:cs="Times New Roman" w:eastAsia="Times New Roman" w:hint="default"/>
          <w:spacing w:val="-3"/>
        </w:rPr>
        <w:t>2,000.00</w:t>
      </w:r>
      <w:r>
        <w:rPr>
          <w:spacing w:val="-3"/>
        </w:rPr>
        <w:t>万元，新开普持有</w:t>
      </w:r>
      <w:r>
        <w:rPr>
          <w:rFonts w:ascii="Times New Roman" w:hAnsi="Times New Roman" w:cs="Times New Roman" w:eastAsia="Times New Roman" w:hint="default"/>
          <w:spacing w:val="-3"/>
        </w:rPr>
        <w:t>85.71%</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t>股权，天维恒瑞持有</w:t>
      </w:r>
      <w:r>
        <w:rPr>
          <w:rFonts w:ascii="Times New Roman" w:hAnsi="Times New Roman" w:cs="Times New Roman" w:eastAsia="Times New Roman" w:hint="default"/>
        </w:rPr>
        <w:t>14.29%</w:t>
      </w:r>
      <w:r>
        <w:rPr/>
        <w:t>股权。本次交易交割全部完成后，完美数联注册资本将增加至</w:t>
      </w:r>
      <w:r>
        <w:rPr>
          <w:rFonts w:ascii="Times New Roman" w:hAnsi="Times New Roman" w:cs="Times New Roman" w:eastAsia="Times New Roman" w:hint="default"/>
        </w:rPr>
        <w:t>2,857.00</w:t>
      </w:r>
      <w:r>
        <w:rPr/>
        <w:t>万元，</w:t>
      </w:r>
      <w:r>
        <w:rPr>
          <w:spacing w:val="-55"/>
        </w:rPr>
        <w:t> </w:t>
      </w:r>
      <w:r>
        <w:rPr/>
        <w:t>新开普持有</w:t>
      </w:r>
      <w:r>
        <w:rPr>
          <w:rFonts w:ascii="Times New Roman" w:hAnsi="Times New Roman" w:cs="Times New Roman" w:eastAsia="Times New Roman" w:hint="default"/>
        </w:rPr>
        <w:t>60.00%</w:t>
      </w:r>
      <w:r>
        <w:rPr/>
        <w:t>股权，天维恒瑞持有</w:t>
      </w:r>
      <w:r>
        <w:rPr>
          <w:rFonts w:ascii="Times New Roman" w:hAnsi="Times New Roman" w:cs="Times New Roman" w:eastAsia="Times New Roman" w:hint="default"/>
        </w:rPr>
        <w:t>10.00%</w:t>
      </w:r>
      <w:r>
        <w:rPr/>
        <w:t>股权，上海云鑫持有</w:t>
      </w:r>
      <w:r>
        <w:rPr>
          <w:rFonts w:ascii="Times New Roman" w:hAnsi="Times New Roman" w:cs="Times New Roman" w:eastAsia="Times New Roman" w:hint="default"/>
        </w:rPr>
        <w:t>30.00%</w:t>
      </w:r>
      <w:r>
        <w:rPr/>
        <w:t>股权。</w:t>
      </w:r>
    </w:p>
    <w:p>
      <w:pPr>
        <w:pStyle w:val="BodyText"/>
        <w:spacing w:line="240" w:lineRule="auto" w:before="26"/>
        <w:ind w:left="574" w:right="1113"/>
        <w:jc w:val="left"/>
      </w:pPr>
      <w:r>
        <w:rPr/>
        <w:t>（</w:t>
      </w:r>
      <w:r>
        <w:rPr>
          <w:rFonts w:ascii="Times New Roman" w:hAnsi="Times New Roman" w:cs="Times New Roman" w:eastAsia="Times New Roman" w:hint="default"/>
        </w:rPr>
        <w:t>3</w:t>
      </w:r>
      <w:r>
        <w:rPr/>
        <w:t>）公司收购控股子公司股权</w:t>
      </w:r>
    </w:p>
    <w:p>
      <w:pPr>
        <w:pStyle w:val="BodyText"/>
        <w:spacing w:line="393" w:lineRule="auto" w:before="177"/>
        <w:ind w:right="1021" w:firstLine="42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日，公司第四届董事会第十九次会议审议通过了《关于收购控股子公司股权暨关联交易 </w:t>
      </w:r>
      <w:r>
        <w:rPr>
          <w:spacing w:val="-3"/>
        </w:rPr>
        <w:t>的议案》，同意公司收购控股子公司福建新开普信息科技有限公司股东吴凤辉、王权汉、王爱娟、陈军方、</w:t>
      </w:r>
      <w:r>
        <w:rPr>
          <w:spacing w:val="-94"/>
        </w:rPr>
        <w:t> </w:t>
      </w:r>
      <w:r>
        <w:rPr>
          <w:spacing w:val="-94"/>
        </w:rPr>
      </w:r>
      <w:r>
        <w:rPr/>
        <w:t>叶泽泉持有的合计</w:t>
      </w:r>
      <w:r>
        <w:rPr>
          <w:rFonts w:ascii="Times New Roman" w:hAnsi="Times New Roman" w:cs="Times New Roman" w:eastAsia="Times New Roman" w:hint="default"/>
        </w:rPr>
        <w:t>39.00%</w:t>
      </w:r>
      <w:r>
        <w:rPr/>
        <w:t>的股权。本次交易完成后，公司将持有福建新开普</w:t>
      </w:r>
      <w:r>
        <w:rPr>
          <w:rFonts w:ascii="Times New Roman" w:hAnsi="Times New Roman" w:cs="Times New Roman" w:eastAsia="Times New Roman" w:hint="default"/>
        </w:rPr>
        <w:t>90.00%</w:t>
      </w:r>
      <w:r>
        <w:rPr/>
        <w:t>的股权，吴凤辉持有福 建新开普</w:t>
      </w:r>
      <w:r>
        <w:rPr>
          <w:rFonts w:ascii="Times New Roman" w:hAnsi="Times New Roman" w:cs="Times New Roman" w:eastAsia="Times New Roman" w:hint="default"/>
        </w:rPr>
        <w:t>10.00%</w:t>
      </w:r>
      <w:r>
        <w:rPr/>
        <w:t>的股权。</w:t>
      </w:r>
    </w:p>
    <w:p>
      <w:pPr>
        <w:pStyle w:val="BodyText"/>
        <w:spacing w:line="240" w:lineRule="auto" w:before="28"/>
        <w:ind w:left="574" w:right="1113"/>
        <w:jc w:val="left"/>
      </w:pPr>
      <w:r>
        <w:rPr/>
        <w:t>（</w:t>
      </w:r>
      <w:r>
        <w:rPr>
          <w:rFonts w:ascii="Times New Roman" w:hAnsi="Times New Roman" w:cs="Times New Roman" w:eastAsia="Times New Roman" w:hint="default"/>
        </w:rPr>
        <w:t>4</w:t>
      </w:r>
      <w:r>
        <w:rPr/>
        <w:t>）公司增资参股公司</w:t>
      </w:r>
    </w:p>
    <w:p>
      <w:pPr>
        <w:pStyle w:val="BodyText"/>
        <w:spacing w:line="391" w:lineRule="auto" w:before="177"/>
        <w:ind w:right="1127" w:firstLine="42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日，新开普电子股份有限公司与北京希嘉创智教育科技有限公司、北京希嘉创智科技有 </w:t>
      </w:r>
      <w:r>
        <w:rPr>
          <w:spacing w:val="-1"/>
        </w:rPr>
        <w:t>限公司、北京希嘉科技发展中心（有限合伙）汪浩及希嘉科技股东等十方签署《关于北京希嘉创智教育科</w:t>
      </w:r>
      <w:r>
        <w:rPr>
          <w:spacing w:val="-82"/>
        </w:rPr>
        <w:t> </w:t>
      </w:r>
      <w:r>
        <w:rPr>
          <w:spacing w:val="-82"/>
        </w:rPr>
      </w:r>
      <w:r>
        <w:rPr>
          <w:spacing w:val="-5"/>
        </w:rPr>
        <w:t>技有限公司之增资协议》。根据上述协议及相关补充协议约定，由于希嘉教育原股东未完成业绩承诺，</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spacing w:val="-1"/>
        </w:rPr>
        <w:t>年</w:t>
      </w:r>
      <w:r>
        <w:rPr>
          <w:rFonts w:ascii="Times New Roman" w:hAnsi="Times New Roman" w:cs="Times New Roman" w:eastAsia="Times New Roman" w:hint="default"/>
          <w:spacing w:val="-1"/>
        </w:rPr>
        <w:t>4</w:t>
      </w:r>
      <w:r>
        <w:rPr>
          <w:spacing w:val="-1"/>
        </w:rPr>
        <w:t>月，希嘉教育原股东将其持有的希嘉教育合计</w:t>
      </w:r>
      <w:r>
        <w:rPr>
          <w:rFonts w:ascii="Times New Roman" w:hAnsi="Times New Roman" w:cs="Times New Roman" w:eastAsia="Times New Roman" w:hint="default"/>
          <w:spacing w:val="-1"/>
        </w:rPr>
        <w:t>20.00%</w:t>
      </w:r>
      <w:r>
        <w:rPr>
          <w:spacing w:val="-1"/>
        </w:rPr>
        <w:t>的股权以</w:t>
      </w:r>
      <w:r>
        <w:rPr>
          <w:rFonts w:ascii="Times New Roman" w:hAnsi="Times New Roman" w:cs="Times New Roman" w:eastAsia="Times New Roman" w:hint="default"/>
          <w:spacing w:val="-1"/>
        </w:rPr>
        <w:t>0</w:t>
      </w:r>
      <w:r>
        <w:rPr>
          <w:spacing w:val="-1"/>
        </w:rPr>
        <w:t>元价格转让给公司，转让完成后公司持</w:t>
      </w:r>
      <w:r>
        <w:rPr>
          <w:spacing w:val="-103"/>
        </w:rPr>
        <w:t> </w:t>
      </w:r>
      <w:r>
        <w:rPr>
          <w:spacing w:val="-103"/>
        </w:rPr>
      </w:r>
      <w:r>
        <w:rPr/>
        <w:t>有希嘉教育</w:t>
      </w:r>
      <w:r>
        <w:rPr>
          <w:rFonts w:ascii="Times New Roman" w:hAnsi="Times New Roman" w:cs="Times New Roman" w:eastAsia="Times New Roman" w:hint="default"/>
        </w:rPr>
        <w:t>44%</w:t>
      </w:r>
      <w:r>
        <w:rPr/>
        <w:t>的股权。</w:t>
      </w:r>
    </w:p>
    <w:p>
      <w:pPr>
        <w:pStyle w:val="BodyText"/>
        <w:spacing w:line="240" w:lineRule="auto" w:before="30"/>
        <w:ind w:left="574" w:right="1113"/>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日，公司第四届董事会第二十四次会议和第四届监事会第二十二次会议分别审议通过了</w:t>
      </w:r>
    </w:p>
    <w:p>
      <w:pPr>
        <w:pStyle w:val="BodyText"/>
        <w:spacing w:line="386" w:lineRule="auto" w:before="177"/>
        <w:ind w:left="153" w:right="1128"/>
        <w:jc w:val="both"/>
      </w:pPr>
      <w:r>
        <w:rPr/>
        <w:t>《关于对参股子公司增资暨关联交易的议案》，公司以自有资金人民币</w:t>
      </w:r>
      <w:r>
        <w:rPr>
          <w:rFonts w:ascii="Times New Roman" w:hAnsi="Times New Roman" w:cs="Times New Roman" w:eastAsia="Times New Roman" w:hint="default"/>
        </w:rPr>
        <w:t>874.9997</w:t>
      </w:r>
      <w:r>
        <w:rPr/>
        <w:t>万元通过增资扩股的方式</w:t>
      </w:r>
      <w:r>
        <w:rPr>
          <w:spacing w:val="-83"/>
        </w:rPr>
        <w:t> </w:t>
      </w:r>
      <w:r>
        <w:rPr>
          <w:spacing w:val="-83"/>
        </w:rPr>
      </w:r>
      <w:r>
        <w:rPr/>
        <w:t>投资希嘉教育，认购希嘉教育基于完全摊薄基础上共计</w:t>
      </w:r>
      <w:r>
        <w:rPr>
          <w:rFonts w:ascii="Times New Roman" w:hAnsi="Times New Roman" w:cs="Times New Roman" w:eastAsia="Times New Roman" w:hint="default"/>
        </w:rPr>
        <w:t>12.5%</w:t>
      </w:r>
      <w:r>
        <w:rPr/>
        <w:t>的股权，增资完成后公司持股占希嘉教育增</w:t>
      </w:r>
      <w:r>
        <w:rPr>
          <w:spacing w:val="-55"/>
        </w:rPr>
        <w:t> </w:t>
      </w:r>
      <w:r>
        <w:rPr>
          <w:spacing w:val="-55"/>
        </w:rPr>
      </w:r>
      <w:r>
        <w:rPr/>
        <w:t>资后注册资本的</w:t>
      </w:r>
      <w:r>
        <w:rPr>
          <w:rFonts w:ascii="Times New Roman" w:hAnsi="Times New Roman" w:cs="Times New Roman" w:eastAsia="Times New Roman" w:hint="default"/>
        </w:rPr>
        <w:t>51%</w:t>
      </w:r>
      <w:r>
        <w:rPr/>
        <w:t>。</w:t>
      </w:r>
    </w:p>
    <w:p>
      <w:pPr>
        <w:pStyle w:val="BodyText"/>
        <w:spacing w:line="240" w:lineRule="auto" w:before="35"/>
        <w:ind w:left="573" w:right="1113"/>
        <w:jc w:val="left"/>
      </w:pPr>
      <w:r>
        <w:rPr/>
        <w:t>（</w:t>
      </w:r>
      <w:r>
        <w:rPr>
          <w:rFonts w:ascii="Times New Roman" w:hAnsi="Times New Roman" w:cs="Times New Roman" w:eastAsia="Times New Roman" w:hint="default"/>
        </w:rPr>
        <w:t>5</w:t>
      </w:r>
      <w:r>
        <w:rPr/>
        <w:t>）与其他关联方合作成立子公司</w:t>
      </w:r>
    </w:p>
    <w:p>
      <w:pPr>
        <w:pStyle w:val="BodyText"/>
        <w:spacing w:line="400" w:lineRule="auto" w:before="177"/>
        <w:ind w:right="1021" w:firstLine="42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日，公司第四届董事会第二十一次会议审议通过了《关于对外投资并设立控股子公司暨关 联交易的议案》，同意公司与上海沄玺企业管理合伙企业（有限合伙）及关联方上海序新企业管理合伙企 </w:t>
      </w:r>
      <w:r>
        <w:rPr>
          <w:spacing w:val="-3"/>
        </w:rPr>
        <w:t>业管理合伙企业（有限合伙）签署《投资合作协议》，共同投资并设立上海新开普志成信息科技有限公司，</w:t>
      </w:r>
      <w:r>
        <w:rPr>
          <w:spacing w:val="-94"/>
        </w:rPr>
        <w:t> </w:t>
      </w:r>
      <w:r>
        <w:rPr>
          <w:spacing w:val="-94"/>
        </w:rPr>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日取得了上海市杨浦区市场监督管理局核发的《营业执照》。</w:t>
      </w:r>
    </w:p>
    <w:p>
      <w:pPr>
        <w:spacing w:after="0" w:line="400" w:lineRule="auto"/>
        <w:jc w:val="left"/>
        <w:sectPr>
          <w:pgSz w:w="11910" w:h="16840"/>
          <w:pgMar w:header="877" w:footer="982" w:top="1100" w:bottom="118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113"/>
        <w:jc w:val="left"/>
        <w:rPr>
          <w:b w:val="0"/>
          <w:bCs w:val="0"/>
        </w:rPr>
      </w:pPr>
      <w:r>
        <w:rPr/>
        <w:t>十三、股份支付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8"/>
        <w:rPr>
          <w:rFonts w:ascii="宋体" w:hAnsi="宋体" w:cs="宋体" w:eastAsia="宋体" w:hint="default"/>
          <w:b/>
          <w:bCs/>
          <w:sz w:val="26"/>
          <w:szCs w:val="26"/>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111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8"/>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1113"/>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1113"/>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834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Heading3"/>
        <w:spacing w:line="240" w:lineRule="auto" w:before="83"/>
        <w:ind w:right="1113"/>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30"/>
          <w:szCs w:val="30"/>
        </w:rPr>
      </w:pPr>
    </w:p>
    <w:p>
      <w:pPr>
        <w:pStyle w:val="BodyText"/>
        <w:spacing w:line="386" w:lineRule="auto" w:before="0"/>
        <w:ind w:right="1113" w:firstLine="420"/>
        <w:jc w:val="left"/>
      </w:pPr>
      <w:r>
        <w:rPr>
          <w:rFonts w:ascii="Times New Roman" w:hAnsi="Times New Roman" w:cs="Times New Roman" w:eastAsia="Times New Roman" w:hint="default"/>
        </w:rPr>
        <w:t>1</w:t>
      </w: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日，本公司出具的票据保证金</w:t>
      </w:r>
      <w:r>
        <w:rPr>
          <w:rFonts w:ascii="Times New Roman" w:hAnsi="Times New Roman" w:cs="Times New Roman" w:eastAsia="Times New Roman" w:hint="default"/>
        </w:rPr>
        <w:t>20</w:t>
      </w:r>
      <w:r>
        <w:rPr/>
        <w:t>,</w:t>
      </w:r>
      <w:r>
        <w:rPr>
          <w:rFonts w:ascii="Times New Roman" w:hAnsi="Times New Roman" w:cs="Times New Roman" w:eastAsia="Times New Roman" w:hint="default"/>
        </w:rPr>
        <w:t>452</w:t>
      </w:r>
      <w:r>
        <w:rPr/>
        <w:t>,</w:t>
      </w:r>
      <w:r>
        <w:rPr>
          <w:rFonts w:ascii="Times New Roman" w:hAnsi="Times New Roman" w:cs="Times New Roman" w:eastAsia="Times New Roman" w:hint="default"/>
        </w:rPr>
        <w:t>521.84</w:t>
      </w:r>
      <w:r>
        <w:rPr/>
        <w:t>元、履约保证金</w:t>
      </w:r>
      <w:r>
        <w:rPr>
          <w:rFonts w:ascii="Times New Roman" w:hAnsi="Times New Roman" w:cs="Times New Roman" w:eastAsia="Times New Roman" w:hint="default"/>
        </w:rPr>
        <w:t>4</w:t>
      </w:r>
      <w:r>
        <w:rPr/>
        <w:t>,</w:t>
      </w:r>
      <w:r>
        <w:rPr>
          <w:rFonts w:ascii="Times New Roman" w:hAnsi="Times New Roman" w:cs="Times New Roman" w:eastAsia="Times New Roman" w:hint="default"/>
        </w:rPr>
        <w:t>925</w:t>
      </w:r>
      <w:r>
        <w:rPr/>
        <w:t>,</w:t>
      </w:r>
      <w:r>
        <w:rPr>
          <w:rFonts w:ascii="Times New Roman" w:hAnsi="Times New Roman" w:cs="Times New Roman" w:eastAsia="Times New Roman" w:hint="default"/>
        </w:rPr>
        <w:t>610.48</w:t>
      </w:r>
      <w:r>
        <w:rPr/>
        <w:t>元、</w:t>
      </w:r>
      <w:r>
        <w:rPr>
          <w:spacing w:val="1"/>
        </w:rPr>
        <w:t> </w:t>
      </w:r>
      <w:r>
        <w:rPr/>
        <w:t>保函保证金</w:t>
      </w:r>
      <w:r>
        <w:rPr>
          <w:rFonts w:ascii="Times New Roman" w:hAnsi="Times New Roman" w:cs="Times New Roman" w:eastAsia="Times New Roman" w:hint="default"/>
        </w:rPr>
        <w:t>6</w:t>
      </w:r>
      <w:r>
        <w:rPr/>
        <w:t>,</w:t>
      </w:r>
      <w:r>
        <w:rPr>
          <w:rFonts w:ascii="Times New Roman" w:hAnsi="Times New Roman" w:cs="Times New Roman" w:eastAsia="Times New Roman" w:hint="default"/>
        </w:rPr>
        <w:t>512</w:t>
      </w:r>
      <w:r>
        <w:rPr/>
        <w:t>,</w:t>
      </w:r>
      <w:r>
        <w:rPr>
          <w:rFonts w:ascii="Times New Roman" w:hAnsi="Times New Roman" w:cs="Times New Roman" w:eastAsia="Times New Roman" w:hint="default"/>
        </w:rPr>
        <w:t>501.72</w:t>
      </w:r>
      <w:r>
        <w:rPr/>
        <w:t>元。</w:t>
      </w:r>
    </w:p>
    <w:p>
      <w:pPr>
        <w:pStyle w:val="BodyText"/>
        <w:spacing w:line="240" w:lineRule="auto" w:before="35"/>
        <w:ind w:left="574" w:right="1113"/>
        <w:jc w:val="left"/>
      </w:pPr>
      <w:r>
        <w:rPr>
          <w:rFonts w:ascii="Times New Roman" w:hAnsi="Times New Roman" w:cs="Times New Roman" w:eastAsia="Times New Roman" w:hint="default"/>
        </w:rPr>
        <w:t>2</w:t>
      </w:r>
      <w:r>
        <w:rPr/>
        <w:t>、合并范围内，对外担保事项如下：</w:t>
      </w:r>
    </w:p>
    <w:p>
      <w:pPr>
        <w:spacing w:line="240" w:lineRule="auto" w:before="9"/>
        <w:rPr>
          <w:rFonts w:ascii="宋体" w:hAnsi="宋体" w:cs="宋体" w:eastAsia="宋体" w:hint="default"/>
          <w:sz w:val="8"/>
          <w:szCs w:val="8"/>
        </w:rPr>
      </w:pPr>
    </w:p>
    <w:tbl>
      <w:tblPr>
        <w:tblW w:w="0" w:type="auto"/>
        <w:jc w:val="left"/>
        <w:tblInd w:w="141" w:type="dxa"/>
        <w:tblLayout w:type="fixed"/>
        <w:tblCellMar>
          <w:top w:w="0" w:type="dxa"/>
          <w:left w:w="0" w:type="dxa"/>
          <w:bottom w:w="0" w:type="dxa"/>
          <w:right w:w="0" w:type="dxa"/>
        </w:tblCellMar>
        <w:tblLook w:val="01E0"/>
      </w:tblPr>
      <w:tblGrid>
        <w:gridCol w:w="2137"/>
        <w:gridCol w:w="1645"/>
        <w:gridCol w:w="1138"/>
        <w:gridCol w:w="1514"/>
        <w:gridCol w:w="1690"/>
        <w:gridCol w:w="1688"/>
      </w:tblGrid>
      <w:tr>
        <w:trPr>
          <w:trHeight w:val="649" w:hRule="exact"/>
        </w:trPr>
        <w:tc>
          <w:tcPr>
            <w:tcW w:w="2137"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05"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645"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138"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316" w:lineRule="auto" w:before="20"/>
              <w:ind w:left="385" w:right="25" w:hanging="360"/>
              <w:jc w:val="left"/>
              <w:rPr>
                <w:rFonts w:ascii="宋体" w:hAnsi="宋体" w:cs="宋体" w:eastAsia="宋体" w:hint="default"/>
                <w:sz w:val="18"/>
                <w:szCs w:val="18"/>
              </w:rPr>
            </w:pPr>
            <w:r>
              <w:rPr>
                <w:rFonts w:ascii="宋体" w:hAnsi="宋体" w:cs="宋体" w:eastAsia="宋体" w:hint="default"/>
                <w:sz w:val="18"/>
                <w:szCs w:val="18"/>
              </w:rPr>
              <w:t>担保金额（万 元）</w:t>
            </w:r>
          </w:p>
        </w:tc>
        <w:tc>
          <w:tcPr>
            <w:tcW w:w="1514"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690"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688"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316" w:lineRule="auto" w:before="20"/>
              <w:ind w:left="751" w:right="30"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r>
        <w:trPr>
          <w:trHeight w:val="649" w:hRule="exact"/>
        </w:trPr>
        <w:tc>
          <w:tcPr>
            <w:tcW w:w="2137"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20"/>
              <w:ind w:left="795" w:right="74" w:hanging="720"/>
              <w:jc w:val="left"/>
              <w:rPr>
                <w:rFonts w:ascii="宋体" w:hAnsi="宋体" w:cs="宋体" w:eastAsia="宋体" w:hint="default"/>
                <w:sz w:val="18"/>
                <w:szCs w:val="18"/>
              </w:rPr>
            </w:pPr>
            <w:r>
              <w:rPr>
                <w:rFonts w:ascii="宋体" w:hAnsi="宋体" w:cs="宋体" w:eastAsia="宋体" w:hint="default"/>
                <w:sz w:val="18"/>
                <w:szCs w:val="18"/>
              </w:rPr>
              <w:t>北京希嘉创智教育科技有 限公司</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20"/>
              <w:ind w:left="640" w:right="7" w:hanging="630"/>
              <w:jc w:val="left"/>
              <w:rPr>
                <w:rFonts w:ascii="宋体" w:hAnsi="宋体" w:cs="宋体" w:eastAsia="宋体" w:hint="default"/>
                <w:sz w:val="18"/>
                <w:szCs w:val="18"/>
              </w:rPr>
            </w:pPr>
            <w:r>
              <w:rPr>
                <w:rFonts w:ascii="宋体" w:hAnsi="宋体" w:cs="宋体" w:eastAsia="宋体" w:hint="default"/>
                <w:sz w:val="18"/>
                <w:szCs w:val="18"/>
              </w:rPr>
              <w:t>新开普电子股份有限 公司</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17"/>
              <w:jc w:val="right"/>
              <w:rPr>
                <w:rFonts w:ascii="Times New Roman" w:hAnsi="Times New Roman" w:cs="Times New Roman" w:eastAsia="Times New Roman" w:hint="default"/>
                <w:sz w:val="18"/>
                <w:szCs w:val="18"/>
              </w:rPr>
            </w:pPr>
            <w:r>
              <w:rPr>
                <w:rFonts w:ascii="Times New Roman"/>
                <w:sz w:val="18"/>
              </w:rPr>
              <w:t>800.00</w:t>
            </w:r>
          </w:p>
        </w:tc>
        <w:tc>
          <w:tcPr>
            <w:tcW w:w="15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2018-5-17</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2019-5-17</w:t>
            </w:r>
          </w:p>
        </w:tc>
        <w:tc>
          <w:tcPr>
            <w:tcW w:w="16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5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49" w:hRule="exact"/>
        </w:trPr>
        <w:tc>
          <w:tcPr>
            <w:tcW w:w="2137"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21"/>
              <w:ind w:left="975" w:right="74" w:hanging="900"/>
              <w:jc w:val="left"/>
              <w:rPr>
                <w:rFonts w:ascii="宋体" w:hAnsi="宋体" w:cs="宋体" w:eastAsia="宋体" w:hint="default"/>
                <w:sz w:val="18"/>
                <w:szCs w:val="18"/>
              </w:rPr>
            </w:pPr>
            <w:r>
              <w:rPr>
                <w:rFonts w:ascii="宋体" w:hAnsi="宋体" w:cs="宋体" w:eastAsia="宋体" w:hint="default"/>
                <w:sz w:val="18"/>
                <w:szCs w:val="18"/>
              </w:rPr>
              <w:t>上海树维信息科技有限公 司</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21"/>
              <w:ind w:left="640" w:right="7" w:hanging="630"/>
              <w:jc w:val="left"/>
              <w:rPr>
                <w:rFonts w:ascii="宋体" w:hAnsi="宋体" w:cs="宋体" w:eastAsia="宋体" w:hint="default"/>
                <w:sz w:val="18"/>
                <w:szCs w:val="18"/>
              </w:rPr>
            </w:pPr>
            <w:r>
              <w:rPr>
                <w:rFonts w:ascii="宋体" w:hAnsi="宋体" w:cs="宋体" w:eastAsia="宋体" w:hint="default"/>
                <w:sz w:val="18"/>
                <w:szCs w:val="18"/>
              </w:rPr>
              <w:t>新开普电子股份有限 公司</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17"/>
              <w:jc w:val="right"/>
              <w:rPr>
                <w:rFonts w:ascii="Times New Roman" w:hAnsi="Times New Roman" w:cs="Times New Roman" w:eastAsia="Times New Roman" w:hint="default"/>
                <w:sz w:val="18"/>
                <w:szCs w:val="18"/>
              </w:rPr>
            </w:pPr>
            <w:r>
              <w:rPr>
                <w:rFonts w:ascii="Times New Roman"/>
                <w:sz w:val="18"/>
              </w:rPr>
              <w:t>800.00</w:t>
            </w:r>
          </w:p>
        </w:tc>
        <w:tc>
          <w:tcPr>
            <w:tcW w:w="15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2018-8-14</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2019-8-13</w:t>
            </w:r>
          </w:p>
        </w:tc>
        <w:tc>
          <w:tcPr>
            <w:tcW w:w="16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5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49" w:hRule="exact"/>
        </w:trPr>
        <w:tc>
          <w:tcPr>
            <w:tcW w:w="2137"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21"/>
              <w:ind w:left="975" w:right="74" w:hanging="900"/>
              <w:jc w:val="left"/>
              <w:rPr>
                <w:rFonts w:ascii="宋体" w:hAnsi="宋体" w:cs="宋体" w:eastAsia="宋体" w:hint="default"/>
                <w:sz w:val="18"/>
                <w:szCs w:val="18"/>
              </w:rPr>
            </w:pPr>
            <w:r>
              <w:rPr>
                <w:rFonts w:ascii="宋体" w:hAnsi="宋体" w:cs="宋体" w:eastAsia="宋体" w:hint="default"/>
                <w:sz w:val="18"/>
                <w:szCs w:val="18"/>
              </w:rPr>
              <w:t>上海树维信息科技有限公 司</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21"/>
              <w:ind w:left="640" w:right="7" w:hanging="630"/>
              <w:jc w:val="left"/>
              <w:rPr>
                <w:rFonts w:ascii="宋体" w:hAnsi="宋体" w:cs="宋体" w:eastAsia="宋体" w:hint="default"/>
                <w:sz w:val="18"/>
                <w:szCs w:val="18"/>
              </w:rPr>
            </w:pPr>
            <w:r>
              <w:rPr>
                <w:rFonts w:ascii="宋体" w:hAnsi="宋体" w:cs="宋体" w:eastAsia="宋体" w:hint="default"/>
                <w:sz w:val="18"/>
                <w:szCs w:val="18"/>
              </w:rPr>
              <w:t>新开普电子股份有限 公司</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49"/>
              <w:jc w:val="right"/>
              <w:rPr>
                <w:rFonts w:ascii="Times New Roman" w:hAnsi="Times New Roman" w:cs="Times New Roman" w:eastAsia="Times New Roman" w:hint="default"/>
                <w:sz w:val="18"/>
                <w:szCs w:val="18"/>
              </w:rPr>
            </w:pPr>
            <w:r>
              <w:rPr>
                <w:rFonts w:ascii="Times New Roman"/>
                <w:sz w:val="18"/>
              </w:rPr>
              <w:t>1,000.00</w:t>
            </w:r>
          </w:p>
        </w:tc>
        <w:tc>
          <w:tcPr>
            <w:tcW w:w="15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2019-8-2</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2020-8-1</w:t>
            </w:r>
          </w:p>
        </w:tc>
        <w:tc>
          <w:tcPr>
            <w:tcW w:w="16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5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9"/>
          <w:szCs w:val="19"/>
        </w:rPr>
      </w:pPr>
    </w:p>
    <w:p>
      <w:pPr>
        <w:spacing w:line="568" w:lineRule="auto" w:before="35"/>
        <w:ind w:left="573" w:right="558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b/>
          <w:bCs/>
          <w:spacing w:val="1"/>
          <w:w w:val="99"/>
          <w:sz w:val="21"/>
          <w:szCs w:val="21"/>
        </w:rPr>
        <w:t> </w:t>
      </w:r>
      <w:r>
        <w:rPr>
          <w:rFonts w:ascii="宋体" w:hAnsi="宋体" w:cs="宋体" w:eastAsia="宋体" w:hint="default"/>
          <w:sz w:val="21"/>
          <w:szCs w:val="21"/>
        </w:rPr>
        <w:t>公司不存在需要披露的重要或有事项。</w:t>
      </w:r>
    </w:p>
    <w:p>
      <w:pPr>
        <w:spacing w:after="0" w:line="568" w:lineRule="auto"/>
        <w:jc w:val="left"/>
        <w:rPr>
          <w:rFonts w:ascii="宋体" w:hAnsi="宋体" w:cs="宋体" w:eastAsia="宋体" w:hint="default"/>
          <w:sz w:val="21"/>
          <w:szCs w:val="21"/>
        </w:rPr>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spacing w:line="487" w:lineRule="auto" w:before="35"/>
        <w:ind w:left="154" w:right="785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Heading3"/>
        <w:spacing w:line="240" w:lineRule="auto" w:before="83"/>
        <w:ind w:right="1113"/>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28,865,549.70</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28,865,549.70</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10"/>
        <w:rPr>
          <w:rFonts w:ascii="宋体" w:hAnsi="宋体" w:cs="宋体" w:eastAsia="宋体" w:hint="default"/>
          <w:b/>
          <w:bCs/>
          <w:sz w:val="25"/>
          <w:szCs w:val="25"/>
        </w:rPr>
      </w:pPr>
    </w:p>
    <w:tbl>
      <w:tblPr>
        <w:tblW w:w="0" w:type="auto"/>
        <w:jc w:val="left"/>
        <w:tblInd w:w="151" w:type="dxa"/>
        <w:tblLayout w:type="fixed"/>
        <w:tblCellMar>
          <w:top w:w="0" w:type="dxa"/>
          <w:left w:w="0" w:type="dxa"/>
          <w:bottom w:w="0" w:type="dxa"/>
          <w:right w:w="0" w:type="dxa"/>
        </w:tblCellMar>
        <w:tblLook w:val="01E0"/>
      </w:tblPr>
      <w:tblGrid>
        <w:gridCol w:w="2112"/>
        <w:gridCol w:w="1574"/>
        <w:gridCol w:w="991"/>
        <w:gridCol w:w="1126"/>
        <w:gridCol w:w="718"/>
        <w:gridCol w:w="709"/>
        <w:gridCol w:w="568"/>
        <w:gridCol w:w="1056"/>
        <w:gridCol w:w="631"/>
      </w:tblGrid>
      <w:tr>
        <w:trPr>
          <w:trHeight w:val="961" w:hRule="exact"/>
        </w:trPr>
        <w:tc>
          <w:tcPr>
            <w:tcW w:w="2112"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原告或申请人</w:t>
            </w:r>
          </w:p>
        </w:tc>
        <w:tc>
          <w:tcPr>
            <w:tcW w:w="1574"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被告或被申请人</w:t>
            </w:r>
          </w:p>
        </w:tc>
        <w:tc>
          <w:tcPr>
            <w:tcW w:w="991"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案由</w:t>
            </w:r>
          </w:p>
        </w:tc>
        <w:tc>
          <w:tcPr>
            <w:tcW w:w="1126"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316" w:lineRule="auto" w:before="20"/>
              <w:ind w:left="8" w:right="-19" w:firstLine="12"/>
              <w:jc w:val="left"/>
              <w:rPr>
                <w:rFonts w:ascii="宋体" w:hAnsi="宋体" w:cs="宋体" w:eastAsia="宋体" w:hint="default"/>
                <w:sz w:val="18"/>
                <w:szCs w:val="18"/>
              </w:rPr>
            </w:pPr>
            <w:r>
              <w:rPr>
                <w:rFonts w:ascii="宋体" w:hAnsi="宋体" w:cs="宋体" w:eastAsia="宋体" w:hint="default"/>
                <w:sz w:val="18"/>
                <w:szCs w:val="18"/>
              </w:rPr>
              <w:t>标的金额（含 违约金</w:t>
            </w:r>
            <w:r>
              <w:rPr>
                <w:rFonts w:ascii="Times New Roman" w:hAnsi="Times New Roman" w:cs="Times New Roman" w:eastAsia="Times New Roman" w:hint="default"/>
                <w:sz w:val="18"/>
                <w:szCs w:val="18"/>
              </w:rPr>
              <w:t>/</w:t>
            </w:r>
            <w:r>
              <w:rPr>
                <w:rFonts w:ascii="宋体" w:hAnsi="宋体" w:cs="宋体" w:eastAsia="宋体" w:hint="default"/>
                <w:sz w:val="18"/>
                <w:szCs w:val="18"/>
              </w:rPr>
              <w:t>利息）</w:t>
            </w:r>
          </w:p>
          <w:p>
            <w:pPr>
              <w:pStyle w:val="TableParagraph"/>
              <w:spacing w:line="235" w:lineRule="exact"/>
              <w:ind w:left="20" w:right="0"/>
              <w:jc w:val="left"/>
              <w:rPr>
                <w:rFonts w:ascii="宋体" w:hAnsi="宋体" w:cs="宋体" w:eastAsia="宋体" w:hint="default"/>
                <w:sz w:val="18"/>
                <w:szCs w:val="18"/>
              </w:rPr>
            </w:pPr>
            <w:r>
              <w:rPr>
                <w:rFonts w:ascii="宋体" w:hAnsi="宋体" w:cs="宋体" w:eastAsia="宋体" w:hint="default"/>
                <w:sz w:val="18"/>
                <w:szCs w:val="18"/>
              </w:rPr>
              <w:t>（单位：元）</w:t>
            </w:r>
          </w:p>
        </w:tc>
        <w:tc>
          <w:tcPr>
            <w:tcW w:w="718"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316" w:lineRule="auto"/>
              <w:ind w:left="266" w:right="84" w:hanging="180"/>
              <w:jc w:val="left"/>
              <w:rPr>
                <w:rFonts w:ascii="宋体" w:hAnsi="宋体" w:cs="宋体" w:eastAsia="宋体" w:hint="default"/>
                <w:sz w:val="18"/>
                <w:szCs w:val="18"/>
              </w:rPr>
            </w:pPr>
            <w:r>
              <w:rPr>
                <w:rFonts w:ascii="宋体" w:hAnsi="宋体" w:cs="宋体" w:eastAsia="宋体" w:hint="default"/>
                <w:sz w:val="18"/>
                <w:szCs w:val="18"/>
              </w:rPr>
              <w:t>是否立 案</w:t>
            </w:r>
          </w:p>
        </w:tc>
        <w:tc>
          <w:tcPr>
            <w:tcW w:w="709"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316" w:lineRule="auto"/>
              <w:ind w:left="262" w:right="79" w:hanging="180"/>
              <w:jc w:val="left"/>
              <w:rPr>
                <w:rFonts w:ascii="宋体" w:hAnsi="宋体" w:cs="宋体" w:eastAsia="宋体" w:hint="default"/>
                <w:sz w:val="18"/>
                <w:szCs w:val="18"/>
              </w:rPr>
            </w:pPr>
            <w:r>
              <w:rPr>
                <w:rFonts w:ascii="宋体" w:hAnsi="宋体" w:cs="宋体" w:eastAsia="宋体" w:hint="default"/>
                <w:sz w:val="18"/>
                <w:szCs w:val="18"/>
              </w:rPr>
              <w:t>立案时 间</w:t>
            </w:r>
          </w:p>
        </w:tc>
        <w:tc>
          <w:tcPr>
            <w:tcW w:w="568"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316" w:lineRule="auto"/>
              <w:ind w:left="190" w:right="11" w:hanging="180"/>
              <w:jc w:val="left"/>
              <w:rPr>
                <w:rFonts w:ascii="宋体" w:hAnsi="宋体" w:cs="宋体" w:eastAsia="宋体" w:hint="default"/>
                <w:sz w:val="18"/>
                <w:szCs w:val="18"/>
              </w:rPr>
            </w:pPr>
            <w:r>
              <w:rPr>
                <w:rFonts w:ascii="宋体" w:hAnsi="宋体" w:cs="宋体" w:eastAsia="宋体" w:hint="default"/>
                <w:sz w:val="18"/>
                <w:szCs w:val="18"/>
              </w:rPr>
              <w:t>保全措 施</w:t>
            </w:r>
          </w:p>
        </w:tc>
        <w:tc>
          <w:tcPr>
            <w:tcW w:w="1056"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审判法院</w:t>
            </w:r>
          </w:p>
        </w:tc>
        <w:tc>
          <w:tcPr>
            <w:tcW w:w="631" w:type="dxa"/>
            <w:tcBorders>
              <w:top w:val="single" w:sz="2" w:space="0" w:color="000000"/>
              <w:left w:val="single" w:sz="2" w:space="0" w:color="000000"/>
              <w:bottom w:val="single" w:sz="2" w:space="0" w:color="000000"/>
              <w:right w:val="single" w:sz="2" w:space="0" w:color="000000"/>
            </w:tcBorders>
            <w:shd w:val="clear" w:color="auto" w:fill="BFBFBF"/>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316" w:lineRule="auto"/>
              <w:ind w:left="223" w:right="41" w:hanging="180"/>
              <w:jc w:val="left"/>
              <w:rPr>
                <w:rFonts w:ascii="宋体" w:hAnsi="宋体" w:cs="宋体" w:eastAsia="宋体" w:hint="default"/>
                <w:sz w:val="18"/>
                <w:szCs w:val="18"/>
              </w:rPr>
            </w:pPr>
            <w:r>
              <w:rPr>
                <w:rFonts w:ascii="宋体" w:hAnsi="宋体" w:cs="宋体" w:eastAsia="宋体" w:hint="default"/>
                <w:sz w:val="18"/>
                <w:szCs w:val="18"/>
              </w:rPr>
              <w:t>是否结 案</w:t>
            </w:r>
          </w:p>
        </w:tc>
      </w:tr>
      <w:tr>
        <w:trPr>
          <w:trHeight w:val="961" w:hRule="exact"/>
        </w:trPr>
        <w:tc>
          <w:tcPr>
            <w:tcW w:w="21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新开普电子股份有限公司</w:t>
            </w:r>
          </w:p>
        </w:tc>
        <w:tc>
          <w:tcPr>
            <w:tcW w:w="15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316" w:lineRule="auto"/>
              <w:ind w:left="513" w:right="65" w:hanging="450"/>
              <w:jc w:val="left"/>
              <w:rPr>
                <w:rFonts w:ascii="宋体" w:hAnsi="宋体" w:cs="宋体" w:eastAsia="宋体" w:hint="default"/>
                <w:sz w:val="18"/>
                <w:szCs w:val="18"/>
              </w:rPr>
            </w:pPr>
            <w:r>
              <w:rPr>
                <w:rFonts w:ascii="宋体" w:hAnsi="宋体" w:cs="宋体" w:eastAsia="宋体" w:hint="default"/>
                <w:sz w:val="18"/>
                <w:szCs w:val="18"/>
              </w:rPr>
              <w:t>河南开远计算机有 限公司</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合同纠纷</w:t>
            </w:r>
          </w:p>
        </w:tc>
        <w:tc>
          <w:tcPr>
            <w:tcW w:w="1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left="2" w:right="0"/>
              <w:jc w:val="center"/>
              <w:rPr>
                <w:rFonts w:ascii="Times New Roman" w:hAnsi="Times New Roman" w:cs="Times New Roman" w:eastAsia="Times New Roman" w:hint="default"/>
                <w:sz w:val="18"/>
                <w:szCs w:val="18"/>
              </w:rPr>
            </w:pPr>
            <w:r>
              <w:rPr>
                <w:rFonts w:ascii="Times New Roman"/>
                <w:sz w:val="18"/>
              </w:rPr>
              <w:t>938,445.39</w:t>
            </w:r>
          </w:p>
        </w:tc>
        <w:tc>
          <w:tcPr>
            <w:tcW w:w="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2020.01.</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19</w:t>
            </w:r>
          </w:p>
        </w:tc>
        <w:tc>
          <w:tcPr>
            <w:tcW w:w="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6"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20"/>
              <w:ind w:left="75" w:right="73"/>
              <w:jc w:val="both"/>
              <w:rPr>
                <w:rFonts w:ascii="宋体" w:hAnsi="宋体" w:cs="宋体" w:eastAsia="宋体" w:hint="default"/>
                <w:sz w:val="18"/>
                <w:szCs w:val="18"/>
              </w:rPr>
            </w:pPr>
            <w:r>
              <w:rPr>
                <w:rFonts w:ascii="宋体" w:hAnsi="宋体" w:cs="宋体" w:eastAsia="宋体" w:hint="default"/>
                <w:sz w:val="18"/>
                <w:szCs w:val="18"/>
              </w:rPr>
              <w:t>郑州高新技 术产业开发 区人民法院</w:t>
            </w:r>
          </w:p>
        </w:tc>
        <w:tc>
          <w:tcPr>
            <w:tcW w:w="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61" w:hRule="exact"/>
        </w:trPr>
        <w:tc>
          <w:tcPr>
            <w:tcW w:w="21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新开普电子股份有限公司</w:t>
            </w:r>
          </w:p>
        </w:tc>
        <w:tc>
          <w:tcPr>
            <w:tcW w:w="15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316" w:lineRule="auto"/>
              <w:ind w:left="423" w:right="65" w:hanging="360"/>
              <w:jc w:val="left"/>
              <w:rPr>
                <w:rFonts w:ascii="宋体" w:hAnsi="宋体" w:cs="宋体" w:eastAsia="宋体" w:hint="default"/>
                <w:sz w:val="18"/>
                <w:szCs w:val="18"/>
              </w:rPr>
            </w:pPr>
            <w:r>
              <w:rPr>
                <w:rFonts w:ascii="宋体" w:hAnsi="宋体" w:cs="宋体" w:eastAsia="宋体" w:hint="default"/>
                <w:sz w:val="18"/>
                <w:szCs w:val="18"/>
              </w:rPr>
              <w:t>湖南雷华信息技术 有限公司</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合同纠纷</w:t>
            </w:r>
          </w:p>
        </w:tc>
        <w:tc>
          <w:tcPr>
            <w:tcW w:w="1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left="2" w:right="0"/>
              <w:jc w:val="center"/>
              <w:rPr>
                <w:rFonts w:ascii="Times New Roman" w:hAnsi="Times New Roman" w:cs="Times New Roman" w:eastAsia="Times New Roman" w:hint="default"/>
                <w:sz w:val="18"/>
                <w:szCs w:val="18"/>
              </w:rPr>
            </w:pPr>
            <w:r>
              <w:rPr>
                <w:rFonts w:ascii="Times New Roman"/>
                <w:sz w:val="18"/>
              </w:rPr>
              <w:t>364,256.90</w:t>
            </w:r>
          </w:p>
        </w:tc>
        <w:tc>
          <w:tcPr>
            <w:tcW w:w="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2020.01.</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19</w:t>
            </w:r>
          </w:p>
        </w:tc>
        <w:tc>
          <w:tcPr>
            <w:tcW w:w="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6"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20"/>
              <w:ind w:left="75" w:right="73"/>
              <w:jc w:val="both"/>
              <w:rPr>
                <w:rFonts w:ascii="宋体" w:hAnsi="宋体" w:cs="宋体" w:eastAsia="宋体" w:hint="default"/>
                <w:sz w:val="18"/>
                <w:szCs w:val="18"/>
              </w:rPr>
            </w:pPr>
            <w:r>
              <w:rPr>
                <w:rFonts w:ascii="宋体" w:hAnsi="宋体" w:cs="宋体" w:eastAsia="宋体" w:hint="default"/>
                <w:sz w:val="18"/>
                <w:szCs w:val="18"/>
              </w:rPr>
              <w:t>郑州高新技 术产业开发 区人民法院</w:t>
            </w:r>
          </w:p>
        </w:tc>
        <w:tc>
          <w:tcPr>
            <w:tcW w:w="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60" w:hRule="exact"/>
        </w:trPr>
        <w:tc>
          <w:tcPr>
            <w:tcW w:w="21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新开普电子股份有限公司</w:t>
            </w:r>
          </w:p>
        </w:tc>
        <w:tc>
          <w:tcPr>
            <w:tcW w:w="15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316" w:lineRule="auto"/>
              <w:ind w:left="513" w:right="65" w:hanging="450"/>
              <w:jc w:val="left"/>
              <w:rPr>
                <w:rFonts w:ascii="宋体" w:hAnsi="宋体" w:cs="宋体" w:eastAsia="宋体" w:hint="default"/>
                <w:sz w:val="18"/>
                <w:szCs w:val="18"/>
              </w:rPr>
            </w:pPr>
            <w:r>
              <w:rPr>
                <w:rFonts w:ascii="宋体" w:hAnsi="宋体" w:cs="宋体" w:eastAsia="宋体" w:hint="default"/>
                <w:sz w:val="18"/>
                <w:szCs w:val="18"/>
              </w:rPr>
              <w:t>安徽星凯龙客车有 限公司</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合同纠纷</w:t>
            </w:r>
          </w:p>
        </w:tc>
        <w:tc>
          <w:tcPr>
            <w:tcW w:w="1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left="2" w:right="0"/>
              <w:jc w:val="center"/>
              <w:rPr>
                <w:rFonts w:ascii="Times New Roman" w:hAnsi="Times New Roman" w:cs="Times New Roman" w:eastAsia="Times New Roman" w:hint="default"/>
                <w:sz w:val="18"/>
                <w:szCs w:val="18"/>
              </w:rPr>
            </w:pPr>
            <w:r>
              <w:rPr>
                <w:rFonts w:ascii="Times New Roman"/>
                <w:sz w:val="18"/>
              </w:rPr>
              <w:t>941,804.00</w:t>
            </w:r>
          </w:p>
        </w:tc>
        <w:tc>
          <w:tcPr>
            <w:tcW w:w="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2020.01.</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19</w:t>
            </w:r>
          </w:p>
        </w:tc>
        <w:tc>
          <w:tcPr>
            <w:tcW w:w="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6"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20"/>
              <w:ind w:left="75" w:right="73"/>
              <w:jc w:val="both"/>
              <w:rPr>
                <w:rFonts w:ascii="宋体" w:hAnsi="宋体" w:cs="宋体" w:eastAsia="宋体" w:hint="default"/>
                <w:sz w:val="18"/>
                <w:szCs w:val="18"/>
              </w:rPr>
            </w:pPr>
            <w:r>
              <w:rPr>
                <w:rFonts w:ascii="宋体" w:hAnsi="宋体" w:cs="宋体" w:eastAsia="宋体" w:hint="default"/>
                <w:sz w:val="18"/>
                <w:szCs w:val="18"/>
              </w:rPr>
              <w:t>郑州高新技 术产业开发 区人民法院</w:t>
            </w:r>
          </w:p>
        </w:tc>
        <w:tc>
          <w:tcPr>
            <w:tcW w:w="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61" w:hRule="exact"/>
        </w:trPr>
        <w:tc>
          <w:tcPr>
            <w:tcW w:w="21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新开普电子股份有限公司</w:t>
            </w:r>
          </w:p>
        </w:tc>
        <w:tc>
          <w:tcPr>
            <w:tcW w:w="15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316" w:lineRule="auto"/>
              <w:ind w:left="333" w:right="65" w:hanging="270"/>
              <w:jc w:val="left"/>
              <w:rPr>
                <w:rFonts w:ascii="宋体" w:hAnsi="宋体" w:cs="宋体" w:eastAsia="宋体" w:hint="default"/>
                <w:sz w:val="18"/>
                <w:szCs w:val="18"/>
              </w:rPr>
            </w:pPr>
            <w:r>
              <w:rPr>
                <w:rFonts w:ascii="宋体" w:hAnsi="宋体" w:cs="宋体" w:eastAsia="宋体" w:hint="default"/>
                <w:sz w:val="18"/>
                <w:szCs w:val="18"/>
              </w:rPr>
              <w:t>河南省龙沃网络科 技有限公司</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追偿权纠纷</w:t>
            </w:r>
          </w:p>
        </w:tc>
        <w:tc>
          <w:tcPr>
            <w:tcW w:w="1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2" w:right="0"/>
              <w:jc w:val="center"/>
              <w:rPr>
                <w:rFonts w:ascii="Times New Roman" w:hAnsi="Times New Roman" w:cs="Times New Roman" w:eastAsia="Times New Roman" w:hint="default"/>
                <w:sz w:val="18"/>
                <w:szCs w:val="18"/>
              </w:rPr>
            </w:pPr>
            <w:r>
              <w:rPr>
                <w:rFonts w:ascii="Times New Roman"/>
                <w:sz w:val="18"/>
              </w:rPr>
              <w:t>513,472.92</w:t>
            </w:r>
          </w:p>
        </w:tc>
        <w:tc>
          <w:tcPr>
            <w:tcW w:w="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2020.03.</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22</w:t>
            </w:r>
          </w:p>
        </w:tc>
        <w:tc>
          <w:tcPr>
            <w:tcW w:w="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6"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21"/>
              <w:ind w:left="75" w:right="73"/>
              <w:jc w:val="both"/>
              <w:rPr>
                <w:rFonts w:ascii="宋体" w:hAnsi="宋体" w:cs="宋体" w:eastAsia="宋体" w:hint="default"/>
                <w:sz w:val="18"/>
                <w:szCs w:val="18"/>
              </w:rPr>
            </w:pPr>
            <w:r>
              <w:rPr>
                <w:rFonts w:ascii="宋体" w:hAnsi="宋体" w:cs="宋体" w:eastAsia="宋体" w:hint="default"/>
                <w:sz w:val="18"/>
                <w:szCs w:val="18"/>
              </w:rPr>
              <w:t>郑州高新技 术产业开发 区人民法院</w:t>
            </w:r>
          </w:p>
        </w:tc>
        <w:tc>
          <w:tcPr>
            <w:tcW w:w="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0"/>
        </w:sectPr>
      </w:pPr>
    </w:p>
    <w:p>
      <w:pPr>
        <w:spacing w:line="240" w:lineRule="auto" w:before="9"/>
        <w:rPr>
          <w:rFonts w:ascii="宋体" w:hAnsi="宋体" w:cs="宋体" w:eastAsia="宋体" w:hint="default"/>
          <w:b/>
          <w:bCs/>
          <w:sz w:val="19"/>
          <w:szCs w:val="19"/>
        </w:rPr>
      </w:pPr>
    </w:p>
    <w:p>
      <w:pPr>
        <w:pStyle w:val="Heading2"/>
        <w:spacing w:line="240" w:lineRule="auto" w:before="26"/>
        <w:ind w:right="1113"/>
        <w:jc w:val="left"/>
        <w:rPr>
          <w:b w:val="0"/>
          <w:bCs w:val="0"/>
        </w:rPr>
      </w:pP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30"/>
          <w:szCs w:val="30"/>
        </w:rPr>
      </w:pPr>
    </w:p>
    <w:p>
      <w:pPr>
        <w:pStyle w:val="BodyText"/>
        <w:spacing w:line="386" w:lineRule="auto" w:before="0"/>
        <w:ind w:right="1129" w:firstLine="420"/>
        <w:jc w:val="both"/>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日，杨维国直接持有公司股份</w:t>
      </w:r>
      <w:r>
        <w:rPr>
          <w:rFonts w:ascii="Times New Roman" w:hAnsi="Times New Roman" w:cs="Times New Roman" w:eastAsia="Times New Roman" w:hint="default"/>
        </w:rPr>
        <w:t>78,079,108.00</w:t>
      </w:r>
      <w:r>
        <w:rPr/>
        <w:t>股，占公司总股本的</w:t>
      </w:r>
      <w:r>
        <w:rPr>
          <w:rFonts w:ascii="Times New Roman" w:hAnsi="Times New Roman" w:cs="Times New Roman" w:eastAsia="Times New Roman" w:hint="default"/>
        </w:rPr>
        <w:t>16.23%</w:t>
      </w:r>
      <w:r>
        <w:rPr/>
        <w:t>，通过郑州 </w:t>
      </w:r>
      <w:r>
        <w:rPr>
          <w:spacing w:val="-1"/>
        </w:rPr>
        <w:t>佳辰企业管理咨询中心（有限合伙）间接持有公司股份</w:t>
      </w:r>
      <w:r>
        <w:rPr>
          <w:rFonts w:ascii="Times New Roman" w:hAnsi="Times New Roman" w:cs="Times New Roman" w:eastAsia="Times New Roman" w:hint="default"/>
          <w:spacing w:val="-1"/>
        </w:rPr>
        <w:t>332,682.00</w:t>
      </w:r>
      <w:r>
        <w:rPr>
          <w:spacing w:val="-1"/>
        </w:rPr>
        <w:t>股，占公司总股本的</w:t>
      </w:r>
      <w:r>
        <w:rPr>
          <w:rFonts w:ascii="Times New Roman" w:hAnsi="Times New Roman" w:cs="Times New Roman" w:eastAsia="Times New Roman" w:hint="default"/>
          <w:spacing w:val="-1"/>
        </w:rPr>
        <w:t>0.0692%</w:t>
      </w:r>
      <w:r>
        <w:rPr>
          <w:spacing w:val="-1"/>
        </w:rPr>
        <w:t>，合计持有</w:t>
      </w:r>
      <w:r>
        <w:rPr>
          <w:spacing w:val="-99"/>
        </w:rPr>
        <w:t> </w:t>
      </w:r>
      <w:r>
        <w:rPr>
          <w:spacing w:val="-99"/>
        </w:rPr>
      </w:r>
      <w:r>
        <w:rPr>
          <w:spacing w:val="-2"/>
        </w:rPr>
        <w:t>公司股份</w:t>
      </w:r>
      <w:r>
        <w:rPr>
          <w:rFonts w:ascii="Times New Roman" w:hAnsi="Times New Roman" w:cs="Times New Roman" w:eastAsia="Times New Roman" w:hint="default"/>
          <w:spacing w:val="-2"/>
        </w:rPr>
        <w:t>78,411,790.00</w:t>
      </w:r>
      <w:r>
        <w:rPr>
          <w:spacing w:val="-2"/>
        </w:rPr>
        <w:t>股，占公司总股本的</w:t>
      </w:r>
      <w:r>
        <w:rPr>
          <w:rFonts w:ascii="Times New Roman" w:hAnsi="Times New Roman" w:cs="Times New Roman" w:eastAsia="Times New Roman" w:hint="default"/>
          <w:spacing w:val="-2"/>
        </w:rPr>
        <w:t>16.2987%</w:t>
      </w:r>
      <w:r>
        <w:rPr>
          <w:spacing w:val="-2"/>
        </w:rPr>
        <w:t>，累计质押股份数为</w:t>
      </w:r>
      <w:r>
        <w:rPr>
          <w:rFonts w:ascii="Times New Roman" w:hAnsi="Times New Roman" w:cs="Times New Roman" w:eastAsia="Times New Roman" w:hint="default"/>
          <w:spacing w:val="-2"/>
        </w:rPr>
        <w:t>45,600,000</w:t>
      </w:r>
      <w:r>
        <w:rPr>
          <w:spacing w:val="-2"/>
        </w:rPr>
        <w:t>股，占其直接持有公司</w:t>
      </w:r>
      <w:r>
        <w:rPr>
          <w:spacing w:val="-86"/>
        </w:rPr>
        <w:t> </w:t>
      </w:r>
      <w:r>
        <w:rPr>
          <w:spacing w:val="-86"/>
        </w:rPr>
      </w:r>
      <w:r>
        <w:rPr/>
        <w:t>股份总数的比例为</w:t>
      </w:r>
      <w:r>
        <w:rPr>
          <w:rFonts w:ascii="Times New Roman" w:hAnsi="Times New Roman" w:cs="Times New Roman" w:eastAsia="Times New Roman" w:hint="default"/>
        </w:rPr>
        <w:t>58.40%</w:t>
      </w:r>
      <w:r>
        <w:rPr/>
        <w:t>，占公司总股本的比例为</w:t>
      </w:r>
      <w:r>
        <w:rPr>
          <w:rFonts w:ascii="Times New Roman" w:hAnsi="Times New Roman" w:cs="Times New Roman" w:eastAsia="Times New Roman" w:hint="default"/>
        </w:rPr>
        <w:t>9.48%</w:t>
      </w:r>
      <w:r>
        <w:rPr/>
        <w:t>。</w:t>
      </w:r>
    </w:p>
    <w:p>
      <w:pPr>
        <w:spacing w:after="0" w:line="386" w:lineRule="auto"/>
        <w:jc w:val="both"/>
        <w:sectPr>
          <w:pgSz w:w="11910" w:h="16840"/>
          <w:pgMar w:header="877" w:footer="982" w:top="1100" w:bottom="118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113"/>
        <w:jc w:val="left"/>
        <w:rPr>
          <w:b w:val="0"/>
          <w:bCs w:val="0"/>
        </w:rPr>
      </w:pP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6"/>
        <w:gridCol w:w="762"/>
        <w:gridCol w:w="762"/>
        <w:gridCol w:w="762"/>
        <w:gridCol w:w="763"/>
        <w:gridCol w:w="790"/>
        <w:gridCol w:w="775"/>
        <w:gridCol w:w="798"/>
        <w:gridCol w:w="798"/>
        <w:gridCol w:w="790"/>
        <w:gridCol w:w="932"/>
      </w:tblGrid>
      <w:tr>
        <w:trPr>
          <w:trHeight w:val="402" w:hRule="exact"/>
        </w:trPr>
        <w:tc>
          <w:tcPr>
            <w:tcW w:w="16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6" w:type="dxa"/>
            <w:vMerge/>
            <w:tcBorders>
              <w:left w:val="single" w:sz="4" w:space="0" w:color="000000"/>
              <w:right w:val="single" w:sz="4" w:space="0" w:color="000000"/>
            </w:tcBorders>
            <w:shd w:val="clear" w:color="auto" w:fill="D3D3D3"/>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6" w:type="dxa"/>
            <w:vMerge/>
            <w:tcBorders>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6"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6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4" w:hRule="exact"/>
        </w:trPr>
        <w:tc>
          <w:tcPr>
            <w:tcW w:w="16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390,073,</w:t>
            </w:r>
          </w:p>
          <w:p>
            <w:pPr>
              <w:pStyle w:val="TableParagraph"/>
              <w:spacing w:line="240" w:lineRule="auto" w:before="105"/>
              <w:ind w:left="213" w:right="0"/>
              <w:jc w:val="center"/>
              <w:rPr>
                <w:rFonts w:ascii="Times New Roman" w:hAnsi="Times New Roman" w:cs="Times New Roman" w:eastAsia="Times New Roman" w:hint="default"/>
                <w:sz w:val="18"/>
                <w:szCs w:val="18"/>
              </w:rPr>
            </w:pPr>
            <w:r>
              <w:rPr>
                <w:rFonts w:ascii="Times New Roman"/>
                <w:sz w:val="18"/>
              </w:rPr>
              <w:t>657.94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72,196,5</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56.45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18.51%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317,877,1</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01.49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367,834,5</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61.23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59,399,36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1.98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308,435,19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9.25</w:t>
            </w:r>
          </w:p>
        </w:tc>
      </w:tr>
      <w:tr>
        <w:trPr>
          <w:trHeight w:val="402" w:hRule="exact"/>
        </w:trPr>
        <w:tc>
          <w:tcPr>
            <w:tcW w:w="16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026" w:hRule="exact"/>
        </w:trPr>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390,073,</w:t>
            </w:r>
          </w:p>
          <w:p>
            <w:pPr>
              <w:pStyle w:val="TableParagraph"/>
              <w:spacing w:line="240" w:lineRule="auto" w:before="105"/>
              <w:ind w:left="213" w:right="0"/>
              <w:jc w:val="center"/>
              <w:rPr>
                <w:rFonts w:ascii="Times New Roman" w:hAnsi="Times New Roman" w:cs="Times New Roman" w:eastAsia="Times New Roman" w:hint="default"/>
                <w:sz w:val="18"/>
                <w:szCs w:val="18"/>
              </w:rPr>
            </w:pPr>
            <w:r>
              <w:rPr>
                <w:rFonts w:ascii="Times New Roman"/>
                <w:sz w:val="18"/>
              </w:rPr>
              <w:t>657.94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72,196,5</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56.45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18.51%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317,877,1</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01.49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367,834,5</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61.23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59,399,36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1.98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308,435,19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9.25</w:t>
            </w:r>
          </w:p>
        </w:tc>
      </w:tr>
      <w:tr>
        <w:trPr>
          <w:trHeight w:val="714" w:hRule="exact"/>
        </w:trPr>
        <w:tc>
          <w:tcPr>
            <w:tcW w:w="16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390,073,</w:t>
            </w:r>
          </w:p>
          <w:p>
            <w:pPr>
              <w:pStyle w:val="TableParagraph"/>
              <w:spacing w:line="240" w:lineRule="auto" w:before="105"/>
              <w:ind w:left="213" w:right="0"/>
              <w:jc w:val="center"/>
              <w:rPr>
                <w:rFonts w:ascii="Times New Roman" w:hAnsi="Times New Roman" w:cs="Times New Roman" w:eastAsia="Times New Roman" w:hint="default"/>
                <w:sz w:val="18"/>
                <w:szCs w:val="18"/>
              </w:rPr>
            </w:pPr>
            <w:r>
              <w:rPr>
                <w:rFonts w:ascii="Times New Roman"/>
                <w:sz w:val="18"/>
              </w:rPr>
              <w:t>657.94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72,196,5</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56.45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18.51%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317,877,1</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01.49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367,834,5</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61.23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59,399,36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1.98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308,435,19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9.25</w:t>
            </w: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如是按照预期信用损失一般模型计提应收账款坏账准备，请参照其他应收款的披露方式披露坏账准备的相关信息：</w:t>
      </w:r>
    </w:p>
    <w:p>
      <w:pPr>
        <w:spacing w:line="240" w:lineRule="auto" w:before="12"/>
        <w:rPr>
          <w:rFonts w:ascii="宋体" w:hAnsi="宋体" w:cs="宋体" w:eastAsia="宋体" w:hint="default"/>
          <w:sz w:val="20"/>
          <w:szCs w:val="20"/>
        </w:rPr>
      </w:pPr>
    </w:p>
    <w:p>
      <w:pPr>
        <w:spacing w:line="489" w:lineRule="auto" w:before="0"/>
        <w:ind w:left="154" w:right="91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按账龄披露</w:t>
      </w:r>
    </w:p>
    <w:p>
      <w:pPr>
        <w:spacing w:before="7"/>
        <w:ind w:left="0" w:right="112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236,379,081.17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236,379,081.17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68,864,638.35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33,563,388.56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51,266,549.86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13,993,974.14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11,348,819.20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25,923,756.52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390,073,657.94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line="240" w:lineRule="auto" w:before="6"/>
        <w:rPr>
          <w:rFonts w:ascii="宋体" w:hAnsi="宋体" w:cs="宋体" w:eastAsia="宋体" w:hint="default"/>
          <w:sz w:val="11"/>
          <w:szCs w:val="11"/>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7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59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信用风险组合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59,399,361.98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12,797,194.47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72,196,556.45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59,399,361.98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12,797,194.47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72,196,556.45</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2392"/>
        <w:gridCol w:w="2393"/>
        <w:gridCol w:w="2392"/>
        <w:gridCol w:w="2392"/>
      </w:tblGrid>
      <w:tr>
        <w:trPr>
          <w:trHeight w:val="708" w:hRule="exact"/>
        </w:trPr>
        <w:tc>
          <w:tcPr>
            <w:tcW w:w="239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3"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922" w:right="113" w:hanging="810"/>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09"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2"/>
              <w:ind w:left="25" w:right="199"/>
              <w:jc w:val="left"/>
              <w:rPr>
                <w:rFonts w:ascii="宋体" w:hAnsi="宋体" w:cs="宋体" w:eastAsia="宋体" w:hint="default"/>
                <w:sz w:val="18"/>
                <w:szCs w:val="18"/>
              </w:rPr>
            </w:pPr>
            <w:r>
              <w:rPr>
                <w:rFonts w:ascii="宋体" w:hAnsi="宋体" w:cs="宋体" w:eastAsia="宋体" w:hint="default"/>
                <w:sz w:val="18"/>
                <w:szCs w:val="18"/>
              </w:rPr>
              <w:t>鹤壁市卓铭能源技术有限公 司</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18,529,500.00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4.75%</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1,734,225.00</w:t>
            </w:r>
          </w:p>
        </w:tc>
      </w:tr>
      <w:tr>
        <w:trPr>
          <w:trHeight w:val="709"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319" w:lineRule="auto" w:before="51"/>
              <w:ind w:left="25" w:right="199"/>
              <w:jc w:val="left"/>
              <w:rPr>
                <w:rFonts w:ascii="宋体" w:hAnsi="宋体" w:cs="宋体" w:eastAsia="宋体" w:hint="default"/>
                <w:sz w:val="18"/>
                <w:szCs w:val="18"/>
              </w:rPr>
            </w:pPr>
            <w:r>
              <w:rPr>
                <w:rFonts w:ascii="宋体" w:hAnsi="宋体" w:cs="宋体" w:eastAsia="宋体" w:hint="default"/>
                <w:sz w:val="18"/>
                <w:szCs w:val="18"/>
              </w:rPr>
              <w:t>福建新开普信息科技有限公 司</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14,675,295.20</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3.76%</w:t>
            </w:r>
          </w:p>
        </w:tc>
        <w:tc>
          <w:tcPr>
            <w:tcW w:w="2392" w:type="dxa"/>
            <w:tcBorders>
              <w:top w:val="single" w:sz="2" w:space="0" w:color="000000"/>
              <w:left w:val="single" w:sz="2" w:space="0" w:color="000000"/>
              <w:bottom w:val="single" w:sz="2" w:space="0" w:color="000000"/>
              <w:right w:val="single" w:sz="2" w:space="0" w:color="000000"/>
            </w:tcBorders>
          </w:tcPr>
          <w:p>
            <w:pPr/>
          </w:p>
        </w:tc>
      </w:tr>
      <w:tr>
        <w:trPr>
          <w:trHeight w:val="709"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319" w:lineRule="auto" w:before="51"/>
              <w:ind w:left="25" w:right="199"/>
              <w:jc w:val="left"/>
              <w:rPr>
                <w:rFonts w:ascii="宋体" w:hAnsi="宋体" w:cs="宋体" w:eastAsia="宋体" w:hint="default"/>
                <w:sz w:val="18"/>
                <w:szCs w:val="18"/>
              </w:rPr>
            </w:pPr>
            <w:r>
              <w:rPr>
                <w:rFonts w:ascii="宋体" w:hAnsi="宋体" w:cs="宋体" w:eastAsia="宋体" w:hint="default"/>
                <w:sz w:val="18"/>
                <w:szCs w:val="18"/>
              </w:rPr>
              <w:t>中国建设银行股份有限公司 甘肃省分行</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9,001,643.56</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2.31%</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450,353.86</w:t>
            </w:r>
          </w:p>
        </w:tc>
      </w:tr>
      <w:tr>
        <w:trPr>
          <w:trHeight w:val="709"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25" w:right="199"/>
              <w:jc w:val="left"/>
              <w:rPr>
                <w:rFonts w:ascii="宋体" w:hAnsi="宋体" w:cs="宋体" w:eastAsia="宋体" w:hint="default"/>
                <w:sz w:val="18"/>
                <w:szCs w:val="18"/>
              </w:rPr>
            </w:pPr>
            <w:r>
              <w:rPr>
                <w:rFonts w:ascii="宋体" w:hAnsi="宋体" w:cs="宋体" w:eastAsia="宋体" w:hint="default"/>
                <w:sz w:val="18"/>
                <w:szCs w:val="18"/>
              </w:rPr>
              <w:t>中国工商银行股份有限公司 咸阳文林路支行</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7,129,755.36</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1.83%</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371,188.92</w:t>
            </w:r>
          </w:p>
        </w:tc>
      </w:tr>
      <w:tr>
        <w:trPr>
          <w:trHeight w:val="709" w:hRule="exact"/>
        </w:trPr>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25" w:right="199"/>
              <w:jc w:val="left"/>
              <w:rPr>
                <w:rFonts w:ascii="宋体" w:hAnsi="宋体" w:cs="宋体" w:eastAsia="宋体" w:hint="default"/>
                <w:sz w:val="18"/>
                <w:szCs w:val="18"/>
              </w:rPr>
            </w:pPr>
            <w:r>
              <w:rPr>
                <w:rFonts w:ascii="宋体" w:hAnsi="宋体" w:cs="宋体" w:eastAsia="宋体" w:hint="default"/>
                <w:sz w:val="18"/>
                <w:szCs w:val="18"/>
              </w:rPr>
              <w:t>国网安徽省电力有限公司物 资分公司</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6,658,824.63</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1.71%</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332,941.23</w:t>
            </w:r>
          </w:p>
        </w:tc>
      </w:tr>
      <w:tr>
        <w:trPr>
          <w:trHeight w:val="397" w:hRule="exact"/>
        </w:trPr>
        <w:tc>
          <w:tcPr>
            <w:tcW w:w="239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55,995,018.75</w:t>
            </w:r>
          </w:p>
        </w:tc>
        <w:tc>
          <w:tcPr>
            <w:tcW w:w="2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14.36%</w:t>
            </w:r>
          </w:p>
        </w:tc>
        <w:tc>
          <w:tcPr>
            <w:tcW w:w="2392" w:type="dxa"/>
            <w:tcBorders>
              <w:top w:val="single" w:sz="2" w:space="0" w:color="000000"/>
              <w:left w:val="single" w:sz="2" w:space="0" w:color="000000"/>
              <w:bottom w:val="single" w:sz="2" w:space="0" w:color="000000"/>
              <w:right w:val="single" w:sz="2" w:space="0" w:color="000000"/>
            </w:tcBorders>
            <w:shd w:val="clear" w:color="auto" w:fill="D3D3D3"/>
          </w:tcPr>
          <w:p>
            <w:pP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40,464,396.52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30,093,637.60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40,464,396.52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30,093,637.60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8"/>
        <w:rPr>
          <w:rFonts w:ascii="宋体" w:hAnsi="宋体" w:cs="宋体" w:eastAsia="宋体" w:hint="default"/>
          <w:b/>
          <w:bCs/>
          <w:sz w:val="26"/>
          <w:szCs w:val="26"/>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111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2</w:t>
      </w:r>
      <w:r>
        <w:rPr/>
        <w:t>）重要的账龄超过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8"/>
        <w:rPr>
          <w:rFonts w:ascii="宋体" w:hAnsi="宋体" w:cs="宋体" w:eastAsia="宋体" w:hint="default"/>
          <w:b/>
          <w:bCs/>
          <w:sz w:val="26"/>
          <w:szCs w:val="26"/>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111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213,188.29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174,861.50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日常借款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986,763.35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1,806,898.13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其他单位</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12,807,621.97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12,766,967.32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31,212,166.40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18,946,805.40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45,219,740.01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33,695,532.35</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6"/>
        <w:gridCol w:w="1650"/>
        <w:gridCol w:w="2099"/>
        <w:gridCol w:w="2099"/>
        <w:gridCol w:w="1804"/>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9"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6" w:type="dxa"/>
            <w:vMerge/>
            <w:tcBorders>
              <w:left w:val="single" w:sz="4" w:space="0" w:color="000000"/>
              <w:bottom w:val="single" w:sz="4" w:space="0" w:color="000000"/>
              <w:right w:val="single" w:sz="4" w:space="0" w:color="000000"/>
            </w:tcBorders>
            <w:shd w:val="clear" w:color="auto" w:fill="D3D3D3"/>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549" w:right="54"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（未发生信用减值）</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（已发生信用减值）</w:t>
            </w:r>
          </w:p>
        </w:tc>
        <w:tc>
          <w:tcPr>
            <w:tcW w:w="180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2" w:right="0"/>
              <w:jc w:val="left"/>
              <w:rPr>
                <w:rFonts w:ascii="Times New Roman" w:hAnsi="Times New Roman" w:cs="Times New Roman" w:eastAsia="Times New Roman" w:hint="default"/>
                <w:sz w:val="18"/>
                <w:szCs w:val="18"/>
              </w:rPr>
            </w:pPr>
            <w:r>
              <w:rPr>
                <w:rFonts w:ascii="Times New Roman"/>
                <w:sz w:val="18"/>
              </w:rPr>
              <w:t>3,601,894.75</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6" w:right="0"/>
              <w:jc w:val="left"/>
              <w:rPr>
                <w:rFonts w:ascii="Times New Roman" w:hAnsi="Times New Roman" w:cs="Times New Roman" w:eastAsia="Times New Roman" w:hint="default"/>
                <w:sz w:val="18"/>
                <w:szCs w:val="18"/>
              </w:rPr>
            </w:pPr>
            <w:r>
              <w:rPr>
                <w:rFonts w:ascii="Times New Roman"/>
                <w:sz w:val="18"/>
              </w:rPr>
              <w:t>3,601,894.75</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6"/>
        <w:gridCol w:w="1650"/>
        <w:gridCol w:w="2099"/>
        <w:gridCol w:w="2099"/>
        <w:gridCol w:w="1804"/>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1,153,448.74</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1,153,448.74</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4,755,343.49</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4,755,343.49</w:t>
            </w: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240" w:lineRule="auto" w:before="12"/>
        <w:rPr>
          <w:rFonts w:ascii="宋体" w:hAnsi="宋体" w:cs="宋体" w:eastAsia="宋体" w:hint="default"/>
          <w:sz w:val="20"/>
          <w:szCs w:val="20"/>
        </w:rPr>
      </w:pPr>
    </w:p>
    <w:p>
      <w:pPr>
        <w:spacing w:line="489" w:lineRule="auto" w:before="0"/>
        <w:ind w:left="154" w:right="91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按账龄披露</w:t>
      </w:r>
    </w:p>
    <w:p>
      <w:pPr>
        <w:spacing w:before="8"/>
        <w:ind w:left="0" w:right="112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22,872,471.41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22,872,471.41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7,370,655.96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8,222,862.92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6,753,749.72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2,170,351.04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1,100,946.25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3,482,452.43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45,219,740.01</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51"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09" w:hRule="exact"/>
        </w:trPr>
        <w:tc>
          <w:tcPr>
            <w:tcW w:w="168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84" w:right="83"/>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09" w:hRule="exact"/>
        </w:trPr>
        <w:tc>
          <w:tcPr>
            <w:tcW w:w="1684"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25" w:right="31"/>
              <w:jc w:val="left"/>
              <w:rPr>
                <w:rFonts w:ascii="宋体" w:hAnsi="宋体" w:cs="宋体" w:eastAsia="宋体" w:hint="default"/>
                <w:sz w:val="18"/>
                <w:szCs w:val="18"/>
              </w:rPr>
            </w:pPr>
            <w:r>
              <w:rPr>
                <w:rFonts w:ascii="宋体" w:hAnsi="宋体" w:cs="宋体" w:eastAsia="宋体" w:hint="default"/>
                <w:sz w:val="18"/>
                <w:szCs w:val="18"/>
              </w:rPr>
              <w:t>北京希嘉创智教育科 技有限公司</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8,000,000.00</w:t>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6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17.69%</w:t>
            </w:r>
          </w:p>
        </w:tc>
        <w:tc>
          <w:tcPr>
            <w:tcW w:w="1615" w:type="dxa"/>
            <w:tcBorders>
              <w:top w:val="single" w:sz="2" w:space="0" w:color="000000"/>
              <w:left w:val="single" w:sz="2" w:space="0" w:color="000000"/>
              <w:bottom w:val="single" w:sz="2" w:space="0" w:color="000000"/>
              <w:right w:val="single" w:sz="2" w:space="0" w:color="000000"/>
            </w:tcBorders>
          </w:tcPr>
          <w:p>
            <w:pPr/>
          </w:p>
        </w:tc>
      </w:tr>
      <w:tr>
        <w:trPr>
          <w:trHeight w:val="708" w:hRule="exact"/>
        </w:trPr>
        <w:tc>
          <w:tcPr>
            <w:tcW w:w="1684"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25" w:right="31"/>
              <w:jc w:val="left"/>
              <w:rPr>
                <w:rFonts w:ascii="宋体" w:hAnsi="宋体" w:cs="宋体" w:eastAsia="宋体" w:hint="default"/>
                <w:sz w:val="18"/>
                <w:szCs w:val="18"/>
              </w:rPr>
            </w:pPr>
            <w:r>
              <w:rPr>
                <w:rFonts w:ascii="宋体" w:hAnsi="宋体" w:cs="宋体" w:eastAsia="宋体" w:hint="default"/>
                <w:sz w:val="18"/>
                <w:szCs w:val="18"/>
              </w:rPr>
              <w:t>郑州瑞茂通供应链有 限公司</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其他单位</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4,796,000.00</w:t>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10.61%</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1,438,800.00</w:t>
            </w:r>
          </w:p>
        </w:tc>
      </w:tr>
      <w:tr>
        <w:trPr>
          <w:trHeight w:val="397" w:hRule="exact"/>
        </w:trPr>
        <w:tc>
          <w:tcPr>
            <w:tcW w:w="16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四川农业大学</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保证金及其他</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2,112,770.00</w:t>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6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4.67%</w:t>
            </w:r>
          </w:p>
        </w:tc>
        <w:tc>
          <w:tcPr>
            <w:tcW w:w="1615" w:type="dxa"/>
            <w:tcBorders>
              <w:top w:val="single" w:sz="2" w:space="0" w:color="000000"/>
              <w:left w:val="single" w:sz="2" w:space="0" w:color="000000"/>
              <w:bottom w:val="single" w:sz="2" w:space="0" w:color="000000"/>
              <w:right w:val="single" w:sz="2" w:space="0" w:color="000000"/>
            </w:tcBorders>
          </w:tcPr>
          <w:p>
            <w:pPr/>
          </w:p>
        </w:tc>
      </w:tr>
      <w:tr>
        <w:trPr>
          <w:trHeight w:val="709" w:hRule="exact"/>
        </w:trPr>
        <w:tc>
          <w:tcPr>
            <w:tcW w:w="1684" w:type="dxa"/>
            <w:tcBorders>
              <w:top w:val="single" w:sz="2" w:space="0" w:color="000000"/>
              <w:left w:val="single" w:sz="2" w:space="0" w:color="000000"/>
              <w:bottom w:val="single" w:sz="2" w:space="0" w:color="000000"/>
              <w:right w:val="single" w:sz="2" w:space="0" w:color="000000"/>
            </w:tcBorders>
          </w:tcPr>
          <w:p>
            <w:pPr>
              <w:pStyle w:val="TableParagraph"/>
              <w:spacing w:line="319" w:lineRule="auto" w:before="51"/>
              <w:ind w:left="25" w:right="31"/>
              <w:jc w:val="left"/>
              <w:rPr>
                <w:rFonts w:ascii="宋体" w:hAnsi="宋体" w:cs="宋体" w:eastAsia="宋体" w:hint="default"/>
                <w:sz w:val="18"/>
                <w:szCs w:val="18"/>
              </w:rPr>
            </w:pPr>
            <w:r>
              <w:rPr>
                <w:rFonts w:ascii="宋体" w:hAnsi="宋体" w:cs="宋体" w:eastAsia="宋体" w:hint="default"/>
                <w:sz w:val="18"/>
                <w:szCs w:val="18"/>
              </w:rPr>
              <w:t>甘肃机电职业技术学 院</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保证金及其他</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978,400.00</w:t>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6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2.16%</w:t>
            </w:r>
          </w:p>
        </w:tc>
        <w:tc>
          <w:tcPr>
            <w:tcW w:w="1615" w:type="dxa"/>
            <w:tcBorders>
              <w:top w:val="single" w:sz="2" w:space="0" w:color="000000"/>
              <w:left w:val="single" w:sz="2" w:space="0" w:color="000000"/>
              <w:bottom w:val="single" w:sz="2" w:space="0" w:color="000000"/>
              <w:right w:val="single" w:sz="2" w:space="0" w:color="000000"/>
            </w:tcBorders>
          </w:tcPr>
          <w:p>
            <w:pPr/>
          </w:p>
        </w:tc>
      </w:tr>
      <w:tr>
        <w:trPr>
          <w:trHeight w:val="709" w:hRule="exact"/>
        </w:trPr>
        <w:tc>
          <w:tcPr>
            <w:tcW w:w="1684"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25" w:right="31"/>
              <w:jc w:val="left"/>
              <w:rPr>
                <w:rFonts w:ascii="宋体" w:hAnsi="宋体" w:cs="宋体" w:eastAsia="宋体" w:hint="default"/>
                <w:sz w:val="18"/>
                <w:szCs w:val="18"/>
              </w:rPr>
            </w:pPr>
            <w:r>
              <w:rPr>
                <w:rFonts w:ascii="宋体" w:hAnsi="宋体" w:cs="宋体" w:eastAsia="宋体" w:hint="default"/>
                <w:sz w:val="18"/>
                <w:szCs w:val="18"/>
              </w:rPr>
              <w:t>广西工业职业技术学 院</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保证金及其他</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764,750.00</w:t>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6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1.69%</w:t>
            </w:r>
          </w:p>
        </w:tc>
        <w:tc>
          <w:tcPr>
            <w:tcW w:w="1615" w:type="dxa"/>
            <w:tcBorders>
              <w:top w:val="single" w:sz="2" w:space="0" w:color="000000"/>
              <w:left w:val="single" w:sz="2" w:space="0" w:color="000000"/>
              <w:bottom w:val="single" w:sz="2" w:space="0" w:color="000000"/>
              <w:right w:val="single" w:sz="2" w:space="0" w:color="000000"/>
            </w:tcBorders>
          </w:tcPr>
          <w:p>
            <w:pPr/>
          </w:p>
        </w:tc>
      </w:tr>
      <w:tr>
        <w:trPr>
          <w:trHeight w:val="397" w:hRule="exact"/>
        </w:trPr>
        <w:tc>
          <w:tcPr>
            <w:tcW w:w="1684"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16,651,920.00</w:t>
            </w:r>
          </w:p>
        </w:tc>
        <w:tc>
          <w:tcPr>
            <w:tcW w:w="155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36.82%</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1,438,800.00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1113"/>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13"/>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396" w:hRule="exact"/>
        </w:trPr>
        <w:tc>
          <w:tcPr>
            <w:tcW w:w="1368" w:type="dxa"/>
            <w:vMerge w:val="restart"/>
            <w:tcBorders>
              <w:top w:val="single" w:sz="2" w:space="0" w:color="000000"/>
              <w:left w:val="single" w:sz="2" w:space="0" w:color="000000"/>
              <w:right w:val="single" w:sz="2"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7" w:hRule="exact"/>
        </w:trPr>
        <w:tc>
          <w:tcPr>
            <w:tcW w:w="1368" w:type="dxa"/>
            <w:vMerge/>
            <w:tcBorders>
              <w:left w:val="single" w:sz="2" w:space="0" w:color="000000"/>
              <w:bottom w:val="single" w:sz="2" w:space="0" w:color="000000"/>
              <w:right w:val="single" w:sz="2" w:space="0" w:color="000000"/>
            </w:tcBorders>
            <w:shd w:val="clear" w:color="auto" w:fill="D3D3D3"/>
          </w:tcPr>
          <w:p>
            <w:pPr/>
          </w:p>
        </w:tc>
        <w:tc>
          <w:tcPr>
            <w:tcW w:w="136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3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32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32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left="32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97" w:hRule="exact"/>
        </w:trPr>
        <w:tc>
          <w:tcPr>
            <w:tcW w:w="136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654,380,025.39</w:t>
            </w:r>
          </w:p>
        </w:tc>
        <w:tc>
          <w:tcPr>
            <w:tcW w:w="1367" w:type="dxa"/>
            <w:tcBorders>
              <w:top w:val="single" w:sz="2" w:space="0" w:color="000000"/>
              <w:left w:val="single" w:sz="2" w:space="0" w:color="000000"/>
              <w:bottom w:val="single" w:sz="2" w:space="0" w:color="000000"/>
              <w:right w:val="single" w:sz="2" w:space="0" w:color="000000"/>
            </w:tcBorders>
          </w:tcPr>
          <w:p>
            <w:pP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654,380,025.39</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556,852,000.00</w:t>
            </w:r>
          </w:p>
        </w:tc>
        <w:tc>
          <w:tcPr>
            <w:tcW w:w="1367" w:type="dxa"/>
            <w:tcBorders>
              <w:top w:val="single" w:sz="2" w:space="0" w:color="000000"/>
              <w:left w:val="single" w:sz="2" w:space="0" w:color="000000"/>
              <w:bottom w:val="single" w:sz="2" w:space="0" w:color="000000"/>
              <w:right w:val="single" w:sz="2" w:space="0" w:color="000000"/>
            </w:tcBorders>
          </w:tcPr>
          <w:p>
            <w:pP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556,852,000.00</w:t>
            </w:r>
          </w:p>
        </w:tc>
      </w:tr>
      <w:tr>
        <w:trPr>
          <w:trHeight w:val="709" w:hRule="exact"/>
        </w:trPr>
        <w:tc>
          <w:tcPr>
            <w:tcW w:w="136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9" w:lineRule="auto" w:before="51"/>
              <w:ind w:left="25" w:right="77"/>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49,376,942.34</w:t>
            </w:r>
          </w:p>
        </w:tc>
        <w:tc>
          <w:tcPr>
            <w:tcW w:w="1367" w:type="dxa"/>
            <w:tcBorders>
              <w:top w:val="single" w:sz="2" w:space="0" w:color="000000"/>
              <w:left w:val="single" w:sz="2" w:space="0" w:color="000000"/>
              <w:bottom w:val="single" w:sz="2" w:space="0" w:color="000000"/>
              <w:right w:val="single" w:sz="2" w:space="0" w:color="000000"/>
            </w:tcBorders>
          </w:tcPr>
          <w:p>
            <w:pP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49,376,942.34</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87,973,749.69</w:t>
            </w:r>
          </w:p>
        </w:tc>
        <w:tc>
          <w:tcPr>
            <w:tcW w:w="1367" w:type="dxa"/>
            <w:tcBorders>
              <w:top w:val="single" w:sz="2" w:space="0" w:color="000000"/>
              <w:left w:val="single" w:sz="2" w:space="0" w:color="000000"/>
              <w:bottom w:val="single" w:sz="2" w:space="0" w:color="000000"/>
              <w:right w:val="single" w:sz="2" w:space="0" w:color="000000"/>
            </w:tcBorders>
          </w:tcPr>
          <w:p>
            <w:pP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87,973,749.69</w:t>
            </w:r>
          </w:p>
        </w:tc>
      </w:tr>
      <w:tr>
        <w:trPr>
          <w:trHeight w:val="397" w:hRule="exact"/>
        </w:trPr>
        <w:tc>
          <w:tcPr>
            <w:tcW w:w="1368"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703,756,967.73</w:t>
            </w:r>
          </w:p>
        </w:tc>
        <w:tc>
          <w:tcPr>
            <w:tcW w:w="1367" w:type="dxa"/>
            <w:tcBorders>
              <w:top w:val="single" w:sz="2" w:space="0" w:color="000000"/>
              <w:left w:val="single" w:sz="2" w:space="0" w:color="000000"/>
              <w:bottom w:val="single" w:sz="2" w:space="0" w:color="000000"/>
              <w:right w:val="single" w:sz="2" w:space="0" w:color="000000"/>
            </w:tcBorders>
          </w:tcPr>
          <w:p>
            <w:pP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703,756,967.73</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644,825,749.69</w:t>
            </w:r>
          </w:p>
        </w:tc>
        <w:tc>
          <w:tcPr>
            <w:tcW w:w="1367" w:type="dxa"/>
            <w:tcBorders>
              <w:top w:val="single" w:sz="2" w:space="0" w:color="000000"/>
              <w:left w:val="single" w:sz="2" w:space="0" w:color="000000"/>
              <w:bottom w:val="single" w:sz="2" w:space="0" w:color="000000"/>
              <w:right w:val="single" w:sz="2" w:space="0" w:color="000000"/>
            </w:tcBorders>
          </w:tcPr>
          <w:p>
            <w:pP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644,825,749.69</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1267"/>
        <w:gridCol w:w="1166"/>
        <w:gridCol w:w="1165"/>
        <w:gridCol w:w="1166"/>
        <w:gridCol w:w="1166"/>
        <w:gridCol w:w="1212"/>
        <w:gridCol w:w="1213"/>
        <w:gridCol w:w="1213"/>
      </w:tblGrid>
      <w:tr>
        <w:trPr>
          <w:trHeight w:val="397" w:hRule="exact"/>
        </w:trPr>
        <w:tc>
          <w:tcPr>
            <w:tcW w:w="1267" w:type="dxa"/>
            <w:vMerge w:val="restart"/>
            <w:tcBorders>
              <w:top w:val="single" w:sz="2" w:space="0" w:color="000000"/>
              <w:left w:val="single" w:sz="2" w:space="0" w:color="000000"/>
              <w:right w:val="single" w:sz="2"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2" w:space="0" w:color="000000"/>
              <w:left w:val="single" w:sz="2" w:space="0" w:color="000000"/>
              <w:right w:val="single" w:sz="2" w:space="0" w:color="000000"/>
            </w:tcBorders>
            <w:shd w:val="clear" w:color="auto" w:fill="D3D3D3"/>
          </w:tcPr>
          <w:p>
            <w:pPr>
              <w:pStyle w:val="TableParagraph"/>
              <w:spacing w:line="316" w:lineRule="auto" w:before="94"/>
              <w:ind w:left="219" w:right="41" w:hanging="180"/>
              <w:jc w:val="left"/>
              <w:rPr>
                <w:rFonts w:ascii="宋体" w:hAnsi="宋体" w:cs="宋体" w:eastAsia="宋体" w:hint="default"/>
                <w:sz w:val="18"/>
                <w:szCs w:val="18"/>
              </w:rPr>
            </w:pPr>
            <w:r>
              <w:rPr>
                <w:rFonts w:ascii="宋体" w:hAnsi="宋体" w:cs="宋体" w:eastAsia="宋体" w:hint="default"/>
                <w:sz w:val="18"/>
                <w:szCs w:val="18"/>
              </w:rPr>
              <w:t>期初余额（账 面价值）</w:t>
            </w:r>
          </w:p>
        </w:tc>
        <w:tc>
          <w:tcPr>
            <w:tcW w:w="4710" w:type="dxa"/>
            <w:gridSpan w:val="4"/>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2" w:space="0" w:color="000000"/>
              <w:left w:val="single" w:sz="2" w:space="0" w:color="000000"/>
              <w:right w:val="single" w:sz="2" w:space="0" w:color="000000"/>
            </w:tcBorders>
            <w:shd w:val="clear" w:color="auto" w:fill="D3D3D3"/>
          </w:tcPr>
          <w:p>
            <w:pPr>
              <w:pStyle w:val="TableParagraph"/>
              <w:spacing w:line="316" w:lineRule="auto" w:before="94"/>
              <w:ind w:left="244" w:right="61" w:hanging="180"/>
              <w:jc w:val="left"/>
              <w:rPr>
                <w:rFonts w:ascii="宋体" w:hAnsi="宋体" w:cs="宋体" w:eastAsia="宋体" w:hint="default"/>
                <w:sz w:val="18"/>
                <w:szCs w:val="18"/>
              </w:rPr>
            </w:pPr>
            <w:r>
              <w:rPr>
                <w:rFonts w:ascii="宋体" w:hAnsi="宋体" w:cs="宋体" w:eastAsia="宋体" w:hint="default"/>
                <w:sz w:val="18"/>
                <w:szCs w:val="18"/>
              </w:rPr>
              <w:t>期末余额（账 面价值）</w:t>
            </w:r>
          </w:p>
        </w:tc>
        <w:tc>
          <w:tcPr>
            <w:tcW w:w="1213" w:type="dxa"/>
            <w:vMerge w:val="restart"/>
            <w:tcBorders>
              <w:top w:val="single" w:sz="2" w:space="0" w:color="000000"/>
              <w:left w:val="single" w:sz="2" w:space="0" w:color="000000"/>
              <w:right w:val="single" w:sz="2" w:space="0" w:color="000000"/>
            </w:tcBorders>
            <w:shd w:val="clear" w:color="auto" w:fill="D3D3D3"/>
          </w:tcPr>
          <w:p>
            <w:pPr>
              <w:pStyle w:val="TableParagraph"/>
              <w:spacing w:line="316" w:lineRule="auto" w:before="94"/>
              <w:ind w:left="424" w:right="61"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397" w:hRule="exact"/>
        </w:trPr>
        <w:tc>
          <w:tcPr>
            <w:tcW w:w="1267" w:type="dxa"/>
            <w:vMerge/>
            <w:tcBorders>
              <w:left w:val="single" w:sz="2" w:space="0" w:color="000000"/>
              <w:bottom w:val="single" w:sz="2" w:space="0" w:color="000000"/>
              <w:right w:val="single" w:sz="2" w:space="0" w:color="000000"/>
            </w:tcBorders>
            <w:shd w:val="clear" w:color="auto" w:fill="D3D3D3"/>
          </w:tcPr>
          <w:p>
            <w:pPr/>
          </w:p>
        </w:tc>
        <w:tc>
          <w:tcPr>
            <w:tcW w:w="1166" w:type="dxa"/>
            <w:vMerge/>
            <w:tcBorders>
              <w:left w:val="single" w:sz="2" w:space="0" w:color="000000"/>
              <w:bottom w:val="single" w:sz="2" w:space="0" w:color="000000"/>
              <w:right w:val="single" w:sz="2" w:space="0" w:color="000000"/>
            </w:tcBorders>
            <w:shd w:val="clear" w:color="auto" w:fill="D3D3D3"/>
          </w:tcPr>
          <w:p>
            <w:pPr/>
          </w:p>
        </w:tc>
        <w:tc>
          <w:tcPr>
            <w:tcW w:w="1165"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1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6"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6"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2"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2" w:space="0" w:color="000000"/>
              <w:bottom w:val="single" w:sz="2" w:space="0" w:color="000000"/>
              <w:right w:val="single" w:sz="2" w:space="0" w:color="000000"/>
            </w:tcBorders>
            <w:shd w:val="clear" w:color="auto" w:fill="D3D3D3"/>
          </w:tcPr>
          <w:p>
            <w:pPr/>
          </w:p>
        </w:tc>
        <w:tc>
          <w:tcPr>
            <w:tcW w:w="1213" w:type="dxa"/>
            <w:vMerge/>
            <w:tcBorders>
              <w:left w:val="single" w:sz="2" w:space="0" w:color="000000"/>
              <w:bottom w:val="single" w:sz="2" w:space="0" w:color="000000"/>
              <w:right w:val="single" w:sz="2" w:space="0" w:color="000000"/>
            </w:tcBorders>
            <w:shd w:val="clear" w:color="auto" w:fill="D3D3D3"/>
          </w:tcPr>
          <w:p>
            <w:pPr/>
          </w:p>
        </w:tc>
      </w:tr>
      <w:tr>
        <w:trPr>
          <w:trHeight w:val="709" w:hRule="exact"/>
        </w:trPr>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319" w:lineRule="auto" w:before="51"/>
              <w:ind w:left="25" w:right="155"/>
              <w:jc w:val="left"/>
              <w:rPr>
                <w:rFonts w:ascii="宋体" w:hAnsi="宋体" w:cs="宋体" w:eastAsia="宋体" w:hint="default"/>
                <w:sz w:val="18"/>
                <w:szCs w:val="18"/>
              </w:rPr>
            </w:pPr>
            <w:r>
              <w:rPr>
                <w:rFonts w:ascii="宋体" w:hAnsi="宋体" w:cs="宋体" w:eastAsia="宋体" w:hint="default"/>
                <w:sz w:val="18"/>
                <w:szCs w:val="18"/>
              </w:rPr>
              <w:t>北京迪科远望 科技有限公司</w:t>
            </w:r>
          </w:p>
        </w:tc>
        <w:tc>
          <w:tcPr>
            <w:tcW w:w="11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320,000,000.0</w:t>
            </w:r>
          </w:p>
          <w:p>
            <w:pPr>
              <w:pStyle w:val="TableParagraph"/>
              <w:spacing w:line="240" w:lineRule="auto" w:before="106"/>
              <w:ind w:right="24"/>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2" w:space="0" w:color="000000"/>
              <w:left w:val="single" w:sz="2" w:space="0" w:color="000000"/>
              <w:bottom w:val="single" w:sz="2" w:space="0" w:color="000000"/>
              <w:right w:val="single" w:sz="2" w:space="0" w:color="000000"/>
            </w:tcBorders>
          </w:tcPr>
          <w:p>
            <w:pPr/>
          </w:p>
        </w:tc>
        <w:tc>
          <w:tcPr>
            <w:tcW w:w="1166" w:type="dxa"/>
            <w:tcBorders>
              <w:top w:val="single" w:sz="2" w:space="0" w:color="000000"/>
              <w:left w:val="single" w:sz="2" w:space="0" w:color="000000"/>
              <w:bottom w:val="single" w:sz="2" w:space="0" w:color="000000"/>
              <w:right w:val="single" w:sz="2" w:space="0" w:color="000000"/>
            </w:tcBorders>
          </w:tcPr>
          <w:p>
            <w:pPr/>
          </w:p>
        </w:tc>
        <w:tc>
          <w:tcPr>
            <w:tcW w:w="1166" w:type="dxa"/>
            <w:tcBorders>
              <w:top w:val="single" w:sz="2" w:space="0" w:color="000000"/>
              <w:left w:val="single" w:sz="2" w:space="0" w:color="000000"/>
              <w:bottom w:val="single" w:sz="2" w:space="0" w:color="000000"/>
              <w:right w:val="single" w:sz="2" w:space="0" w:color="000000"/>
            </w:tcBorders>
          </w:tcPr>
          <w:p>
            <w:pPr/>
          </w:p>
        </w:tc>
        <w:tc>
          <w:tcPr>
            <w:tcW w:w="1212" w:type="dxa"/>
            <w:tcBorders>
              <w:top w:val="single" w:sz="2" w:space="0" w:color="000000"/>
              <w:left w:val="single" w:sz="2" w:space="0" w:color="000000"/>
              <w:bottom w:val="single" w:sz="2" w:space="0" w:color="000000"/>
              <w:right w:val="single" w:sz="2" w:space="0" w:color="000000"/>
            </w:tcBorders>
          </w:tcPr>
          <w:p>
            <w:pPr/>
          </w:p>
        </w:tc>
        <w:tc>
          <w:tcPr>
            <w:tcW w:w="1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320,000,000.00</w:t>
            </w:r>
          </w:p>
        </w:tc>
        <w:tc>
          <w:tcPr>
            <w:tcW w:w="1213" w:type="dxa"/>
            <w:tcBorders>
              <w:top w:val="single" w:sz="2" w:space="0" w:color="000000"/>
              <w:left w:val="single" w:sz="2" w:space="0" w:color="000000"/>
              <w:bottom w:val="single" w:sz="2" w:space="0" w:color="000000"/>
              <w:right w:val="single" w:sz="2" w:space="0" w:color="000000"/>
            </w:tcBorders>
          </w:tcPr>
          <w:p>
            <w:pPr/>
          </w:p>
        </w:tc>
      </w:tr>
      <w:tr>
        <w:trPr>
          <w:trHeight w:val="709" w:hRule="exact"/>
        </w:trPr>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25" w:right="155"/>
              <w:jc w:val="left"/>
              <w:rPr>
                <w:rFonts w:ascii="宋体" w:hAnsi="宋体" w:cs="宋体" w:eastAsia="宋体" w:hint="default"/>
                <w:sz w:val="18"/>
                <w:szCs w:val="18"/>
              </w:rPr>
            </w:pPr>
            <w:r>
              <w:rPr>
                <w:rFonts w:ascii="宋体" w:hAnsi="宋体" w:cs="宋体" w:eastAsia="宋体" w:hint="default"/>
                <w:sz w:val="18"/>
                <w:szCs w:val="18"/>
              </w:rPr>
              <w:t>上海树维信息 科技有限公司</w:t>
            </w:r>
          </w:p>
        </w:tc>
        <w:tc>
          <w:tcPr>
            <w:tcW w:w="11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219,000,000.0</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2" w:space="0" w:color="000000"/>
              <w:left w:val="single" w:sz="2" w:space="0" w:color="000000"/>
              <w:bottom w:val="single" w:sz="2" w:space="0" w:color="000000"/>
              <w:right w:val="single" w:sz="2" w:space="0" w:color="000000"/>
            </w:tcBorders>
          </w:tcPr>
          <w:p>
            <w:pPr/>
          </w:p>
        </w:tc>
        <w:tc>
          <w:tcPr>
            <w:tcW w:w="1166" w:type="dxa"/>
            <w:tcBorders>
              <w:top w:val="single" w:sz="2" w:space="0" w:color="000000"/>
              <w:left w:val="single" w:sz="2" w:space="0" w:color="000000"/>
              <w:bottom w:val="single" w:sz="2" w:space="0" w:color="000000"/>
              <w:right w:val="single" w:sz="2" w:space="0" w:color="000000"/>
            </w:tcBorders>
          </w:tcPr>
          <w:p>
            <w:pPr/>
          </w:p>
        </w:tc>
        <w:tc>
          <w:tcPr>
            <w:tcW w:w="1166" w:type="dxa"/>
            <w:tcBorders>
              <w:top w:val="single" w:sz="2" w:space="0" w:color="000000"/>
              <w:left w:val="single" w:sz="2" w:space="0" w:color="000000"/>
              <w:bottom w:val="single" w:sz="2" w:space="0" w:color="000000"/>
              <w:right w:val="single" w:sz="2" w:space="0" w:color="000000"/>
            </w:tcBorders>
          </w:tcPr>
          <w:p>
            <w:pPr/>
          </w:p>
        </w:tc>
        <w:tc>
          <w:tcPr>
            <w:tcW w:w="1212" w:type="dxa"/>
            <w:tcBorders>
              <w:top w:val="single" w:sz="2" w:space="0" w:color="000000"/>
              <w:left w:val="single" w:sz="2" w:space="0" w:color="000000"/>
              <w:bottom w:val="single" w:sz="2" w:space="0" w:color="000000"/>
              <w:right w:val="single" w:sz="2" w:space="0" w:color="000000"/>
            </w:tcBorders>
          </w:tcPr>
          <w:p>
            <w:pPr/>
          </w:p>
        </w:tc>
        <w:tc>
          <w:tcPr>
            <w:tcW w:w="1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219,000,000.00</w:t>
            </w:r>
          </w:p>
        </w:tc>
        <w:tc>
          <w:tcPr>
            <w:tcW w:w="1213" w:type="dxa"/>
            <w:tcBorders>
              <w:top w:val="single" w:sz="2" w:space="0" w:color="000000"/>
              <w:left w:val="single" w:sz="2" w:space="0" w:color="000000"/>
              <w:bottom w:val="single" w:sz="2" w:space="0" w:color="000000"/>
              <w:right w:val="single" w:sz="2" w:space="0" w:color="000000"/>
            </w:tcBorders>
          </w:tcPr>
          <w:p>
            <w:pPr/>
          </w:p>
        </w:tc>
      </w:tr>
      <w:tr>
        <w:trPr>
          <w:trHeight w:val="1021" w:hRule="exact"/>
        </w:trPr>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25" w:right="155"/>
              <w:jc w:val="both"/>
              <w:rPr>
                <w:rFonts w:ascii="宋体" w:hAnsi="宋体" w:cs="宋体" w:eastAsia="宋体" w:hint="default"/>
                <w:sz w:val="18"/>
                <w:szCs w:val="18"/>
              </w:rPr>
            </w:pPr>
            <w:r>
              <w:rPr>
                <w:rFonts w:ascii="宋体" w:hAnsi="宋体" w:cs="宋体" w:eastAsia="宋体" w:hint="default"/>
                <w:sz w:val="18"/>
                <w:szCs w:val="18"/>
              </w:rPr>
              <w:t>福建新开普信 息科技有限公 司</w:t>
            </w:r>
          </w:p>
        </w:tc>
        <w:tc>
          <w:tcPr>
            <w:tcW w:w="11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17,850,000.00</w:t>
            </w:r>
          </w:p>
        </w:tc>
        <w:tc>
          <w:tcPr>
            <w:tcW w:w="1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34,320,000.00</w:t>
            </w:r>
          </w:p>
        </w:tc>
        <w:tc>
          <w:tcPr>
            <w:tcW w:w="1166" w:type="dxa"/>
            <w:tcBorders>
              <w:top w:val="single" w:sz="2" w:space="0" w:color="000000"/>
              <w:left w:val="single" w:sz="2" w:space="0" w:color="000000"/>
              <w:bottom w:val="single" w:sz="2" w:space="0" w:color="000000"/>
              <w:right w:val="single" w:sz="2" w:space="0" w:color="000000"/>
            </w:tcBorders>
          </w:tcPr>
          <w:p>
            <w:pPr/>
          </w:p>
        </w:tc>
        <w:tc>
          <w:tcPr>
            <w:tcW w:w="1166" w:type="dxa"/>
            <w:tcBorders>
              <w:top w:val="single" w:sz="2" w:space="0" w:color="000000"/>
              <w:left w:val="single" w:sz="2" w:space="0" w:color="000000"/>
              <w:bottom w:val="single" w:sz="2" w:space="0" w:color="000000"/>
              <w:right w:val="single" w:sz="2" w:space="0" w:color="000000"/>
            </w:tcBorders>
          </w:tcPr>
          <w:p>
            <w:pPr/>
          </w:p>
        </w:tc>
        <w:tc>
          <w:tcPr>
            <w:tcW w:w="1212" w:type="dxa"/>
            <w:tcBorders>
              <w:top w:val="single" w:sz="2" w:space="0" w:color="000000"/>
              <w:left w:val="single" w:sz="2" w:space="0" w:color="000000"/>
              <w:bottom w:val="single" w:sz="2" w:space="0" w:color="000000"/>
              <w:right w:val="single" w:sz="2" w:space="0" w:color="000000"/>
            </w:tcBorders>
          </w:tcPr>
          <w:p>
            <w:pPr/>
          </w:p>
        </w:tc>
        <w:tc>
          <w:tcPr>
            <w:tcW w:w="1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52,170,000.00</w:t>
            </w:r>
          </w:p>
        </w:tc>
        <w:tc>
          <w:tcPr>
            <w:tcW w:w="1213" w:type="dxa"/>
            <w:tcBorders>
              <w:top w:val="single" w:sz="2" w:space="0" w:color="000000"/>
              <w:left w:val="single" w:sz="2" w:space="0" w:color="000000"/>
              <w:bottom w:val="single" w:sz="2" w:space="0" w:color="000000"/>
              <w:right w:val="single" w:sz="2" w:space="0" w:color="000000"/>
            </w:tcBorders>
          </w:tcPr>
          <w:p>
            <w:pPr/>
          </w:p>
        </w:tc>
      </w:tr>
      <w:tr>
        <w:trPr>
          <w:trHeight w:val="708" w:hRule="exact"/>
        </w:trPr>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25" w:right="155"/>
              <w:jc w:val="left"/>
              <w:rPr>
                <w:rFonts w:ascii="宋体" w:hAnsi="宋体" w:cs="宋体" w:eastAsia="宋体" w:hint="default"/>
                <w:sz w:val="18"/>
                <w:szCs w:val="18"/>
              </w:rPr>
            </w:pPr>
            <w:r>
              <w:rPr>
                <w:rFonts w:ascii="宋体" w:hAnsi="宋体" w:cs="宋体" w:eastAsia="宋体" w:hint="default"/>
                <w:sz w:val="18"/>
                <w:szCs w:val="18"/>
              </w:rPr>
              <w:t>郑州新开普科 技有限公司</w:t>
            </w:r>
          </w:p>
        </w:tc>
        <w:tc>
          <w:tcPr>
            <w:tcW w:w="11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2,000.00</w:t>
            </w:r>
          </w:p>
        </w:tc>
        <w:tc>
          <w:tcPr>
            <w:tcW w:w="1165" w:type="dxa"/>
            <w:tcBorders>
              <w:top w:val="single" w:sz="2" w:space="0" w:color="000000"/>
              <w:left w:val="single" w:sz="2" w:space="0" w:color="000000"/>
              <w:bottom w:val="single" w:sz="2" w:space="0" w:color="000000"/>
              <w:right w:val="single" w:sz="2" w:space="0" w:color="000000"/>
            </w:tcBorders>
          </w:tcPr>
          <w:p>
            <w:pPr/>
          </w:p>
        </w:tc>
        <w:tc>
          <w:tcPr>
            <w:tcW w:w="1166" w:type="dxa"/>
            <w:tcBorders>
              <w:top w:val="single" w:sz="2" w:space="0" w:color="000000"/>
              <w:left w:val="single" w:sz="2" w:space="0" w:color="000000"/>
              <w:bottom w:val="single" w:sz="2" w:space="0" w:color="000000"/>
              <w:right w:val="single" w:sz="2" w:space="0" w:color="000000"/>
            </w:tcBorders>
          </w:tcPr>
          <w:p>
            <w:pPr/>
          </w:p>
        </w:tc>
        <w:tc>
          <w:tcPr>
            <w:tcW w:w="1166" w:type="dxa"/>
            <w:tcBorders>
              <w:top w:val="single" w:sz="2" w:space="0" w:color="000000"/>
              <w:left w:val="single" w:sz="2" w:space="0" w:color="000000"/>
              <w:bottom w:val="single" w:sz="2" w:space="0" w:color="000000"/>
              <w:right w:val="single" w:sz="2" w:space="0" w:color="000000"/>
            </w:tcBorders>
          </w:tcPr>
          <w:p>
            <w:pPr/>
          </w:p>
        </w:tc>
        <w:tc>
          <w:tcPr>
            <w:tcW w:w="1212" w:type="dxa"/>
            <w:tcBorders>
              <w:top w:val="single" w:sz="2" w:space="0" w:color="000000"/>
              <w:left w:val="single" w:sz="2" w:space="0" w:color="000000"/>
              <w:bottom w:val="single" w:sz="2" w:space="0" w:color="000000"/>
              <w:right w:val="single" w:sz="2" w:space="0" w:color="000000"/>
            </w:tcBorders>
          </w:tcPr>
          <w:p>
            <w:pPr/>
          </w:p>
        </w:tc>
        <w:tc>
          <w:tcPr>
            <w:tcW w:w="1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2,000.00</w:t>
            </w:r>
          </w:p>
        </w:tc>
        <w:tc>
          <w:tcPr>
            <w:tcW w:w="1213" w:type="dxa"/>
            <w:tcBorders>
              <w:top w:val="single" w:sz="2" w:space="0" w:color="000000"/>
              <w:left w:val="single" w:sz="2" w:space="0" w:color="000000"/>
              <w:bottom w:val="single" w:sz="2" w:space="0" w:color="000000"/>
              <w:right w:val="single" w:sz="2" w:space="0" w:color="000000"/>
            </w:tcBorders>
          </w:tcPr>
          <w:p>
            <w:pPr/>
          </w:p>
        </w:tc>
      </w:tr>
      <w:tr>
        <w:trPr>
          <w:trHeight w:val="1021" w:hRule="exact"/>
        </w:trPr>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2"/>
              <w:ind w:left="25" w:right="24"/>
              <w:jc w:val="left"/>
              <w:rPr>
                <w:rFonts w:ascii="宋体" w:hAnsi="宋体" w:cs="宋体" w:eastAsia="宋体" w:hint="default"/>
                <w:sz w:val="18"/>
                <w:szCs w:val="18"/>
              </w:rPr>
            </w:pPr>
            <w:r>
              <w:rPr>
                <w:rFonts w:ascii="宋体" w:hAnsi="宋体" w:cs="宋体" w:eastAsia="宋体" w:hint="default"/>
                <w:sz w:val="18"/>
                <w:szCs w:val="18"/>
              </w:rPr>
              <w:t>完美数联（杭 </w:t>
            </w:r>
            <w:r>
              <w:rPr>
                <w:rFonts w:ascii="宋体" w:hAnsi="宋体" w:cs="宋体" w:eastAsia="宋体" w:hint="default"/>
                <w:spacing w:val="-8"/>
                <w:sz w:val="18"/>
                <w:szCs w:val="18"/>
              </w:rPr>
              <w:t>州）科技有限公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166" w:type="dxa"/>
            <w:tcBorders>
              <w:top w:val="single" w:sz="2" w:space="0" w:color="000000"/>
              <w:left w:val="single" w:sz="2" w:space="0" w:color="000000"/>
              <w:bottom w:val="single" w:sz="2" w:space="0" w:color="000000"/>
              <w:right w:val="single" w:sz="2" w:space="0" w:color="000000"/>
            </w:tcBorders>
          </w:tcPr>
          <w:p>
            <w:pPr/>
          </w:p>
        </w:tc>
        <w:tc>
          <w:tcPr>
            <w:tcW w:w="1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17,142,857.00</w:t>
            </w:r>
          </w:p>
        </w:tc>
        <w:tc>
          <w:tcPr>
            <w:tcW w:w="1166" w:type="dxa"/>
            <w:tcBorders>
              <w:top w:val="single" w:sz="2" w:space="0" w:color="000000"/>
              <w:left w:val="single" w:sz="2" w:space="0" w:color="000000"/>
              <w:bottom w:val="single" w:sz="2" w:space="0" w:color="000000"/>
              <w:right w:val="single" w:sz="2" w:space="0" w:color="000000"/>
            </w:tcBorders>
          </w:tcPr>
          <w:p>
            <w:pPr/>
          </w:p>
        </w:tc>
        <w:tc>
          <w:tcPr>
            <w:tcW w:w="1166" w:type="dxa"/>
            <w:tcBorders>
              <w:top w:val="single" w:sz="2" w:space="0" w:color="000000"/>
              <w:left w:val="single" w:sz="2" w:space="0" w:color="000000"/>
              <w:bottom w:val="single" w:sz="2" w:space="0" w:color="000000"/>
              <w:right w:val="single" w:sz="2" w:space="0" w:color="000000"/>
            </w:tcBorders>
          </w:tcPr>
          <w:p>
            <w:pPr/>
          </w:p>
        </w:tc>
        <w:tc>
          <w:tcPr>
            <w:tcW w:w="1212" w:type="dxa"/>
            <w:tcBorders>
              <w:top w:val="single" w:sz="2" w:space="0" w:color="000000"/>
              <w:left w:val="single" w:sz="2" w:space="0" w:color="000000"/>
              <w:bottom w:val="single" w:sz="2" w:space="0" w:color="000000"/>
              <w:right w:val="single" w:sz="2" w:space="0" w:color="000000"/>
            </w:tcBorders>
          </w:tcPr>
          <w:p>
            <w:pPr/>
          </w:p>
        </w:tc>
        <w:tc>
          <w:tcPr>
            <w:tcW w:w="1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17,142,857.00</w:t>
            </w:r>
          </w:p>
        </w:tc>
        <w:tc>
          <w:tcPr>
            <w:tcW w:w="1213" w:type="dxa"/>
            <w:tcBorders>
              <w:top w:val="single" w:sz="2" w:space="0" w:color="000000"/>
              <w:left w:val="single" w:sz="2" w:space="0" w:color="000000"/>
              <w:bottom w:val="single" w:sz="2" w:space="0" w:color="000000"/>
              <w:right w:val="single" w:sz="2" w:space="0" w:color="000000"/>
            </w:tcBorders>
          </w:tcPr>
          <w:p>
            <w:pPr/>
          </w:p>
        </w:tc>
      </w:tr>
      <w:tr>
        <w:trPr>
          <w:trHeight w:val="1021" w:hRule="exact"/>
        </w:trPr>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319" w:lineRule="auto" w:before="51"/>
              <w:ind w:left="25" w:right="155"/>
              <w:jc w:val="both"/>
              <w:rPr>
                <w:rFonts w:ascii="宋体" w:hAnsi="宋体" w:cs="宋体" w:eastAsia="宋体" w:hint="default"/>
                <w:sz w:val="18"/>
                <w:szCs w:val="18"/>
              </w:rPr>
            </w:pPr>
            <w:r>
              <w:rPr>
                <w:rFonts w:ascii="宋体" w:hAnsi="宋体" w:cs="宋体" w:eastAsia="宋体" w:hint="default"/>
                <w:sz w:val="18"/>
                <w:szCs w:val="18"/>
              </w:rPr>
              <w:t>上海新开普志 成信息科技有 限公司</w:t>
            </w:r>
          </w:p>
        </w:tc>
        <w:tc>
          <w:tcPr>
            <w:tcW w:w="1166" w:type="dxa"/>
            <w:tcBorders>
              <w:top w:val="single" w:sz="2" w:space="0" w:color="000000"/>
              <w:left w:val="single" w:sz="2" w:space="0" w:color="000000"/>
              <w:bottom w:val="single" w:sz="2" w:space="0" w:color="000000"/>
              <w:right w:val="single" w:sz="2" w:space="0" w:color="000000"/>
            </w:tcBorders>
          </w:tcPr>
          <w:p>
            <w:pPr/>
          </w:p>
        </w:tc>
        <w:tc>
          <w:tcPr>
            <w:tcW w:w="1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1,200,000.00</w:t>
            </w:r>
          </w:p>
        </w:tc>
        <w:tc>
          <w:tcPr>
            <w:tcW w:w="1166" w:type="dxa"/>
            <w:tcBorders>
              <w:top w:val="single" w:sz="2" w:space="0" w:color="000000"/>
              <w:left w:val="single" w:sz="2" w:space="0" w:color="000000"/>
              <w:bottom w:val="single" w:sz="2" w:space="0" w:color="000000"/>
              <w:right w:val="single" w:sz="2" w:space="0" w:color="000000"/>
            </w:tcBorders>
          </w:tcPr>
          <w:p>
            <w:pPr/>
          </w:p>
        </w:tc>
        <w:tc>
          <w:tcPr>
            <w:tcW w:w="1166" w:type="dxa"/>
            <w:tcBorders>
              <w:top w:val="single" w:sz="2" w:space="0" w:color="000000"/>
              <w:left w:val="single" w:sz="2" w:space="0" w:color="000000"/>
              <w:bottom w:val="single" w:sz="2" w:space="0" w:color="000000"/>
              <w:right w:val="single" w:sz="2" w:space="0" w:color="000000"/>
            </w:tcBorders>
          </w:tcPr>
          <w:p>
            <w:pPr/>
          </w:p>
        </w:tc>
        <w:tc>
          <w:tcPr>
            <w:tcW w:w="1212" w:type="dxa"/>
            <w:tcBorders>
              <w:top w:val="single" w:sz="2" w:space="0" w:color="000000"/>
              <w:left w:val="single" w:sz="2" w:space="0" w:color="000000"/>
              <w:bottom w:val="single" w:sz="2" w:space="0" w:color="000000"/>
              <w:right w:val="single" w:sz="2" w:space="0" w:color="000000"/>
            </w:tcBorders>
          </w:tcPr>
          <w:p>
            <w:pPr/>
          </w:p>
        </w:tc>
        <w:tc>
          <w:tcPr>
            <w:tcW w:w="1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1,200,000.00</w:t>
            </w:r>
          </w:p>
        </w:tc>
        <w:tc>
          <w:tcPr>
            <w:tcW w:w="1213" w:type="dxa"/>
            <w:tcBorders>
              <w:top w:val="single" w:sz="2" w:space="0" w:color="000000"/>
              <w:left w:val="single" w:sz="2" w:space="0" w:color="000000"/>
              <w:bottom w:val="single" w:sz="2" w:space="0" w:color="000000"/>
              <w:right w:val="single" w:sz="2" w:space="0" w:color="000000"/>
            </w:tcBorders>
          </w:tcPr>
          <w:p>
            <w:pPr/>
          </w:p>
        </w:tc>
      </w:tr>
      <w:tr>
        <w:trPr>
          <w:trHeight w:val="1021" w:hRule="exact"/>
        </w:trPr>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319" w:lineRule="auto" w:before="51"/>
              <w:ind w:left="25" w:right="155"/>
              <w:jc w:val="both"/>
              <w:rPr>
                <w:rFonts w:ascii="宋体" w:hAnsi="宋体" w:cs="宋体" w:eastAsia="宋体" w:hint="default"/>
                <w:sz w:val="18"/>
                <w:szCs w:val="18"/>
              </w:rPr>
            </w:pPr>
            <w:r>
              <w:rPr>
                <w:rFonts w:ascii="宋体" w:hAnsi="宋体" w:cs="宋体" w:eastAsia="宋体" w:hint="default"/>
                <w:sz w:val="18"/>
                <w:szCs w:val="18"/>
              </w:rPr>
              <w:t>北京希嘉创智 教育科技有限 公司</w:t>
            </w:r>
          </w:p>
        </w:tc>
        <w:tc>
          <w:tcPr>
            <w:tcW w:w="1166" w:type="dxa"/>
            <w:tcBorders>
              <w:top w:val="single" w:sz="2" w:space="0" w:color="000000"/>
              <w:left w:val="single" w:sz="2" w:space="0" w:color="000000"/>
              <w:bottom w:val="single" w:sz="2" w:space="0" w:color="000000"/>
              <w:right w:val="single" w:sz="2" w:space="0" w:color="000000"/>
            </w:tcBorders>
          </w:tcPr>
          <w:p>
            <w:pPr/>
          </w:p>
        </w:tc>
        <w:tc>
          <w:tcPr>
            <w:tcW w:w="1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44,865,168.39</w:t>
            </w:r>
          </w:p>
        </w:tc>
        <w:tc>
          <w:tcPr>
            <w:tcW w:w="1166" w:type="dxa"/>
            <w:tcBorders>
              <w:top w:val="single" w:sz="2" w:space="0" w:color="000000"/>
              <w:left w:val="single" w:sz="2" w:space="0" w:color="000000"/>
              <w:bottom w:val="single" w:sz="2" w:space="0" w:color="000000"/>
              <w:right w:val="single" w:sz="2" w:space="0" w:color="000000"/>
            </w:tcBorders>
          </w:tcPr>
          <w:p>
            <w:pPr/>
          </w:p>
        </w:tc>
        <w:tc>
          <w:tcPr>
            <w:tcW w:w="1166" w:type="dxa"/>
            <w:tcBorders>
              <w:top w:val="single" w:sz="2" w:space="0" w:color="000000"/>
              <w:left w:val="single" w:sz="2" w:space="0" w:color="000000"/>
              <w:bottom w:val="single" w:sz="2" w:space="0" w:color="000000"/>
              <w:right w:val="single" w:sz="2" w:space="0" w:color="000000"/>
            </w:tcBorders>
          </w:tcPr>
          <w:p>
            <w:pPr/>
          </w:p>
        </w:tc>
        <w:tc>
          <w:tcPr>
            <w:tcW w:w="1212" w:type="dxa"/>
            <w:tcBorders>
              <w:top w:val="single" w:sz="2" w:space="0" w:color="000000"/>
              <w:left w:val="single" w:sz="2" w:space="0" w:color="000000"/>
              <w:bottom w:val="single" w:sz="2" w:space="0" w:color="000000"/>
              <w:right w:val="single" w:sz="2" w:space="0" w:color="000000"/>
            </w:tcBorders>
          </w:tcPr>
          <w:p>
            <w:pPr/>
          </w:p>
        </w:tc>
        <w:tc>
          <w:tcPr>
            <w:tcW w:w="1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44,865,168.39</w:t>
            </w:r>
          </w:p>
        </w:tc>
        <w:tc>
          <w:tcPr>
            <w:tcW w:w="1213" w:type="dxa"/>
            <w:tcBorders>
              <w:top w:val="single" w:sz="2" w:space="0" w:color="000000"/>
              <w:left w:val="single" w:sz="2" w:space="0" w:color="000000"/>
              <w:bottom w:val="single" w:sz="2" w:space="0" w:color="000000"/>
              <w:right w:val="single" w:sz="2" w:space="0" w:color="000000"/>
            </w:tcBorders>
          </w:tcPr>
          <w:p>
            <w:pPr/>
          </w:p>
        </w:tc>
      </w:tr>
    </w:tbl>
    <w:p>
      <w:pPr>
        <w:spacing w:after="0"/>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51" w:type="dxa"/>
        <w:tblLayout w:type="fixed"/>
        <w:tblCellMar>
          <w:top w:w="0" w:type="dxa"/>
          <w:left w:w="0" w:type="dxa"/>
          <w:bottom w:w="0" w:type="dxa"/>
          <w:right w:w="0" w:type="dxa"/>
        </w:tblCellMar>
        <w:tblLook w:val="01E0"/>
      </w:tblPr>
      <w:tblGrid>
        <w:gridCol w:w="1267"/>
        <w:gridCol w:w="1166"/>
        <w:gridCol w:w="1165"/>
        <w:gridCol w:w="1166"/>
        <w:gridCol w:w="1166"/>
        <w:gridCol w:w="1212"/>
        <w:gridCol w:w="1213"/>
        <w:gridCol w:w="1213"/>
      </w:tblGrid>
      <w:tr>
        <w:trPr>
          <w:trHeight w:val="709" w:hRule="exact"/>
        </w:trPr>
        <w:tc>
          <w:tcPr>
            <w:tcW w:w="1267"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556,852,000.0</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97,528,025.39</w:t>
            </w:r>
          </w:p>
        </w:tc>
        <w:tc>
          <w:tcPr>
            <w:tcW w:w="1166" w:type="dxa"/>
            <w:tcBorders>
              <w:top w:val="single" w:sz="2" w:space="0" w:color="000000"/>
              <w:left w:val="single" w:sz="2" w:space="0" w:color="000000"/>
              <w:bottom w:val="single" w:sz="2" w:space="0" w:color="000000"/>
              <w:right w:val="single" w:sz="2" w:space="0" w:color="000000"/>
            </w:tcBorders>
          </w:tcPr>
          <w:p>
            <w:pPr/>
          </w:p>
        </w:tc>
        <w:tc>
          <w:tcPr>
            <w:tcW w:w="1166" w:type="dxa"/>
            <w:tcBorders>
              <w:top w:val="single" w:sz="2" w:space="0" w:color="000000"/>
              <w:left w:val="single" w:sz="2" w:space="0" w:color="000000"/>
              <w:bottom w:val="single" w:sz="2" w:space="0" w:color="000000"/>
              <w:right w:val="single" w:sz="2" w:space="0" w:color="000000"/>
            </w:tcBorders>
          </w:tcPr>
          <w:p>
            <w:pPr/>
          </w:p>
        </w:tc>
        <w:tc>
          <w:tcPr>
            <w:tcW w:w="1212" w:type="dxa"/>
            <w:tcBorders>
              <w:top w:val="single" w:sz="2" w:space="0" w:color="000000"/>
              <w:left w:val="single" w:sz="2" w:space="0" w:color="000000"/>
              <w:bottom w:val="single" w:sz="2" w:space="0" w:color="000000"/>
              <w:right w:val="single" w:sz="2" w:space="0" w:color="000000"/>
            </w:tcBorders>
          </w:tcPr>
          <w:p>
            <w:pPr/>
          </w:p>
        </w:tc>
        <w:tc>
          <w:tcPr>
            <w:tcW w:w="1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654,380,025.39</w:t>
            </w:r>
          </w:p>
        </w:tc>
        <w:tc>
          <w:tcPr>
            <w:tcW w:w="1213" w:type="dxa"/>
            <w:tcBorders>
              <w:top w:val="single" w:sz="2" w:space="0" w:color="000000"/>
              <w:left w:val="single" w:sz="2" w:space="0" w:color="000000"/>
              <w:bottom w:val="single" w:sz="2" w:space="0" w:color="000000"/>
              <w:right w:val="single" w:sz="2"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319" w:lineRule="auto" w:before="76"/>
              <w:ind w:left="214" w:right="31"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319" w:lineRule="auto" w:before="76"/>
              <w:ind w:left="213" w:right="32"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成都兰途 网络科技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7,649,143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-429,683.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7,219,460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嘉兴丹诚 开普股权 投资合伙 企业（有 限合伙）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37,483,40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1,712,000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-691,411.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38,503,99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0.53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北京希嘉 创智教育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39,128,16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8,749,997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-3,012,99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-44,865,1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68.39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北京乐智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3,713,036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-59,544.9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3,653,491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87,973,74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10,461,99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-4,193,63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-44,865,1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68.39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49,376,94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2.34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87,973,74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10,461,99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-4,193,63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-44,865,1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68.39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49,376,94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2.34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8"/>
        <w:gridCol w:w="1913"/>
        <w:gridCol w:w="1913"/>
        <w:gridCol w:w="1913"/>
      </w:tblGrid>
      <w:tr>
        <w:trPr>
          <w:trHeight w:val="401"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1"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710,309,145.69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369,665,960.81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653,426,144.42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1" w:right="0"/>
              <w:jc w:val="left"/>
              <w:rPr>
                <w:rFonts w:ascii="Times New Roman" w:hAnsi="Times New Roman" w:cs="Times New Roman" w:eastAsia="Times New Roman" w:hint="default"/>
                <w:sz w:val="18"/>
                <w:szCs w:val="18"/>
              </w:rPr>
            </w:pPr>
            <w:r>
              <w:rPr>
                <w:rFonts w:ascii="Times New Roman"/>
                <w:sz w:val="18"/>
              </w:rPr>
              <w:t>336,211,277.27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94"/>
        <w:gridCol w:w="1838"/>
        <w:gridCol w:w="1913"/>
        <w:gridCol w:w="1913"/>
        <w:gridCol w:w="1913"/>
      </w:tblGrid>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4,481,679.30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1,048,016.53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4,600,326.90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1,266,828.77</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714,790,824.99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370,713,977.34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658,026,471.32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337,478,106.04</w:t>
            </w:r>
          </w:p>
        </w:tc>
      </w:tr>
    </w:tbl>
    <w:p>
      <w:pPr>
        <w:spacing w:line="240" w:lineRule="auto" w:before="6"/>
        <w:rPr>
          <w:rFonts w:ascii="宋体" w:hAnsi="宋体" w:cs="宋体" w:eastAsia="宋体" w:hint="default"/>
          <w:sz w:val="6"/>
          <w:szCs w:val="6"/>
        </w:rPr>
      </w:pPr>
    </w:p>
    <w:p>
      <w:pPr>
        <w:spacing w:before="44"/>
        <w:ind w:left="154" w:right="111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240" w:lineRule="auto" w:before="12"/>
        <w:rPr>
          <w:rFonts w:ascii="宋体" w:hAnsi="宋体" w:cs="宋体" w:eastAsia="宋体" w:hint="default"/>
          <w:sz w:val="20"/>
          <w:szCs w:val="20"/>
        </w:rPr>
      </w:pPr>
    </w:p>
    <w:p>
      <w:pPr>
        <w:spacing w:before="0"/>
        <w:ind w:left="153"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111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-4,193,635.96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2,748,983.29</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-69,463.45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子公司分红</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衍生金融资产在持有期间取得的投资收益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6,534,000.00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9,001,620.89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4,285,525.75</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51,272,521.48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8,034,509.04</w:t>
            </w:r>
          </w:p>
        </w:tc>
      </w:tr>
    </w:tbl>
    <w:p>
      <w:pPr>
        <w:spacing w:line="240" w:lineRule="auto" w:before="2"/>
        <w:rPr>
          <w:rFonts w:ascii="宋体" w:hAnsi="宋体" w:cs="宋体" w:eastAsia="宋体" w:hint="default"/>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1113"/>
        <w:jc w:val="left"/>
        <w:rPr>
          <w:b w:val="0"/>
          <w:bCs w:val="0"/>
        </w:rPr>
      </w:pP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-219,409.62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28,401,291.94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除增值税退税外的政府补助</w:t>
            </w: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49"/>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30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-299,435.39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7,553,114.06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募集资金购买理财产品收入</w:t>
            </w: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30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3,132,000.00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-1,148,599.46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195,931.39</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5,638,323.82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92,739.06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31,883,830.04</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spacing w:before="44"/>
        <w:ind w:left="154" w:right="993"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r>
    </w:p>
    <w:p>
      <w:pPr>
        <w:spacing w:line="240" w:lineRule="auto" w:before="9"/>
        <w:rPr>
          <w:rFonts w:ascii="宋体" w:hAnsi="宋体" w:cs="宋体" w:eastAsia="宋体" w:hint="default"/>
          <w:sz w:val="16"/>
          <w:szCs w:val="16"/>
        </w:rPr>
      </w:pPr>
    </w:p>
    <w:p>
      <w:pPr>
        <w:spacing w:line="451" w:lineRule="auto" w:before="0"/>
        <w:ind w:left="154" w:right="1117"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113"/>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111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86" w:type="dxa"/>
        <w:tblLayout w:type="fixed"/>
        <w:tblCellMar>
          <w:top w:w="0" w:type="dxa"/>
          <w:left w:w="0" w:type="dxa"/>
          <w:bottom w:w="0" w:type="dxa"/>
          <w:right w:w="0" w:type="dxa"/>
        </w:tblCellMar>
        <w:tblLook w:val="01E0"/>
      </w:tblPr>
      <w:tblGrid>
        <w:gridCol w:w="2663"/>
        <w:gridCol w:w="3079"/>
        <w:gridCol w:w="1913"/>
        <w:gridCol w:w="1914"/>
      </w:tblGrid>
      <w:tr>
        <w:trPr>
          <w:trHeight w:val="202" w:hRule="exact"/>
        </w:trPr>
        <w:tc>
          <w:tcPr>
            <w:tcW w:w="2663" w:type="dxa"/>
            <w:tcBorders>
              <w:top w:val="single" w:sz="2" w:space="0" w:color="000000"/>
              <w:left w:val="single" w:sz="2" w:space="0" w:color="000000"/>
              <w:bottom w:val="nil" w:sz="6" w:space="0" w:color="auto"/>
              <w:right w:val="single" w:sz="2" w:space="0" w:color="000000"/>
            </w:tcBorders>
            <w:shd w:val="clear" w:color="auto" w:fill="D3D3D3"/>
          </w:tcPr>
          <w:p>
            <w:pPr/>
          </w:p>
        </w:tc>
        <w:tc>
          <w:tcPr>
            <w:tcW w:w="3079" w:type="dxa"/>
            <w:tcBorders>
              <w:top w:val="single" w:sz="2" w:space="0" w:color="000000"/>
              <w:left w:val="single" w:sz="2" w:space="0" w:color="000000"/>
              <w:bottom w:val="nil" w:sz="6" w:space="0" w:color="auto"/>
              <w:right w:val="single" w:sz="2" w:space="0" w:color="000000"/>
            </w:tcBorders>
            <w:shd w:val="clear" w:color="auto" w:fill="D3D3D3"/>
          </w:tcPr>
          <w:p>
            <w:pPr/>
          </w:p>
        </w:tc>
        <w:tc>
          <w:tcPr>
            <w:tcW w:w="3827" w:type="dxa"/>
            <w:gridSpan w:val="2"/>
            <w:vMerge w:val="restart"/>
            <w:tcBorders>
              <w:top w:val="single" w:sz="2" w:space="0" w:color="000000"/>
              <w:left w:val="single" w:sz="2" w:space="0" w:color="000000"/>
              <w:right w:val="single" w:sz="2"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2663" w:type="dxa"/>
            <w:vMerge w:val="restart"/>
            <w:tcBorders>
              <w:top w:val="nil" w:sz="6" w:space="0" w:color="auto"/>
              <w:left w:val="single" w:sz="2" w:space="0" w:color="000000"/>
              <w:right w:val="single" w:sz="2" w:space="0" w:color="000000"/>
            </w:tcBorders>
            <w:shd w:val="clear" w:color="auto" w:fill="D3D3D3"/>
          </w:tcPr>
          <w:p>
            <w:pPr>
              <w:pStyle w:val="TableParagraph"/>
              <w:spacing w:line="240" w:lineRule="auto" w:before="51"/>
              <w:ind w:left="879"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79" w:type="dxa"/>
            <w:vMerge w:val="restart"/>
            <w:tcBorders>
              <w:top w:val="nil" w:sz="6" w:space="0" w:color="auto"/>
              <w:left w:val="single" w:sz="2" w:space="0" w:color="000000"/>
              <w:right w:val="single" w:sz="2" w:space="0" w:color="000000"/>
            </w:tcBorders>
            <w:shd w:val="clear" w:color="auto" w:fill="D3D3D3"/>
          </w:tcPr>
          <w:p>
            <w:pPr>
              <w:pStyle w:val="TableParagraph"/>
              <w:spacing w:line="240" w:lineRule="auto" w:before="51"/>
              <w:ind w:left="637"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2" w:space="0" w:color="000000"/>
              <w:bottom w:val="single" w:sz="2" w:space="0" w:color="000000"/>
              <w:right w:val="single" w:sz="2" w:space="0" w:color="000000"/>
            </w:tcBorders>
            <w:shd w:val="clear" w:color="auto" w:fill="D3D3D3"/>
          </w:tcPr>
          <w:p>
            <w:pPr/>
          </w:p>
        </w:tc>
      </w:tr>
      <w:tr>
        <w:trPr>
          <w:trHeight w:val="196" w:hRule="exact"/>
        </w:trPr>
        <w:tc>
          <w:tcPr>
            <w:tcW w:w="2663" w:type="dxa"/>
            <w:vMerge/>
            <w:tcBorders>
              <w:left w:val="single" w:sz="2" w:space="0" w:color="000000"/>
              <w:bottom w:val="nil" w:sz="6" w:space="0" w:color="auto"/>
              <w:right w:val="single" w:sz="2" w:space="0" w:color="000000"/>
            </w:tcBorders>
            <w:shd w:val="clear" w:color="auto" w:fill="D3D3D3"/>
          </w:tcPr>
          <w:p>
            <w:pPr/>
          </w:p>
        </w:tc>
        <w:tc>
          <w:tcPr>
            <w:tcW w:w="3079" w:type="dxa"/>
            <w:vMerge/>
            <w:tcBorders>
              <w:left w:val="single" w:sz="2" w:space="0" w:color="000000"/>
              <w:bottom w:val="nil" w:sz="6" w:space="0" w:color="auto"/>
              <w:right w:val="single" w:sz="2" w:space="0" w:color="000000"/>
            </w:tcBorders>
            <w:shd w:val="clear" w:color="auto" w:fill="D3D3D3"/>
          </w:tcPr>
          <w:p>
            <w:pPr/>
          </w:p>
        </w:tc>
        <w:tc>
          <w:tcPr>
            <w:tcW w:w="1913" w:type="dxa"/>
            <w:vMerge w:val="restart"/>
            <w:tcBorders>
              <w:top w:val="single" w:sz="2" w:space="0" w:color="000000"/>
              <w:left w:val="single" w:sz="2" w:space="0" w:color="000000"/>
              <w:right w:val="single" w:sz="2" w:space="0" w:color="000000"/>
            </w:tcBorders>
            <w:shd w:val="clear" w:color="auto" w:fill="D3D3D3"/>
          </w:tcPr>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4" w:type="dxa"/>
            <w:vMerge w:val="restart"/>
            <w:tcBorders>
              <w:top w:val="single" w:sz="2" w:space="0" w:color="000000"/>
              <w:left w:val="single" w:sz="2" w:space="0" w:color="000000"/>
              <w:right w:val="single" w:sz="2" w:space="0" w:color="000000"/>
            </w:tcBorders>
            <w:shd w:val="clear" w:color="auto" w:fill="D3D3D3"/>
          </w:tcPr>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2" w:hRule="exact"/>
        </w:trPr>
        <w:tc>
          <w:tcPr>
            <w:tcW w:w="2663" w:type="dxa"/>
            <w:tcBorders>
              <w:top w:val="nil" w:sz="6" w:space="0" w:color="auto"/>
              <w:left w:val="single" w:sz="2" w:space="0" w:color="000000"/>
              <w:bottom w:val="single" w:sz="2" w:space="0" w:color="000000"/>
              <w:right w:val="single" w:sz="2" w:space="0" w:color="000000"/>
            </w:tcBorders>
            <w:shd w:val="clear" w:color="auto" w:fill="D3D3D3"/>
          </w:tcPr>
          <w:p>
            <w:pPr/>
          </w:p>
        </w:tc>
        <w:tc>
          <w:tcPr>
            <w:tcW w:w="3079" w:type="dxa"/>
            <w:tcBorders>
              <w:top w:val="nil" w:sz="6" w:space="0" w:color="auto"/>
              <w:left w:val="single" w:sz="2" w:space="0" w:color="000000"/>
              <w:bottom w:val="single" w:sz="2" w:space="0" w:color="000000"/>
              <w:right w:val="single" w:sz="2" w:space="0" w:color="000000"/>
            </w:tcBorders>
            <w:shd w:val="clear" w:color="auto" w:fill="D3D3D3"/>
          </w:tcPr>
          <w:p>
            <w:pPr/>
          </w:p>
        </w:tc>
        <w:tc>
          <w:tcPr>
            <w:tcW w:w="1913" w:type="dxa"/>
            <w:vMerge/>
            <w:tcBorders>
              <w:left w:val="single" w:sz="2" w:space="0" w:color="000000"/>
              <w:bottom w:val="single" w:sz="2" w:space="0" w:color="000000"/>
              <w:right w:val="single" w:sz="2" w:space="0" w:color="000000"/>
            </w:tcBorders>
            <w:shd w:val="clear" w:color="auto" w:fill="D3D3D3"/>
          </w:tcPr>
          <w:p>
            <w:pPr/>
          </w:p>
        </w:tc>
        <w:tc>
          <w:tcPr>
            <w:tcW w:w="1914" w:type="dxa"/>
            <w:vMerge/>
            <w:tcBorders>
              <w:left w:val="single" w:sz="2" w:space="0" w:color="000000"/>
              <w:bottom w:val="single" w:sz="2" w:space="0" w:color="000000"/>
              <w:right w:val="single" w:sz="2" w:space="0" w:color="000000"/>
            </w:tcBorders>
            <w:shd w:val="clear" w:color="auto" w:fill="D3D3D3"/>
          </w:tcPr>
          <w:p>
            <w:pPr/>
          </w:p>
        </w:tc>
      </w:tr>
      <w:tr>
        <w:trPr>
          <w:trHeight w:val="397" w:hRule="exact"/>
        </w:trPr>
        <w:tc>
          <w:tcPr>
            <w:tcW w:w="26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9.89%</w:t>
            </w:r>
          </w:p>
        </w:tc>
        <w:tc>
          <w:tcPr>
            <w:tcW w:w="19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0.3278</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0.3278</w:t>
            </w:r>
          </w:p>
        </w:tc>
      </w:tr>
      <w:tr>
        <w:trPr>
          <w:trHeight w:val="709" w:hRule="exact"/>
        </w:trPr>
        <w:tc>
          <w:tcPr>
            <w:tcW w:w="2663" w:type="dxa"/>
            <w:tcBorders>
              <w:top w:val="single" w:sz="2" w:space="0" w:color="000000"/>
              <w:left w:val="single" w:sz="2" w:space="0" w:color="000000"/>
              <w:bottom w:val="single" w:sz="2" w:space="0" w:color="000000"/>
              <w:right w:val="single" w:sz="2" w:space="0" w:color="000000"/>
            </w:tcBorders>
            <w:shd w:val="clear" w:color="auto" w:fill="D3D3D3"/>
          </w:tcPr>
          <w:p>
            <w:pPr>
              <w:pStyle w:val="TableParagraph"/>
              <w:spacing w:line="316" w:lineRule="auto" w:before="51"/>
              <w:ind w:left="26" w:right="109"/>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79" w:type="dxa"/>
            <w:tcBorders>
              <w:top w:val="single" w:sz="2" w:space="0" w:color="000000"/>
              <w:left w:val="single" w:sz="11" w:space="0" w:color="D3D3D3"/>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7.89%</w:t>
            </w:r>
          </w:p>
        </w:tc>
        <w:tc>
          <w:tcPr>
            <w:tcW w:w="19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0.2615</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0.2615</w:t>
            </w:r>
          </w:p>
        </w:tc>
      </w:tr>
    </w:tbl>
    <w:p>
      <w:pPr>
        <w:spacing w:line="240" w:lineRule="auto" w:before="2"/>
        <w:rPr>
          <w:rFonts w:ascii="宋体" w:hAnsi="宋体" w:cs="宋体" w:eastAsia="宋体" w:hint="default"/>
          <w:b/>
          <w:bCs/>
          <w:sz w:val="19"/>
          <w:szCs w:val="19"/>
        </w:rPr>
      </w:pPr>
    </w:p>
    <w:p>
      <w:pPr>
        <w:pStyle w:val="Heading3"/>
        <w:spacing w:line="240" w:lineRule="auto" w:before="35"/>
        <w:ind w:right="1113"/>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1113"/>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32"/>
          <w:szCs w:val="32"/>
        </w:rPr>
      </w:pPr>
    </w:p>
    <w:p>
      <w:pPr>
        <w:spacing w:before="0"/>
        <w:ind w:left="15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59" w:lineRule="auto"/>
        <w:ind w:right="1113"/>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3"/>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877" w:footer="982" w:top="1100" w:bottom="118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1"/>
        <w:spacing w:line="240" w:lineRule="auto"/>
        <w:ind w:left="3366" w:right="1113"/>
        <w:jc w:val="left"/>
        <w:rPr>
          <w:b w:val="0"/>
          <w:bCs w:val="0"/>
        </w:rPr>
      </w:pPr>
      <w:bookmarkStart w:name="_TOC_250000" w:id="13"/>
      <w:r>
        <w:rPr/>
        <w:t>第十三节备查文件目录</w:t>
      </w:r>
      <w:bookmarkEnd w:id="13"/>
      <w:r>
        <w:rPr>
          <w:b w:val="0"/>
          <w:bCs w:val="0"/>
        </w:rPr>
      </w:r>
    </w:p>
    <w:p>
      <w:pPr>
        <w:spacing w:line="240" w:lineRule="auto" w:before="7"/>
        <w:rPr>
          <w:rFonts w:ascii="宋体" w:hAnsi="宋体" w:cs="宋体" w:eastAsia="宋体" w:hint="default"/>
          <w:b/>
          <w:bCs/>
          <w:sz w:val="46"/>
          <w:szCs w:val="46"/>
        </w:rPr>
      </w:pPr>
    </w:p>
    <w:p>
      <w:pPr>
        <w:pStyle w:val="BodyText"/>
        <w:spacing w:line="408" w:lineRule="auto" w:before="0"/>
        <w:ind w:left="574" w:right="2140"/>
        <w:jc w:val="left"/>
      </w:pPr>
      <w:r>
        <w:rPr/>
        <w:t>一、载有公司法定代表人、主管会计工作负责人、会计主管人员签名并盖章的财务报表。 二、载有会计师事务所盖章、注册会计师签名并盖章的审计报告原件。 三、报告期内在中国证监会指定网站上公开披露过的所有公司文件的正本及公告的原稿。 四、经公司法定代表人签名的</w:t>
      </w:r>
      <w:r>
        <w:rPr>
          <w:rFonts w:ascii="Times New Roman" w:hAnsi="Times New Roman" w:cs="Times New Roman" w:eastAsia="Times New Roman" w:hint="default"/>
        </w:rPr>
        <w:t>2019</w:t>
      </w:r>
      <w:r>
        <w:rPr/>
        <w:t>年度报告原文件。</w:t>
      </w:r>
    </w:p>
    <w:p>
      <w:pPr>
        <w:pStyle w:val="BodyText"/>
        <w:spacing w:line="408" w:lineRule="auto" w:before="14"/>
        <w:ind w:left="573" w:right="6131"/>
        <w:jc w:val="left"/>
      </w:pPr>
      <w:r>
        <w:rPr/>
        <w:t>五、其他相关资料。 以上备查文件的备置地点：公司证券事务部。</w:t>
      </w:r>
    </w:p>
    <w:sectPr>
      <w:pgSz w:w="11910" w:h="16840"/>
      <w:pgMar w:header="877" w:footer="982" w:top="1100" w:bottom="118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楷体">
    <w:altName w:val="楷体"/>
    <w:charset w:val="86"/>
    <w:family w:val="modern"/>
    <w:pitch w:val="fixed"/>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599760" type="#_x0000_t75" stroked="false">
          <v:imagedata r:id="rId1" o:title=""/>
        </v:shape>
      </w:pict>
    </w:r>
    <w:r>
      <w:rPr/>
      <w:pict>
        <v:shape style="position:absolute;margin-left:533.119873pt;margin-top:795.457642pt;width:6.5pt;height:11pt;mso-position-horizontal-relative:page;mso-position-vertical-relative:page;z-index:-15997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599136" type="#_x0000_t75" stroked="false">
          <v:imagedata r:id="rId1" o:title=""/>
        </v:shape>
      </w:pict>
    </w:r>
    <w:r>
      <w:rPr/>
      <w:pict>
        <v:shape style="position:absolute;margin-left:523.119873pt;margin-top:781.897522pt;width:17.5pt;height:11pt;mso-position-horizontal-relative:page;mso-position-vertical-relative:page;z-index:-1599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40295pt;margin-top:570.334656pt;width:42.060646pt;height:18.943344pt;mso-position-horizontal-relative:page;mso-position-vertical-relative:page;z-index:-1599064" type="#_x0000_t75" stroked="false">
          <v:imagedata r:id="rId1" o:title=""/>
        </v:shape>
      </w:pict>
    </w:r>
    <w:r>
      <w:rPr/>
      <w:pict>
        <v:shape style="position:absolute;margin-left:754.410522pt;margin-top:535.297913pt;width:17.5pt;height:11pt;mso-position-horizontal-relative:page;mso-position-vertical-relative:page;z-index:-1599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207</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598896" type="#_x0000_t75" stroked="false">
          <v:imagedata r:id="rId1" o:title=""/>
        </v:shape>
      </w:pict>
    </w:r>
    <w:r>
      <w:rPr/>
      <w:pict>
        <v:shape style="position:absolute;margin-left:523.119873pt;margin-top:781.897522pt;width:17.5pt;height:11pt;mso-position-horizontal-relative:page;mso-position-vertical-relative:page;z-index:-1598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599712" type="#_x0000_t75" stroked="false">
          <v:imagedata r:id="rId1" o:title=""/>
        </v:shape>
      </w:pict>
    </w:r>
    <w:r>
      <w:rPr/>
      <w:pict>
        <v:shape style="position:absolute;margin-left:527.619873pt;margin-top:781.897522pt;width:13pt;height:11pt;mso-position-horizontal-relative:page;mso-position-vertical-relative:page;z-index:-1599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40295pt;margin-top:570.334656pt;width:42.060646pt;height:18.943344pt;mso-position-horizontal-relative:page;mso-position-vertical-relative:page;z-index:-1599640" type="#_x0000_t75" stroked="false">
          <v:imagedata r:id="rId1" o:title=""/>
        </v:shape>
      </w:pict>
    </w:r>
    <w:r>
      <w:rPr/>
      <w:pict>
        <v:shape style="position:absolute;margin-left:758.910522pt;margin-top:535.297913pt;width:13pt;height:11pt;mso-position-horizontal-relative:page;mso-position-vertical-relative:page;z-index:-1599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599544" type="#_x0000_t75" stroked="false">
          <v:imagedata r:id="rId1" o:title=""/>
        </v:shape>
      </w:pict>
    </w:r>
    <w:r>
      <w:rPr/>
      <w:pict>
        <v:shape style="position:absolute;margin-left:527.619873pt;margin-top:781.897522pt;width:13pt;height:11pt;mso-position-horizontal-relative:page;mso-position-vertical-relative:page;z-index:-1599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40295pt;margin-top:570.334656pt;width:42.060646pt;height:18.943344pt;mso-position-horizontal-relative:page;mso-position-vertical-relative:page;z-index:-1599472" type="#_x0000_t75" stroked="false">
          <v:imagedata r:id="rId1" o:title=""/>
        </v:shape>
      </w:pict>
    </w:r>
    <w:r>
      <w:rPr/>
      <w:pict>
        <v:shape style="position:absolute;margin-left:758.910522pt;margin-top:535.297913pt;width:13pt;height:11pt;mso-position-horizontal-relative:page;mso-position-vertical-relative:page;z-index:-1599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66</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40295pt;margin-top:570.334656pt;width:42.060646pt;height:18.943344pt;mso-position-horizontal-relative:page;mso-position-vertical-relative:page;z-index:-1599376" type="#_x0000_t75" stroked="false">
          <v:imagedata r:id="rId1" o:title=""/>
        </v:shape>
      </w:pict>
    </w:r>
    <w:r>
      <w:rPr/>
      <w:pict>
        <v:shape style="position:absolute;margin-left:755.410522pt;margin-top:535.297913pt;width:15.5pt;height:11pt;mso-position-horizontal-relative:page;mso-position-vertical-relative:page;z-index:-15993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40295pt;margin-top:570.334656pt;width:42.060646pt;height:18.943344pt;mso-position-horizontal-relative:page;mso-position-vertical-relative:page;z-index:-1599328" type="#_x0000_t75" stroked="false">
          <v:imagedata r:id="rId1" o:title=""/>
        </v:shape>
      </w:pict>
    </w:r>
    <w:r>
      <w:rPr/>
      <w:pict>
        <v:shape style="position:absolute;margin-left:754.410522pt;margin-top:535.297913pt;width:17.5pt;height:11pt;mso-position-horizontal-relative:page;mso-position-vertical-relative:page;z-index:-15993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599232" type="#_x0000_t75" stroked="false">
          <v:imagedata r:id="rId1" o:title=""/>
        </v:shape>
      </w:pict>
    </w:r>
    <w:r>
      <w:rPr/>
      <w:pict>
        <v:shape style="position:absolute;margin-left:523.119873pt;margin-top:781.897522pt;width:17.5pt;height:11pt;mso-position-horizontal-relative:page;mso-position-vertical-relative:page;z-index:-1599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599184" type="#_x0000_t75" stroked="false">
          <v:imagedata r:id="rId1" o:title=""/>
        </v:shape>
      </w:pict>
    </w:r>
    <w:r>
      <w:rPr/>
      <w:pict>
        <v:shape style="position:absolute;margin-left:524.119873pt;margin-top:781.897522pt;width:15.5pt;height:11pt;mso-position-horizontal-relative:page;mso-position-vertical-relative:page;z-index:-15991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179993pt;margin-top:36.325325pt;width:186.45pt;height:11.5pt;mso-position-horizontal-relative:page;mso-position-vertical-relative:page;z-index:-15997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新开普电子股份有限公司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7052pt;margin-top:42.865623pt;width:186.45pt;height:11.5pt;mso-position-horizontal-relative:page;mso-position-vertical-relative:page;z-index:-15989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新开普电子股份有限公司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598944"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53.179993pt;margin-top:42.865326pt;width:186.45pt;height:11.5pt;mso-position-horizontal-relative:page;mso-position-vertical-relative:page;z-index:-15989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新开普电子股份有限公司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7052pt;margin-top:42.865623pt;width:186.45pt;height:11.5pt;mso-position-horizontal-relative:page;mso-position-vertical-relative:page;z-index:-15996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新开普电子股份有限公司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599592"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53.179993pt;margin-top:42.865326pt;width:186.45pt;height:11.5pt;mso-position-horizontal-relative:page;mso-position-vertical-relative:page;z-index:-15995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新开普电子股份有限公司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7052pt;margin-top:42.865623pt;width:186.45pt;height:11.5pt;mso-position-horizontal-relative:page;mso-position-vertical-relative:page;z-index:-15994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新开普电子股份有限公司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7052pt;margin-top:42.865623pt;width:186.45pt;height:27.65pt;mso-position-horizontal-relative:page;mso-position-vertical-relative:page;z-index:-1599424" type="#_x0000_t202" filled="false" stroked="false">
          <v:textbox inset="0,0,0,0">
            <w:txbxContent>
              <w:p>
                <w:pPr>
                  <w:spacing w:line="214" w:lineRule="exact" w:before="0"/>
                  <w:ind w:left="0" w:right="18" w:firstLine="0"/>
                  <w:jc w:val="right"/>
                  <w:rPr>
                    <w:rFonts w:ascii="宋体" w:hAnsi="宋体" w:cs="宋体" w:eastAsia="宋体" w:hint="default"/>
                    <w:sz w:val="18"/>
                    <w:szCs w:val="18"/>
                  </w:rPr>
                </w:pPr>
                <w:r>
                  <w:rPr>
                    <w:rFonts w:ascii="宋体" w:hAnsi="宋体" w:cs="宋体" w:eastAsia="宋体" w:hint="default"/>
                    <w:sz w:val="18"/>
                    <w:szCs w:val="18"/>
                  </w:rPr>
                  <w:t>新开普电子股份有限公司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before="83"/>
                  <w:ind w:left="0" w:right="22" w:firstLine="0"/>
                  <w:jc w:val="righ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7052pt;margin-top:42.865623pt;width:186.45pt;height:11.5pt;mso-position-horizontal-relative:page;mso-position-vertical-relative:page;z-index:-15994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新开普电子股份有限公司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599280"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53.179993pt;margin-top:42.865326pt;width:186.45pt;height:11.5pt;mso-position-horizontal-relative:page;mso-position-vertical-relative:page;z-index:-15992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新开普电子股份有限公司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7052pt;margin-top:42.865623pt;width:186.45pt;height:11.5pt;mso-position-horizontal-relative:page;mso-position-vertical-relative:page;z-index:-15990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新开普电子股份有限公司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7052pt;margin-top:42.865623pt;width:186.45pt;height:11.5pt;mso-position-horizontal-relative:page;mso-position-vertical-relative:page;z-index:-15990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新开普电子股份有限公司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r>
      <w:rPr/>
      <w:pict>
        <v:shape style="position:absolute;margin-left:133.990494pt;margin-top:58.196564pt;width:33.7pt;height:12.5pt;mso-position-horizontal-relative:page;mso-position-vertical-relative:page;z-index:-1598992"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母公司</w:t>
                </w:r>
                <w:r>
                  <w:rPr>
                    <w:rFonts w:ascii="宋体" w:hAnsi="宋体" w:cs="宋体" w:eastAsia="宋体" w:hint="default"/>
                    <w:sz w:val="21"/>
                    <w:szCs w:val="21"/>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spacing w:before="46"/>
      <w:ind w:left="154"/>
    </w:pPr>
    <w:rPr>
      <w:rFonts w:ascii="宋体" w:hAnsi="宋体" w:eastAsia="宋体"/>
      <w:sz w:val="21"/>
      <w:szCs w:val="21"/>
    </w:rPr>
  </w:style>
  <w:style w:styleId="Heading1" w:type="paragraph">
    <w:name w:val="Heading 1"/>
    <w:basedOn w:val="Normal"/>
    <w:uiPriority w:val="1"/>
    <w:qFormat/>
    <w:pPr>
      <w:spacing w:before="1"/>
      <w:ind w:left="346"/>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newcapec.com.cn/" TargetMode="External"/><Relationship Id="rId10" Type="http://schemas.openxmlformats.org/officeDocument/2006/relationships/hyperlink" Target="mailto:zqswb@newcapec.net" TargetMode="External"/><Relationship Id="rId11" Type="http://schemas.openxmlformats.org/officeDocument/2006/relationships/hyperlink" Target="mailto:zhaoxuan@newcapec.net" TargetMode="External"/><Relationship Id="rId12" Type="http://schemas.openxmlformats.org/officeDocument/2006/relationships/hyperlink" Target="mailto:zhaoxin@newcapec.net" TargetMode="Externa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header" Target="header2.xml"/><Relationship Id="rId16" Type="http://schemas.openxmlformats.org/officeDocument/2006/relationships/footer" Target="footer3.xml"/><Relationship Id="rId17" Type="http://schemas.openxmlformats.org/officeDocument/2006/relationships/header" Target="header3.xml"/><Relationship Id="rId18" Type="http://schemas.openxmlformats.org/officeDocument/2006/relationships/footer" Target="footer4.xml"/><Relationship Id="rId19" Type="http://schemas.openxmlformats.org/officeDocument/2006/relationships/hyperlink" Target="http://w/" TargetMode="External"/><Relationship Id="rId20" Type="http://schemas.openxmlformats.org/officeDocument/2006/relationships/hyperlink" Target="http://www.cninfo.com.cn/" TargetMode="External"/><Relationship Id="rId21" Type="http://schemas.openxmlformats.org/officeDocument/2006/relationships/header" Target="header4.xml"/><Relationship Id="rId22" Type="http://schemas.openxmlformats.org/officeDocument/2006/relationships/footer" Target="footer5.xml"/><Relationship Id="rId23" Type="http://schemas.openxmlformats.org/officeDocument/2006/relationships/header" Target="header5.xml"/><Relationship Id="rId24" Type="http://schemas.openxmlformats.org/officeDocument/2006/relationships/header" Target="header6.xml"/><Relationship Id="rId25" Type="http://schemas.openxmlformats.org/officeDocument/2006/relationships/footer" Target="footer6.xml"/><Relationship Id="rId26" Type="http://schemas.openxmlformats.org/officeDocument/2006/relationships/footer" Target="footer7.xml"/><Relationship Id="rId27" Type="http://schemas.openxmlformats.org/officeDocument/2006/relationships/header" Target="header7.xml"/><Relationship Id="rId28" Type="http://schemas.openxmlformats.org/officeDocument/2006/relationships/footer" Target="footer8.xml"/><Relationship Id="rId29" Type="http://schemas.openxmlformats.org/officeDocument/2006/relationships/hyperlink" Target="http://ww/" TargetMode="External"/><Relationship Id="rId30" Type="http://schemas.openxmlformats.org/officeDocument/2006/relationships/image" Target="media/image5.jpeg"/><Relationship Id="rId31" Type="http://schemas.openxmlformats.org/officeDocument/2006/relationships/footer" Target="footer9.xml"/><Relationship Id="rId32" Type="http://schemas.openxmlformats.org/officeDocument/2006/relationships/footer" Target="footer10.xml"/><Relationship Id="rId33" Type="http://schemas.openxmlformats.org/officeDocument/2006/relationships/header" Target="header8.xml"/><Relationship Id="rId34" Type="http://schemas.openxmlformats.org/officeDocument/2006/relationships/footer" Target="footer11.xml"/><Relationship Id="rId35" Type="http://schemas.openxmlformats.org/officeDocument/2006/relationships/header" Target="header9.xml"/><Relationship Id="rId36" Type="http://schemas.openxmlformats.org/officeDocument/2006/relationships/header" Target="header10.xml"/><Relationship Id="rId37" Type="http://schemas.openxmlformats.org/officeDocument/2006/relationships/header" Target="header11.xml"/><Relationship Id="rId38" Type="http://schemas.openxmlformats.org/officeDocument/2006/relationships/footer" Target="footer1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&lt;4D6963726F736F667420576F7264202D20D0C2BFAAC6D5A3BA32303139C4EAC4EAB6C8B1A8B8E6C8ABCEC4&gt;</dc:title>
  <dcterms:created xsi:type="dcterms:W3CDTF">2020-05-19T03:57:11Z</dcterms:created>
  <dcterms:modified xsi:type="dcterms:W3CDTF">2020-05-19T03:57:11Z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2020-04-15T00:00:00Z</vt:filetime>
  </property>
  <property fmtid="{D5CDD505-2E9C-101B-9397-08002B2CF9AE}" pid="3" name="Creator">
    <vt:lpwstr>PScript5.dll Version 5.2.2</vt:lpwstr>
  </property>
  <property fmtid="{D5CDD505-2E9C-101B-9397-08002B2CF9AE}" pid="4" name="LastSaved">
    <vt:filetime>2020-05-18T00:00:00Z</vt:filetime>
  </property>
</Properties>
</file>