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spacing w:line="620" w:lineRule="exact" w:before="0"/>
        <w:ind w:left="2168" w:right="1033" w:firstLine="0"/>
        <w:jc w:val="left"/>
        <w:rPr>
          <w:rFonts w:ascii="黑体" w:hAnsi="黑体" w:cs="黑体" w:eastAsia="黑体" w:hint="default"/>
          <w:sz w:val="52"/>
          <w:szCs w:val="52"/>
        </w:rPr>
      </w:pPr>
      <w:r>
        <w:rPr/>
        <w:pict>
          <v:group style="position:absolute;margin-left:55.200001pt;margin-top:-29.553438pt;width:485pt;height:.1pt;mso-position-horizontal-relative:page;mso-position-vertical-relative:paragraph;z-index:0" coordorigin="1104,-591" coordsize="9700,2">
            <v:shape style="position:absolute;left:1104;top:-591;width:9700;height:2" coordorigin="1104,-591" coordsize="9700,0" path="m1104,-591l10804,-591e" filled="false" stroked="true" strokeweight=".72pt" strokecolor="#000000">
              <v:path arrowok="t"/>
            </v:shape>
            <w10:wrap type="none"/>
          </v:group>
        </w:pict>
      </w:r>
      <w:r>
        <w:rPr>
          <w:rFonts w:ascii="黑体" w:hAnsi="黑体" w:cs="黑体" w:eastAsia="黑体" w:hint="default"/>
          <w:b/>
          <w:bCs/>
          <w:sz w:val="52"/>
          <w:szCs w:val="52"/>
        </w:rPr>
        <w:t>四川依米康环境科技股份有限公司</w:t>
      </w:r>
      <w:r>
        <w:rPr>
          <w:rFonts w:ascii="黑体" w:hAnsi="黑体" w:cs="黑体" w:eastAsia="黑体" w:hint="default"/>
          <w:sz w:val="52"/>
          <w:szCs w:val="52"/>
        </w:rPr>
      </w:r>
    </w:p>
    <w:p>
      <w:pPr>
        <w:spacing w:before="117"/>
        <w:ind w:left="2162" w:right="1033" w:firstLine="0"/>
        <w:jc w:val="left"/>
        <w:rPr>
          <w:rFonts w:ascii="Times New Roman" w:hAnsi="Times New Roman" w:cs="Times New Roman" w:eastAsia="Times New Roman" w:hint="default"/>
          <w:sz w:val="36"/>
          <w:szCs w:val="36"/>
        </w:rPr>
      </w:pPr>
      <w:r>
        <w:rPr>
          <w:rFonts w:ascii="Times New Roman"/>
          <w:b/>
          <w:sz w:val="36"/>
        </w:rPr>
        <w:t>Sichuan Yimikang Environmental </w:t>
      </w:r>
      <w:r>
        <w:rPr>
          <w:rFonts w:ascii="Times New Roman"/>
          <w:b/>
          <w:spacing w:val="-7"/>
          <w:sz w:val="36"/>
        </w:rPr>
        <w:t>Tech. </w:t>
      </w:r>
      <w:r>
        <w:rPr>
          <w:rFonts w:ascii="Times New Roman"/>
          <w:b/>
          <w:sz w:val="36"/>
        </w:rPr>
        <w:t>Co.,</w:t>
      </w:r>
      <w:r>
        <w:rPr>
          <w:rFonts w:ascii="Times New Roman"/>
          <w:b/>
          <w:spacing w:val="-33"/>
          <w:sz w:val="36"/>
        </w:rPr>
        <w:t> </w:t>
      </w:r>
      <w:r>
        <w:rPr>
          <w:rFonts w:ascii="Times New Roman"/>
          <w:b/>
          <w:sz w:val="36"/>
        </w:rPr>
        <w:t>Ltd.</w:t>
      </w:r>
      <w:r>
        <w:rPr>
          <w:rFonts w:ascii="Times New Roman"/>
          <w:sz w:val="36"/>
        </w:rPr>
      </w:r>
    </w:p>
    <w:p>
      <w:pPr>
        <w:pStyle w:val="Heading2"/>
        <w:tabs>
          <w:tab w:pos="4773" w:val="left" w:leader="none"/>
          <w:tab w:pos="7433" w:val="left" w:leader="none"/>
        </w:tabs>
        <w:spacing w:line="240" w:lineRule="auto" w:before="202"/>
        <w:ind w:left="1834" w:right="1033"/>
        <w:jc w:val="left"/>
        <w:rPr>
          <w:rFonts w:ascii="宋体" w:hAnsi="宋体" w:cs="宋体" w:eastAsia="宋体" w:hint="default"/>
        </w:rPr>
      </w:pPr>
      <w:r>
        <w:rPr>
          <w:w w:val="95"/>
        </w:rPr>
        <w:t>证券代码：</w:t>
      </w:r>
      <w:r>
        <w:rPr>
          <w:rFonts w:ascii="宋体" w:hAnsi="宋体" w:cs="宋体" w:eastAsia="宋体" w:hint="default"/>
          <w:w w:val="95"/>
        </w:rPr>
        <w:t>300249</w:t>
        <w:tab/>
      </w:r>
      <w:r>
        <w:rPr>
          <w:w w:val="95"/>
        </w:rPr>
        <w:t>证券简称：依米康</w:t>
        <w:tab/>
      </w:r>
      <w:r>
        <w:rPr/>
        <w:t>公告编号：</w:t>
      </w:r>
      <w:r>
        <w:rPr>
          <w:rFonts w:ascii="宋体" w:hAnsi="宋体" w:cs="宋体" w:eastAsia="宋体" w:hint="default"/>
        </w:rPr>
        <w:t>2016021</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19"/>
          <w:szCs w:val="19"/>
        </w:rPr>
      </w:pPr>
    </w:p>
    <w:p>
      <w:pPr>
        <w:spacing w:before="0"/>
        <w:ind w:left="1114" w:right="699" w:firstLine="0"/>
        <w:jc w:val="center"/>
        <w:rPr>
          <w:rFonts w:ascii="黑体" w:hAnsi="黑体" w:cs="黑体" w:eastAsia="黑体" w:hint="default"/>
          <w:sz w:val="52"/>
          <w:szCs w:val="52"/>
        </w:rPr>
      </w:pPr>
      <w:r>
        <w:rPr>
          <w:rFonts w:ascii="黑体" w:hAnsi="黑体" w:cs="黑体" w:eastAsia="黑体" w:hint="default"/>
          <w:b/>
          <w:bCs/>
          <w:sz w:val="52"/>
          <w:szCs w:val="52"/>
        </w:rPr>
        <w:t>2015</w:t>
      </w:r>
      <w:r>
        <w:rPr>
          <w:rFonts w:ascii="黑体" w:hAnsi="黑体" w:cs="黑体" w:eastAsia="黑体" w:hint="default"/>
          <w:b/>
          <w:bCs/>
          <w:spacing w:val="-137"/>
          <w:sz w:val="52"/>
          <w:szCs w:val="52"/>
        </w:rPr>
        <w:t> </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2"/>
          <w:szCs w:val="22"/>
        </w:rPr>
      </w:pPr>
    </w:p>
    <w:p>
      <w:pPr>
        <w:spacing w:line="1431" w:lineRule="exact"/>
        <w:ind w:left="3800" w:right="0" w:firstLine="0"/>
        <w:rPr>
          <w:rFonts w:ascii="黑体" w:hAnsi="黑体" w:cs="黑体" w:eastAsia="黑体" w:hint="default"/>
          <w:sz w:val="20"/>
          <w:szCs w:val="20"/>
        </w:rPr>
      </w:pPr>
      <w:r>
        <w:rPr>
          <w:rFonts w:ascii="黑体" w:hAnsi="黑体" w:cs="黑体" w:eastAsia="黑体" w:hint="default"/>
          <w:position w:val="-28"/>
          <w:sz w:val="20"/>
          <w:szCs w:val="20"/>
        </w:rPr>
        <w:drawing>
          <wp:inline distT="0" distB="0" distL="0" distR="0">
            <wp:extent cx="2716589" cy="90868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716589" cy="908685"/>
                    </a:xfrm>
                    <a:prstGeom prst="rect">
                      <a:avLst/>
                    </a:prstGeom>
                  </pic:spPr>
                </pic:pic>
              </a:graphicData>
            </a:graphic>
          </wp:inline>
        </w:drawing>
      </w:r>
      <w:r>
        <w:rPr>
          <w:rFonts w:ascii="黑体" w:hAnsi="黑体" w:cs="黑体" w:eastAsia="黑体" w:hint="default"/>
          <w:position w:val="-28"/>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7"/>
          <w:szCs w:val="17"/>
        </w:rPr>
      </w:pPr>
    </w:p>
    <w:p>
      <w:pPr>
        <w:spacing w:line="360" w:lineRule="auto" w:before="7"/>
        <w:ind w:left="4851" w:right="4618" w:firstLine="29"/>
        <w:jc w:val="center"/>
        <w:rPr>
          <w:rFonts w:ascii="宋体" w:hAnsi="宋体" w:cs="宋体" w:eastAsia="宋体" w:hint="default"/>
          <w:sz w:val="30"/>
          <w:szCs w:val="30"/>
        </w:rPr>
      </w:pPr>
      <w:r>
        <w:rPr>
          <w:rFonts w:ascii="宋体" w:hAnsi="宋体" w:cs="宋体" w:eastAsia="宋体" w:hint="default"/>
          <w:sz w:val="30"/>
          <w:szCs w:val="30"/>
        </w:rPr>
        <w:t>股票代码：</w:t>
      </w:r>
      <w:r>
        <w:rPr>
          <w:rFonts w:ascii="Times New Roman" w:hAnsi="Times New Roman" w:cs="Times New Roman" w:eastAsia="Times New Roman" w:hint="default"/>
          <w:sz w:val="30"/>
          <w:szCs w:val="30"/>
        </w:rPr>
        <w:t>300249</w:t>
      </w:r>
      <w:r>
        <w:rPr>
          <w:rFonts w:ascii="Times New Roman" w:hAnsi="Times New Roman" w:cs="Times New Roman" w:eastAsia="Times New Roman" w:hint="default"/>
          <w:spacing w:val="1"/>
          <w:sz w:val="30"/>
          <w:szCs w:val="30"/>
        </w:rPr>
        <w:t> </w:t>
      </w:r>
      <w:r>
        <w:rPr>
          <w:rFonts w:ascii="宋体" w:hAnsi="宋体" w:cs="宋体" w:eastAsia="宋体" w:hint="default"/>
          <w:sz w:val="30"/>
          <w:szCs w:val="30"/>
        </w:rPr>
        <w:t>股票简称：依米康</w:t>
      </w:r>
    </w:p>
    <w:p>
      <w:pPr>
        <w:spacing w:before="81"/>
        <w:ind w:left="4552" w:right="1033" w:firstLine="0"/>
        <w:jc w:val="left"/>
        <w:rPr>
          <w:rFonts w:ascii="宋体" w:hAnsi="宋体" w:cs="宋体" w:eastAsia="宋体" w:hint="default"/>
          <w:sz w:val="30"/>
          <w:szCs w:val="30"/>
        </w:rPr>
      </w:pPr>
      <w:r>
        <w:rPr>
          <w:rFonts w:ascii="宋体" w:hAnsi="宋体" w:cs="宋体" w:eastAsia="宋体" w:hint="default"/>
          <w:sz w:val="30"/>
          <w:szCs w:val="30"/>
        </w:rPr>
        <w:t>披露日期：</w:t>
      </w:r>
      <w:r>
        <w:rPr>
          <w:rFonts w:ascii="Times New Roman" w:hAnsi="Times New Roman" w:cs="Times New Roman" w:eastAsia="Times New Roman" w:hint="default"/>
          <w:sz w:val="30"/>
          <w:szCs w:val="30"/>
        </w:rPr>
        <w:t>2016</w:t>
      </w:r>
      <w:r>
        <w:rPr>
          <w:rFonts w:ascii="宋体" w:hAnsi="宋体" w:cs="宋体" w:eastAsia="宋体" w:hint="default"/>
          <w:sz w:val="30"/>
          <w:szCs w:val="30"/>
        </w:rPr>
        <w:t>年</w:t>
      </w:r>
      <w:r>
        <w:rPr>
          <w:rFonts w:ascii="Times New Roman" w:hAnsi="Times New Roman" w:cs="Times New Roman" w:eastAsia="Times New Roman" w:hint="default"/>
          <w:sz w:val="30"/>
          <w:szCs w:val="30"/>
        </w:rPr>
        <w:t>3</w:t>
      </w:r>
      <w:r>
        <w:rPr>
          <w:rFonts w:ascii="宋体" w:hAnsi="宋体" w:cs="宋体" w:eastAsia="宋体" w:hint="default"/>
          <w:sz w:val="30"/>
          <w:szCs w:val="30"/>
        </w:rPr>
        <w:t>月</w:t>
      </w:r>
      <w:r>
        <w:rPr>
          <w:rFonts w:ascii="Times New Roman" w:hAnsi="Times New Roman" w:cs="Times New Roman" w:eastAsia="Times New Roman" w:hint="default"/>
          <w:sz w:val="30"/>
          <w:szCs w:val="30"/>
        </w:rPr>
        <w:t>22</w:t>
      </w:r>
      <w:r>
        <w:rPr>
          <w:rFonts w:ascii="宋体" w:hAnsi="宋体" w:cs="宋体" w:eastAsia="宋体" w:hint="default"/>
          <w:sz w:val="30"/>
          <w:szCs w:val="30"/>
        </w:rPr>
        <w:t>日</w:t>
      </w:r>
    </w:p>
    <w:p>
      <w:pPr>
        <w:spacing w:after="0"/>
        <w:jc w:val="left"/>
        <w:rPr>
          <w:rFonts w:ascii="宋体" w:hAnsi="宋体" w:cs="宋体" w:eastAsia="宋体" w:hint="default"/>
          <w:sz w:val="30"/>
          <w:szCs w:val="30"/>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992" w:right="993"/>
        <w:jc w:val="center"/>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黑体" w:hAnsi="黑体" w:cs="黑体" w:eastAsia="黑体" w:hint="default"/>
          <w:b/>
          <w:bCs/>
          <w:sz w:val="44"/>
          <w:szCs w:val="44"/>
        </w:rPr>
      </w:pPr>
    </w:p>
    <w:p>
      <w:pPr>
        <w:pStyle w:val="BodyText"/>
        <w:spacing w:line="357" w:lineRule="auto"/>
        <w:ind w:right="1033" w:firstLine="480"/>
        <w:jc w:val="left"/>
      </w:pPr>
      <w:r>
        <w:rPr/>
        <w:t>一、本公司董事会、监事会及董事、监事、高级管理人员保证年度报告内容的真实、准 确、完整，不存在虚假记载、误导性陈述或重大遗漏，并承担个别和连带的法律责任。</w:t>
      </w:r>
    </w:p>
    <w:p>
      <w:pPr>
        <w:pStyle w:val="BodyText"/>
        <w:spacing w:line="357" w:lineRule="auto" w:before="36"/>
        <w:ind w:right="1033" w:firstLine="480"/>
        <w:jc w:val="left"/>
      </w:pPr>
      <w:r>
        <w:rPr/>
        <w:t>二、公司负责人张菀、主管会计工作负责人黄建军及会计机构负责人</w:t>
      </w:r>
      <w:r>
        <w:rPr>
          <w:rFonts w:ascii="宋体" w:hAnsi="宋体" w:cs="宋体" w:eastAsia="宋体" w:hint="default"/>
        </w:rPr>
        <w:t>(</w:t>
      </w:r>
      <w:r>
        <w:rPr/>
        <w:t>会计主管人员</w:t>
      </w:r>
      <w:r>
        <w:rPr>
          <w:rFonts w:ascii="宋体" w:hAnsi="宋体" w:cs="宋体" w:eastAsia="宋体" w:hint="default"/>
        </w:rPr>
        <w:t>)</w:t>
      </w:r>
      <w:r>
        <w:rPr/>
        <w:t>汤 华林声明：保证年度报告中财务报告的真实、准确、完整。</w:t>
      </w:r>
    </w:p>
    <w:p>
      <w:pPr>
        <w:pStyle w:val="BodyText"/>
        <w:spacing w:line="271" w:lineRule="exact"/>
        <w:ind w:left="1613" w:right="1033"/>
        <w:jc w:val="left"/>
      </w:pPr>
      <w:r>
        <w:rPr/>
        <w:t>三、所有董事均已出席了审议本报告的董事会会议。</w:t>
      </w:r>
    </w:p>
    <w:p>
      <w:pPr>
        <w:pStyle w:val="BodyText"/>
        <w:spacing w:line="357" w:lineRule="auto" w:before="152"/>
        <w:ind w:right="1135" w:firstLine="480"/>
        <w:jc w:val="both"/>
      </w:pPr>
      <w:r>
        <w:rPr/>
        <w:t>四、本报告中如有涉及未来的计划、业绩预测等方面的内容，均不构成本公司对投资者 的实质性承诺；投资者及相关人士均应当对此保持足够的风险认识，并应当理解计划、预测</w:t>
      </w:r>
      <w:r>
        <w:rPr>
          <w:spacing w:val="-111"/>
        </w:rPr>
        <w:t> </w:t>
      </w:r>
      <w:r>
        <w:rPr>
          <w:spacing w:val="-111"/>
        </w:rPr>
      </w:r>
      <w:r>
        <w:rPr/>
        <w:t>与承诺之间的差异。</w:t>
      </w:r>
    </w:p>
    <w:p>
      <w:pPr>
        <w:pStyle w:val="BodyText"/>
        <w:spacing w:line="240" w:lineRule="auto" w:before="35"/>
        <w:ind w:left="1614" w:right="1033"/>
        <w:jc w:val="left"/>
      </w:pPr>
      <w:r>
        <w:rPr/>
        <w:t>五</w:t>
      </w:r>
      <w:r>
        <w:rPr>
          <w:spacing w:val="-101"/>
        </w:rPr>
        <w:t>、</w:t>
      </w:r>
      <w:r>
        <w:rPr>
          <w:spacing w:val="-1"/>
        </w:rPr>
        <w:t>经</w:t>
      </w:r>
      <w:r>
        <w:rPr/>
        <w:t>公司第三届董事会第七次会议审议通过的利润分配预案为</w:t>
      </w:r>
      <w:r>
        <w:rPr>
          <w:spacing w:val="-101"/>
        </w:rPr>
        <w:t>：</w:t>
      </w:r>
      <w:r>
        <w:rPr/>
        <w:t>以截止 </w:t>
      </w:r>
      <w:r>
        <w:rPr>
          <w:rFonts w:ascii="宋体" w:hAnsi="宋体" w:cs="宋体" w:eastAsia="宋体" w:hint="default"/>
        </w:rPr>
        <w:t>2015 </w:t>
      </w:r>
      <w:r>
        <w:rPr/>
        <w:t>年 </w:t>
      </w:r>
      <w:r>
        <w:rPr>
          <w:rFonts w:ascii="宋体" w:hAnsi="宋体" w:cs="宋体" w:eastAsia="宋体" w:hint="default"/>
        </w:rPr>
        <w:t>12 </w:t>
      </w:r>
      <w:r>
        <w:rPr/>
        <w:t>月</w:t>
      </w:r>
    </w:p>
    <w:p>
      <w:pPr>
        <w:pStyle w:val="BodyText"/>
        <w:spacing w:line="240" w:lineRule="auto" w:before="152"/>
        <w:ind w:left="1114" w:right="993"/>
        <w:jc w:val="center"/>
      </w:pPr>
      <w:r>
        <w:rPr>
          <w:rFonts w:ascii="宋体" w:hAnsi="宋体" w:cs="宋体" w:eastAsia="宋体" w:hint="default"/>
        </w:rPr>
        <w:t>31 </w:t>
      </w:r>
      <w:r>
        <w:rPr/>
        <w:t>日公司总股本</w:t>
      </w:r>
      <w:r>
        <w:rPr>
          <w:spacing w:val="-67"/>
        </w:rPr>
        <w:t> </w:t>
      </w:r>
      <w:r>
        <w:rPr>
          <w:rFonts w:ascii="宋体" w:hAnsi="宋体" w:cs="宋体" w:eastAsia="宋体" w:hint="default"/>
        </w:rPr>
        <w:t>175,972,779</w:t>
      </w:r>
      <w:r>
        <w:rPr>
          <w:rFonts w:ascii="宋体" w:hAnsi="宋体" w:cs="宋体" w:eastAsia="宋体" w:hint="default"/>
          <w:spacing w:val="-68"/>
        </w:rPr>
        <w:t> </w:t>
      </w:r>
      <w:r>
        <w:rPr/>
        <w:t>股为基数</w:t>
      </w:r>
      <w:r>
        <w:rPr>
          <w:spacing w:val="-120"/>
        </w:rPr>
        <w:t>，</w:t>
      </w:r>
      <w:r>
        <w:rPr/>
        <w:t>向全体股东每 </w:t>
      </w:r>
      <w:r>
        <w:rPr>
          <w:rFonts w:ascii="宋体" w:hAnsi="宋体" w:cs="宋体" w:eastAsia="宋体" w:hint="default"/>
        </w:rPr>
        <w:t>10 </w:t>
      </w:r>
      <w:r>
        <w:rPr/>
        <w:t>股派发现金红利</w:t>
      </w:r>
      <w:r>
        <w:rPr>
          <w:spacing w:val="-67"/>
        </w:rPr>
        <w:t> </w:t>
      </w:r>
      <w:r>
        <w:rPr>
          <w:rFonts w:ascii="宋体" w:hAnsi="宋体" w:cs="宋体" w:eastAsia="宋体" w:hint="default"/>
        </w:rPr>
        <w:t>0.30 </w:t>
      </w:r>
      <w:r>
        <w:rPr>
          <w:spacing w:val="-120"/>
        </w:rPr>
        <w:t>元</w:t>
      </w:r>
      <w:r>
        <w:rPr/>
        <w:t>（含税</w:t>
      </w:r>
      <w:r>
        <w:rPr>
          <w:spacing w:val="-120"/>
        </w:rPr>
        <w:t>）</w:t>
      </w:r>
      <w:r>
        <w:rPr/>
        <w:t>，</w:t>
      </w:r>
    </w:p>
    <w:p>
      <w:pPr>
        <w:pStyle w:val="BodyText"/>
        <w:spacing w:line="417" w:lineRule="auto" w:before="154"/>
        <w:ind w:left="1613" w:right="2113" w:hanging="480"/>
        <w:jc w:val="left"/>
      </w:pPr>
      <w:r>
        <w:rPr/>
        <w:t>送红股 </w:t>
      </w:r>
      <w:r>
        <w:rPr>
          <w:rFonts w:ascii="宋体" w:hAnsi="宋体" w:cs="宋体" w:eastAsia="宋体" w:hint="default"/>
        </w:rPr>
        <w:t>0 </w:t>
      </w:r>
      <w:r>
        <w:rPr>
          <w:spacing w:val="-7"/>
        </w:rPr>
        <w:t>股（含税），以资本公积金向全体股东每</w:t>
      </w:r>
      <w:r>
        <w:rPr/>
        <w:t> </w:t>
      </w:r>
      <w:r>
        <w:rPr>
          <w:rFonts w:ascii="宋体" w:hAnsi="宋体" w:cs="宋体" w:eastAsia="宋体" w:hint="default"/>
        </w:rPr>
        <w:t>10 </w:t>
      </w:r>
      <w:r>
        <w:rPr/>
        <w:t>股转增 </w:t>
      </w:r>
      <w:r>
        <w:rPr>
          <w:rFonts w:ascii="宋体" w:hAnsi="宋体" w:cs="宋体" w:eastAsia="宋体" w:hint="default"/>
        </w:rPr>
        <w:t>15 </w:t>
      </w:r>
      <w:r>
        <w:rPr/>
        <w:t>股。</w:t>
      </w:r>
      <w:r>
        <w:rPr>
          <w:spacing w:val="-114"/>
        </w:rPr>
        <w:t> </w:t>
      </w:r>
      <w:r>
        <w:rPr/>
        <w:t>六、公司请投资者认真阅读本年度报告全文，并特别注意以下重大风险因素：</w:t>
      </w:r>
    </w:p>
    <w:p>
      <w:pPr>
        <w:pStyle w:val="BodyText"/>
        <w:spacing w:line="309" w:lineRule="exact"/>
        <w:ind w:left="1613" w:right="1033"/>
        <w:jc w:val="left"/>
      </w:pPr>
      <w:r>
        <w:rPr>
          <w:rFonts w:ascii="Times New Roman" w:hAnsi="Times New Roman" w:cs="Times New Roman" w:eastAsia="Times New Roman" w:hint="default"/>
        </w:rPr>
        <w:t>1</w:t>
      </w:r>
      <w:r>
        <w:rPr/>
        <w:t>、市场风险及应对措施</w:t>
      </w:r>
    </w:p>
    <w:p>
      <w:pPr>
        <w:pStyle w:val="BodyText"/>
        <w:spacing w:line="240" w:lineRule="auto" w:before="56"/>
        <w:ind w:left="1614" w:right="1033"/>
        <w:jc w:val="left"/>
      </w:pPr>
      <w:r>
        <w:rPr/>
        <w:t>公司所面临的市场风险主要表现在政策法规、市场需求和市场竞争方面。具体如下：</w:t>
      </w:r>
    </w:p>
    <w:p>
      <w:pPr>
        <w:pStyle w:val="BodyText"/>
        <w:spacing w:line="357" w:lineRule="auto" w:before="152"/>
        <w:ind w:right="1033" w:firstLine="480"/>
        <w:jc w:val="left"/>
      </w:pPr>
      <w:r>
        <w:rPr/>
        <w:t>（</w:t>
      </w:r>
      <w:r>
        <w:rPr>
          <w:rFonts w:ascii="宋体" w:hAnsi="宋体" w:cs="宋体" w:eastAsia="宋体" w:hint="default"/>
        </w:rPr>
        <w:t>1</w:t>
      </w:r>
      <w:r>
        <w:rPr/>
        <w:t>）政策法规风险：由于公司现有业务涉及信息数据、健康医疗、环保治理等多领域， 业务较大程度地受国家经济政策、产业政策以及相关法律法规影响，具有一定的不确定性。</w:t>
      </w:r>
    </w:p>
    <w:p>
      <w:pPr>
        <w:pStyle w:val="BodyText"/>
        <w:spacing w:line="357" w:lineRule="auto" w:before="35"/>
        <w:ind w:right="1130" w:firstLine="480"/>
        <w:jc w:val="both"/>
      </w:pPr>
      <w:r>
        <w:rPr>
          <w:spacing w:val="-3"/>
        </w:rPr>
        <w:t>（</w:t>
      </w:r>
      <w:r>
        <w:rPr>
          <w:rFonts w:ascii="宋体" w:hAnsi="宋体" w:cs="宋体" w:eastAsia="宋体" w:hint="default"/>
          <w:spacing w:val="-3"/>
        </w:rPr>
        <w:t>2</w:t>
      </w:r>
      <w:r>
        <w:rPr>
          <w:spacing w:val="-3"/>
        </w:rPr>
        <w:t>）市场需求风险：随着国家和相关产业“十三五”规划的出台，公司所涉及的业务面</w:t>
      </w:r>
      <w:r>
        <w:rPr/>
        <w:t> 临市场和用户需求变化，若公司不具备以市场和用户为导向的应变能力，经营业绩将受到较</w:t>
      </w:r>
      <w:r>
        <w:rPr>
          <w:spacing w:val="-108"/>
        </w:rPr>
        <w:t> </w:t>
      </w:r>
      <w:r>
        <w:rPr>
          <w:spacing w:val="-108"/>
        </w:rPr>
      </w:r>
      <w:r>
        <w:rPr/>
        <w:t>大程度的影响。</w:t>
      </w:r>
    </w:p>
    <w:p>
      <w:pPr>
        <w:pStyle w:val="BodyText"/>
        <w:spacing w:line="357" w:lineRule="auto" w:before="35"/>
        <w:ind w:left="1134" w:right="994" w:firstLine="480"/>
        <w:jc w:val="left"/>
      </w:pPr>
      <w:r>
        <w:rPr>
          <w:spacing w:val="-3"/>
        </w:rPr>
        <w:t>（</w:t>
      </w:r>
      <w:r>
        <w:rPr>
          <w:rFonts w:ascii="宋体" w:hAnsi="宋体" w:cs="宋体" w:eastAsia="宋体" w:hint="default"/>
          <w:spacing w:val="-3"/>
        </w:rPr>
        <w:t>3</w:t>
      </w:r>
      <w:r>
        <w:rPr>
          <w:spacing w:val="-3"/>
        </w:rPr>
        <w:t>）市场竞争风险：公司所涉及的市场面临与国内外各类企业的全面竞争，加上新企业</w:t>
      </w:r>
      <w:r>
        <w:rPr/>
        <w:t> </w:t>
      </w:r>
      <w:r>
        <w:rPr>
          <w:spacing w:val="-2"/>
        </w:rPr>
        <w:t>和小型企业的低价冲击等因素，导致产品和服务的毛利润下降，从而直接影响公司经营业绩。</w:t>
      </w:r>
    </w:p>
    <w:p>
      <w:pPr>
        <w:pStyle w:val="BodyText"/>
        <w:spacing w:line="240" w:lineRule="auto" w:before="35"/>
        <w:ind w:left="1614" w:right="1033"/>
        <w:jc w:val="left"/>
      </w:pPr>
      <w:r>
        <w:rPr/>
        <w:t>针对上述市场风险，公司将积极采取以下应对措施：</w:t>
      </w:r>
    </w:p>
    <w:p>
      <w:pPr>
        <w:pStyle w:val="BodyText"/>
        <w:spacing w:line="357" w:lineRule="auto" w:before="152"/>
        <w:ind w:right="994" w:firstLine="480"/>
        <w:jc w:val="left"/>
      </w:pPr>
      <w:r>
        <w:rPr>
          <w:spacing w:val="-6"/>
        </w:rPr>
        <w:t>（</w:t>
      </w:r>
      <w:r>
        <w:rPr>
          <w:rFonts w:ascii="宋体" w:hAnsi="宋体" w:cs="宋体" w:eastAsia="宋体" w:hint="default"/>
          <w:spacing w:val="-6"/>
        </w:rPr>
        <w:t>1</w:t>
      </w:r>
      <w:r>
        <w:rPr>
          <w:spacing w:val="-6"/>
        </w:rPr>
        <w:t>）公司战略发展部门及时关注国家和产业战略和政策的动向，并向公司决策管理报告，</w:t>
      </w:r>
      <w:r>
        <w:rPr/>
        <w:t> 公司在制定具有前瞻性的公司发展战略，将根据国家和产业战略变化及时调整公司发展战略</w:t>
      </w:r>
      <w:r>
        <w:rPr>
          <w:spacing w:val="-104"/>
        </w:rPr>
        <w:t> </w:t>
      </w:r>
      <w:r>
        <w:rPr>
          <w:spacing w:val="-104"/>
        </w:rPr>
      </w:r>
      <w:r>
        <w:rPr/>
        <w:t>和规划，以控制政策法规变化所带来的经营风险。</w:t>
      </w:r>
    </w:p>
    <w:p>
      <w:pPr>
        <w:pStyle w:val="BodyText"/>
        <w:spacing w:line="357" w:lineRule="auto" w:before="35"/>
        <w:ind w:right="994" w:firstLine="480"/>
        <w:jc w:val="left"/>
      </w:pPr>
      <w:r>
        <w:rPr>
          <w:spacing w:val="-3"/>
        </w:rPr>
        <w:t>（</w:t>
      </w:r>
      <w:r>
        <w:rPr>
          <w:rFonts w:ascii="宋体" w:hAnsi="宋体" w:cs="宋体" w:eastAsia="宋体" w:hint="default"/>
          <w:spacing w:val="-3"/>
        </w:rPr>
        <w:t>2</w:t>
      </w:r>
      <w:r>
        <w:rPr>
          <w:spacing w:val="-3"/>
        </w:rPr>
        <w:t>）公司通过不断提升市场敏锐度、提升技术和产品研发能力，植入互联网思维及创新</w:t>
      </w:r>
      <w:r>
        <w:rPr/>
        <w:t> </w:t>
      </w:r>
      <w:r>
        <w:rPr>
          <w:spacing w:val="-3"/>
        </w:rPr>
        <w:t>经营理念，以市场和用户需求为导向，建立并强化对市场和用户未来需求分析和预测 </w:t>
      </w:r>
      <w:r>
        <w:rPr/>
        <w:t>机制</w:t>
      </w:r>
      <w:r>
        <w:rPr>
          <w:spacing w:val="33"/>
        </w:rPr>
        <w:t> </w:t>
      </w:r>
      <w:r>
        <w:rPr/>
        <w:t>，</w:t>
      </w:r>
    </w:p>
    <w:p>
      <w:pPr>
        <w:spacing w:after="0" w:line="357" w:lineRule="auto"/>
        <w:jc w:val="left"/>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BodyText"/>
        <w:spacing w:line="357" w:lineRule="auto" w:before="26"/>
        <w:ind w:right="1129"/>
        <w:jc w:val="both"/>
      </w:pPr>
      <w:r>
        <w:rPr/>
        <w:t>确保公司产品和整体解决方案服务满足市场和用户当下和未来需求，走在行业的前端，以控</w:t>
      </w:r>
      <w:r>
        <w:rPr>
          <w:spacing w:val="-106"/>
        </w:rPr>
        <w:t> </w:t>
      </w:r>
      <w:r>
        <w:rPr>
          <w:spacing w:val="-106"/>
        </w:rPr>
      </w:r>
      <w:r>
        <w:rPr/>
        <w:t>制市场需求变化所带来的风险。</w:t>
      </w:r>
    </w:p>
    <w:p>
      <w:pPr>
        <w:pStyle w:val="BodyText"/>
        <w:spacing w:line="357" w:lineRule="auto" w:before="35"/>
        <w:ind w:right="1129" w:firstLine="480"/>
        <w:jc w:val="both"/>
      </w:pPr>
      <w:r>
        <w:rPr>
          <w:spacing w:val="-3"/>
        </w:rPr>
        <w:t>（</w:t>
      </w:r>
      <w:r>
        <w:rPr>
          <w:rFonts w:ascii="宋体" w:hAnsi="宋体" w:cs="宋体" w:eastAsia="宋体" w:hint="default"/>
          <w:spacing w:val="-3"/>
        </w:rPr>
        <w:t>3</w:t>
      </w:r>
      <w:r>
        <w:rPr>
          <w:spacing w:val="-3"/>
        </w:rPr>
        <w:t>）公司将通过产品关键技术的创新和“全生命周期”解决方案为用户创造新价值，提</w:t>
      </w:r>
      <w:r>
        <w:rPr/>
        <w:t> 升自身竞争力，通过建立供应链管理优势、提升工艺技术以及实施“工业化、信息化”融合</w:t>
      </w:r>
      <w:r>
        <w:rPr>
          <w:spacing w:val="-109"/>
        </w:rPr>
        <w:t> </w:t>
      </w:r>
      <w:r>
        <w:rPr>
          <w:spacing w:val="-109"/>
        </w:rPr>
      </w:r>
      <w:r>
        <w:rPr/>
        <w:t>打造成本优势；通过品牌建设、企业文化建设、服务质量提升用户忠诚度；通过以上措施提</w:t>
      </w:r>
      <w:r>
        <w:rPr>
          <w:spacing w:val="-107"/>
        </w:rPr>
        <w:t> </w:t>
      </w:r>
      <w:r>
        <w:rPr>
          <w:spacing w:val="-107"/>
        </w:rPr>
      </w:r>
      <w:r>
        <w:rPr/>
        <w:t>升公司的市场综合竞争能力，以降低市场竞争日趋激烈所带来的风险。</w:t>
      </w:r>
    </w:p>
    <w:p>
      <w:pPr>
        <w:pStyle w:val="BodyText"/>
        <w:spacing w:line="240" w:lineRule="auto" w:before="35"/>
        <w:ind w:left="1613" w:right="1033"/>
        <w:jc w:val="left"/>
      </w:pPr>
      <w:r>
        <w:rPr>
          <w:rFonts w:ascii="Times New Roman" w:hAnsi="Times New Roman" w:cs="Times New Roman" w:eastAsia="Times New Roman" w:hint="default"/>
        </w:rPr>
        <w:t>2</w:t>
      </w:r>
      <w:r>
        <w:rPr/>
        <w:t>、公司通过并购实现快速发展带来的整合及经营管理风险及应对措施</w:t>
      </w:r>
    </w:p>
    <w:p>
      <w:pPr>
        <w:pStyle w:val="BodyText"/>
        <w:spacing w:line="240" w:lineRule="auto" w:before="134"/>
        <w:ind w:left="1613" w:right="1033"/>
        <w:jc w:val="left"/>
        <w:rPr>
          <w:rFonts w:ascii="宋体" w:hAnsi="宋体" w:cs="宋体" w:eastAsia="宋体" w:hint="default"/>
        </w:rPr>
      </w:pPr>
      <w:r>
        <w:rPr/>
        <w:t>公司自</w:t>
      </w:r>
      <w:r>
        <w:rPr>
          <w:spacing w:val="-65"/>
        </w:rPr>
        <w:t> </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t>月上市以来，大力推动了既定发展战略规划的实施，已从上市前仅有</w:t>
      </w:r>
      <w:r>
        <w:rPr>
          <w:spacing w:val="-65"/>
        </w:rPr>
        <w:t> </w:t>
      </w:r>
      <w:r>
        <w:rPr>
          <w:rFonts w:ascii="宋体" w:hAnsi="宋体" w:cs="宋体" w:eastAsia="宋体" w:hint="default"/>
        </w:rPr>
        <w:t>1</w:t>
      </w:r>
    </w:p>
    <w:p>
      <w:pPr>
        <w:pStyle w:val="BodyText"/>
        <w:spacing w:line="357" w:lineRule="auto" w:before="154"/>
        <w:ind w:right="1131"/>
        <w:jc w:val="both"/>
      </w:pPr>
      <w:r>
        <w:rPr/>
        <w:t>家全资子公司发展到目前拥有</w:t>
      </w:r>
      <w:r>
        <w:rPr>
          <w:spacing w:val="-41"/>
        </w:rPr>
        <w:t> </w:t>
      </w:r>
      <w:r>
        <w:rPr>
          <w:rFonts w:ascii="宋体" w:hAnsi="宋体" w:cs="宋体" w:eastAsia="宋体" w:hint="default"/>
        </w:rPr>
        <w:t>2</w:t>
      </w:r>
      <w:r>
        <w:rPr>
          <w:rFonts w:ascii="宋体" w:hAnsi="宋体" w:cs="宋体" w:eastAsia="宋体" w:hint="default"/>
          <w:spacing w:val="-40"/>
        </w:rPr>
        <w:t> </w:t>
      </w:r>
      <w:r>
        <w:rPr/>
        <w:t>家全资子公司、</w:t>
      </w:r>
      <w:r>
        <w:rPr>
          <w:rFonts w:ascii="宋体" w:hAnsi="宋体" w:cs="宋体" w:eastAsia="宋体" w:hint="default"/>
        </w:rPr>
        <w:t>3</w:t>
      </w:r>
      <w:r>
        <w:rPr>
          <w:rFonts w:ascii="宋体" w:hAnsi="宋体" w:cs="宋体" w:eastAsia="宋体" w:hint="default"/>
          <w:spacing w:val="-41"/>
        </w:rPr>
        <w:t> </w:t>
      </w:r>
      <w:r>
        <w:rPr/>
        <w:t>家控股子公司和</w:t>
      </w:r>
      <w:r>
        <w:rPr>
          <w:spacing w:val="-41"/>
        </w:rPr>
        <w:t> </w:t>
      </w:r>
      <w:r>
        <w:rPr>
          <w:rFonts w:ascii="宋体" w:hAnsi="宋体" w:cs="宋体" w:eastAsia="宋体" w:hint="default"/>
        </w:rPr>
        <w:t>4</w:t>
      </w:r>
      <w:r>
        <w:rPr>
          <w:rFonts w:ascii="宋体" w:hAnsi="宋体" w:cs="宋体" w:eastAsia="宋体" w:hint="default"/>
          <w:spacing w:val="-41"/>
        </w:rPr>
        <w:t> </w:t>
      </w:r>
      <w:r>
        <w:rPr/>
        <w:t>家参股公司。公司通过 并购及募投项目的实施，扩大了业务领域、丰富了产品版图、拓展了经营业务范围，公司资 </w:t>
      </w:r>
      <w:r>
        <w:rPr>
          <w:spacing w:val="-4"/>
        </w:rPr>
        <w:t>产规模、产销规模、人员规模持续快速增长，总资产从</w:t>
      </w:r>
      <w:r>
        <w:rPr>
          <w:spacing w:val="-57"/>
        </w:rPr>
        <w:t> </w:t>
      </w:r>
      <w:r>
        <w:rPr>
          <w:rFonts w:ascii="宋体" w:hAnsi="宋体" w:cs="宋体" w:eastAsia="宋体" w:hint="default"/>
        </w:rPr>
        <w:t>2012</w:t>
      </w:r>
      <w:r>
        <w:rPr>
          <w:rFonts w:ascii="宋体" w:hAnsi="宋体" w:cs="宋体" w:eastAsia="宋体" w:hint="default"/>
          <w:spacing w:val="-57"/>
        </w:rPr>
        <w:t> </w:t>
      </w:r>
      <w:r>
        <w:rPr/>
        <w:t>年末的</w:t>
      </w:r>
      <w:r>
        <w:rPr>
          <w:spacing w:val="-57"/>
        </w:rPr>
        <w:t> </w:t>
      </w:r>
      <w:r>
        <w:rPr>
          <w:rFonts w:ascii="宋体" w:hAnsi="宋体" w:cs="宋体" w:eastAsia="宋体" w:hint="default"/>
        </w:rPr>
        <w:t>57,722.69</w:t>
      </w:r>
      <w:r>
        <w:rPr>
          <w:rFonts w:ascii="宋体" w:hAnsi="宋体" w:cs="宋体" w:eastAsia="宋体" w:hint="default"/>
          <w:spacing w:val="-57"/>
        </w:rPr>
        <w:t> </w:t>
      </w:r>
      <w:r>
        <w:rPr/>
        <w:t>万元增长到报</w:t>
      </w:r>
    </w:p>
    <w:p>
      <w:pPr>
        <w:pStyle w:val="BodyText"/>
        <w:spacing w:line="240" w:lineRule="auto" w:before="35"/>
        <w:ind w:right="0"/>
        <w:jc w:val="both"/>
      </w:pPr>
      <w:r>
        <w:rPr>
          <w:spacing w:val="4"/>
        </w:rPr>
        <w:t>告期末的 </w:t>
      </w:r>
      <w:r>
        <w:rPr>
          <w:rFonts w:ascii="宋体" w:hAnsi="宋体" w:cs="宋体" w:eastAsia="宋体" w:hint="default"/>
        </w:rPr>
        <w:t>158,138.64 </w:t>
      </w:r>
      <w:r>
        <w:rPr>
          <w:spacing w:val="4"/>
        </w:rPr>
        <w:t>万元，年营业收入从 </w:t>
      </w:r>
      <w:r>
        <w:rPr>
          <w:rFonts w:ascii="宋体" w:hAnsi="宋体" w:cs="宋体" w:eastAsia="宋体" w:hint="default"/>
        </w:rPr>
        <w:t>2012 </w:t>
      </w:r>
      <w:r>
        <w:rPr>
          <w:spacing w:val="3"/>
        </w:rPr>
        <w:t>年的 </w:t>
      </w:r>
      <w:r>
        <w:rPr>
          <w:rFonts w:ascii="宋体" w:hAnsi="宋体" w:cs="宋体" w:eastAsia="宋体" w:hint="default"/>
        </w:rPr>
        <w:t>27,562.29 </w:t>
      </w:r>
      <w:r>
        <w:rPr>
          <w:spacing w:val="4"/>
        </w:rPr>
        <w:t>万元增长到 </w:t>
      </w:r>
      <w:r>
        <w:rPr>
          <w:rFonts w:ascii="宋体" w:hAnsi="宋体" w:cs="宋体" w:eastAsia="宋体" w:hint="default"/>
        </w:rPr>
        <w:t>2015</w:t>
      </w:r>
      <w:r>
        <w:rPr>
          <w:rFonts w:ascii="宋体" w:hAnsi="宋体" w:cs="宋体" w:eastAsia="宋体" w:hint="default"/>
          <w:spacing w:val="46"/>
        </w:rPr>
        <w:t> </w:t>
      </w:r>
      <w:r>
        <w:rPr>
          <w:spacing w:val="6"/>
        </w:rPr>
        <w:t>年的</w:t>
      </w:r>
      <w:r>
        <w:rPr/>
      </w:r>
    </w:p>
    <w:p>
      <w:pPr>
        <w:pStyle w:val="BodyText"/>
        <w:spacing w:line="357" w:lineRule="auto" w:before="152"/>
        <w:ind w:right="1129"/>
        <w:jc w:val="both"/>
      </w:pPr>
      <w:r>
        <w:rPr>
          <w:rFonts w:ascii="宋体" w:hAnsi="宋体" w:cs="宋体" w:eastAsia="宋体" w:hint="default"/>
        </w:rPr>
        <w:t>87,728.72</w:t>
      </w:r>
      <w:r>
        <w:rPr>
          <w:rFonts w:ascii="宋体" w:hAnsi="宋体" w:cs="宋体" w:eastAsia="宋体" w:hint="default"/>
          <w:spacing w:val="-54"/>
        </w:rPr>
        <w:t> </w:t>
      </w:r>
      <w:r>
        <w:rPr/>
        <w:t>万元，员工人数从</w:t>
      </w:r>
      <w:r>
        <w:rPr>
          <w:spacing w:val="-54"/>
        </w:rPr>
        <w:t> </w:t>
      </w:r>
      <w:r>
        <w:rPr>
          <w:rFonts w:ascii="宋体" w:hAnsi="宋体" w:cs="宋体" w:eastAsia="宋体" w:hint="default"/>
        </w:rPr>
        <w:t>2012</w:t>
      </w:r>
      <w:r>
        <w:rPr>
          <w:rFonts w:ascii="宋体" w:hAnsi="宋体" w:cs="宋体" w:eastAsia="宋体" w:hint="default"/>
          <w:spacing w:val="-54"/>
        </w:rPr>
        <w:t> </w:t>
      </w:r>
      <w:r>
        <w:rPr/>
        <w:t>年末的</w:t>
      </w:r>
      <w:r>
        <w:rPr>
          <w:spacing w:val="-54"/>
        </w:rPr>
        <w:t> </w:t>
      </w:r>
      <w:r>
        <w:rPr>
          <w:rFonts w:ascii="宋体" w:hAnsi="宋体" w:cs="宋体" w:eastAsia="宋体" w:hint="default"/>
        </w:rPr>
        <w:t>528</w:t>
      </w:r>
      <w:r>
        <w:rPr>
          <w:rFonts w:ascii="宋体" w:hAnsi="宋体" w:cs="宋体" w:eastAsia="宋体" w:hint="default"/>
          <w:spacing w:val="-54"/>
        </w:rPr>
        <w:t> </w:t>
      </w:r>
      <w:r>
        <w:rPr/>
        <w:t>人增加到报告期末的 </w:t>
      </w:r>
      <w:r>
        <w:rPr>
          <w:rFonts w:ascii="宋体" w:hAnsi="宋体" w:cs="宋体" w:eastAsia="宋体" w:hint="default"/>
        </w:rPr>
        <w:t>1032</w:t>
      </w:r>
      <w:r>
        <w:rPr>
          <w:rFonts w:ascii="宋体" w:hAnsi="宋体" w:cs="宋体" w:eastAsia="宋体" w:hint="default"/>
          <w:spacing w:val="-54"/>
        </w:rPr>
        <w:t> </w:t>
      </w:r>
      <w:r>
        <w:rPr/>
        <w:t>人。公司的快速发 展对公司发展战略稳步实施、与并购标的公司的协同发展、文化融合、经营管理、人力资源</w:t>
      </w:r>
      <w:r>
        <w:rPr>
          <w:spacing w:val="-108"/>
        </w:rPr>
        <w:t> </w:t>
      </w:r>
      <w:r>
        <w:rPr>
          <w:spacing w:val="-108"/>
        </w:rPr>
      </w:r>
      <w:r>
        <w:rPr/>
        <w:t>管理、风险控制等方面提出更高的要求，公司若不能快速提升经营管理能力，将面临面临较</w:t>
      </w:r>
      <w:r>
        <w:rPr>
          <w:spacing w:val="-108"/>
        </w:rPr>
        <w:t> </w:t>
      </w:r>
      <w:r>
        <w:rPr>
          <w:spacing w:val="-108"/>
        </w:rPr>
      </w:r>
      <w:r>
        <w:rPr/>
        <w:t>大的经营及管理风险。对此，公司拟采取以下应对措施：</w:t>
      </w:r>
    </w:p>
    <w:p>
      <w:pPr>
        <w:pStyle w:val="BodyText"/>
        <w:spacing w:line="357" w:lineRule="auto" w:before="35"/>
        <w:ind w:right="994" w:firstLine="480"/>
        <w:jc w:val="left"/>
      </w:pPr>
      <w:r>
        <w:rPr>
          <w:spacing w:val="-3"/>
        </w:rPr>
        <w:t>（</w:t>
      </w:r>
      <w:r>
        <w:rPr>
          <w:rFonts w:ascii="宋体" w:hAnsi="宋体" w:cs="宋体" w:eastAsia="宋体" w:hint="default"/>
          <w:spacing w:val="-3"/>
        </w:rPr>
        <w:t>1</w:t>
      </w:r>
      <w:r>
        <w:rPr>
          <w:spacing w:val="-3"/>
        </w:rPr>
        <w:t>）建立完善的标准化集团管控平台及集团信息化管理系统，以切实发挥与并购标的公</w:t>
      </w:r>
      <w:r>
        <w:rPr/>
        <w:t> </w:t>
      </w:r>
      <w:r>
        <w:rPr>
          <w:spacing w:val="-3"/>
        </w:rPr>
        <w:t>司协同发展、稳步实现公司既定发展战略目标，提高公司盈利能力、抗风险能力和回报能力，</w:t>
      </w:r>
      <w:r>
        <w:rPr>
          <w:spacing w:val="-81"/>
        </w:rPr>
        <w:t> </w:t>
      </w:r>
      <w:r>
        <w:rPr>
          <w:spacing w:val="-81"/>
        </w:rPr>
      </w:r>
      <w:r>
        <w:rPr/>
        <w:t>确保公司持续健康发展，充分保障中小股东的利益。</w:t>
      </w:r>
    </w:p>
    <w:p>
      <w:pPr>
        <w:pStyle w:val="BodyText"/>
        <w:spacing w:line="357" w:lineRule="auto" w:before="35"/>
        <w:ind w:right="1132" w:firstLine="480"/>
        <w:jc w:val="both"/>
      </w:pPr>
      <w:r>
        <w:rPr>
          <w:spacing w:val="-3"/>
        </w:rPr>
        <w:t>（</w:t>
      </w:r>
      <w:r>
        <w:rPr>
          <w:rFonts w:ascii="宋体" w:hAnsi="宋体" w:cs="宋体" w:eastAsia="宋体" w:hint="default"/>
          <w:spacing w:val="-3"/>
        </w:rPr>
        <w:t>2</w:t>
      </w:r>
      <w:r>
        <w:rPr>
          <w:spacing w:val="-3"/>
        </w:rPr>
        <w:t>）在制定集团发展战略的同时，组织制定子公司发展战略规划、年度经营计划及业绩</w:t>
      </w:r>
      <w:r>
        <w:rPr/>
        <w:t> 目标指标，全面、深入地参与子公司经营管理，对未达成的经营计划和业绩目标指标项查找</w:t>
      </w:r>
      <w:r>
        <w:rPr>
          <w:spacing w:val="-115"/>
        </w:rPr>
        <w:t> </w:t>
      </w:r>
      <w:r>
        <w:rPr>
          <w:spacing w:val="-115"/>
        </w:rPr>
      </w:r>
      <w:r>
        <w:rPr/>
        <w:t>原因、明确改进计划并推进实施，以确保各项经营目标的实现。</w:t>
      </w:r>
    </w:p>
    <w:p>
      <w:pPr>
        <w:pStyle w:val="BodyText"/>
        <w:spacing w:line="357" w:lineRule="auto" w:before="35"/>
        <w:ind w:right="1131" w:firstLine="480"/>
        <w:jc w:val="both"/>
      </w:pPr>
      <w:r>
        <w:rPr>
          <w:spacing w:val="-3"/>
        </w:rPr>
        <w:t>（</w:t>
      </w:r>
      <w:r>
        <w:rPr>
          <w:rFonts w:ascii="宋体" w:hAnsi="宋体" w:cs="宋体" w:eastAsia="宋体" w:hint="default"/>
          <w:spacing w:val="-3"/>
        </w:rPr>
        <w:t>3</w:t>
      </w:r>
      <w:r>
        <w:rPr>
          <w:spacing w:val="-3"/>
        </w:rPr>
        <w:t>）严格执行公司制定的《分子公司管理制度》，将内控管理要求落实到子公司的内部</w:t>
      </w:r>
      <w:r>
        <w:rPr/>
        <w:t> 管理制度中；加强对分子公司经营管理活动的日常指导和管控，审计部加强对分子公司的内 控审计，确保各项规范运作要求的落实到位。</w:t>
      </w:r>
    </w:p>
    <w:p>
      <w:pPr>
        <w:pStyle w:val="BodyText"/>
        <w:spacing w:line="357" w:lineRule="auto" w:before="35"/>
        <w:ind w:right="1131" w:firstLine="480"/>
        <w:jc w:val="both"/>
      </w:pPr>
      <w:r>
        <w:rPr>
          <w:spacing w:val="-3"/>
        </w:rPr>
        <w:t>（</w:t>
      </w:r>
      <w:r>
        <w:rPr>
          <w:rFonts w:ascii="宋体" w:hAnsi="宋体" w:cs="宋体" w:eastAsia="宋体" w:hint="default"/>
          <w:spacing w:val="-3"/>
        </w:rPr>
        <w:t>4</w:t>
      </w:r>
      <w:r>
        <w:rPr>
          <w:spacing w:val="-3"/>
        </w:rPr>
        <w:t>）制定集团及子公司管理、组织、品牌、文化建设规划，持续提升集团管控能力和子</w:t>
      </w:r>
      <w:r>
        <w:rPr/>
        <w:t> 公司经营管理能力。</w:t>
      </w:r>
    </w:p>
    <w:p>
      <w:pPr>
        <w:pStyle w:val="BodyText"/>
        <w:spacing w:line="338" w:lineRule="auto" w:before="35"/>
        <w:ind w:left="1613" w:right="1118"/>
        <w:jc w:val="left"/>
        <w:rPr>
          <w:rFonts w:ascii="宋体" w:hAnsi="宋体" w:cs="宋体" w:eastAsia="宋体" w:hint="default"/>
        </w:rPr>
      </w:pPr>
      <w:r>
        <w:rPr>
          <w:rFonts w:ascii="Times New Roman" w:hAnsi="Times New Roman" w:cs="Times New Roman" w:eastAsia="Times New Roman" w:hint="default"/>
        </w:rPr>
        <w:t>3</w:t>
      </w:r>
      <w:r>
        <w:rPr/>
        <w:t>、应收账款总额较大限制业务发展的风险及应对措施 </w:t>
      </w:r>
      <w:r>
        <w:rPr>
          <w:spacing w:val="-5"/>
        </w:rPr>
        <w:t>报告期内，随着产品销售及工程承包业务规模的扩大，公司应收账款出现较快增长。</w:t>
      </w:r>
      <w:r>
        <w:rPr>
          <w:rFonts w:ascii="宋体" w:hAnsi="宋体" w:cs="宋体" w:eastAsia="宋体" w:hint="default"/>
          <w:spacing w:val="-5"/>
        </w:rPr>
        <w:t>2012</w:t>
      </w:r>
    </w:p>
    <w:p>
      <w:pPr>
        <w:pStyle w:val="BodyText"/>
        <w:spacing w:line="240" w:lineRule="auto" w:before="54"/>
        <w:ind w:left="1134" w:right="0"/>
        <w:jc w:val="both"/>
        <w:rPr>
          <w:rFonts w:ascii="宋体" w:hAnsi="宋体" w:cs="宋体" w:eastAsia="宋体" w:hint="default"/>
        </w:rPr>
      </w:pPr>
      <w:r>
        <w:rPr>
          <w:spacing w:val="-13"/>
        </w:rPr>
        <w:t>年末、</w:t>
      </w:r>
      <w:r>
        <w:rPr>
          <w:rFonts w:ascii="宋体" w:hAnsi="宋体" w:cs="宋体" w:eastAsia="宋体" w:hint="default"/>
          <w:spacing w:val="-13"/>
        </w:rPr>
        <w:t>2013</w:t>
      </w:r>
      <w:r>
        <w:rPr>
          <w:rFonts w:ascii="宋体" w:hAnsi="宋体" w:cs="宋体" w:eastAsia="宋体" w:hint="default"/>
          <w:spacing w:val="-55"/>
        </w:rPr>
        <w:t> </w:t>
      </w:r>
      <w:r>
        <w:rPr>
          <w:spacing w:val="-13"/>
        </w:rPr>
        <w:t>年末、</w:t>
      </w:r>
      <w:r>
        <w:rPr>
          <w:rFonts w:ascii="宋体" w:hAnsi="宋体" w:cs="宋体" w:eastAsia="宋体" w:hint="default"/>
          <w:spacing w:val="-13"/>
        </w:rPr>
        <w:t>2014</w:t>
      </w:r>
      <w:r>
        <w:rPr>
          <w:rFonts w:ascii="宋体" w:hAnsi="宋体" w:cs="宋体" w:eastAsia="宋体" w:hint="default"/>
          <w:spacing w:val="-55"/>
        </w:rPr>
        <w:t> </w:t>
      </w:r>
      <w:r>
        <w:rPr>
          <w:spacing w:val="-10"/>
        </w:rPr>
        <w:t>年末、报告期末，公司应收账款净额分别为</w:t>
      </w:r>
      <w:r>
        <w:rPr>
          <w:spacing w:val="-55"/>
        </w:rPr>
        <w:t> </w:t>
      </w:r>
      <w:r>
        <w:rPr>
          <w:rFonts w:ascii="宋体" w:hAnsi="宋体" w:cs="宋体" w:eastAsia="宋体" w:hint="default"/>
        </w:rPr>
        <w:t>21,743.74</w:t>
      </w:r>
      <w:r>
        <w:rPr>
          <w:rFonts w:ascii="宋体" w:hAnsi="宋体" w:cs="宋体" w:eastAsia="宋体" w:hint="default"/>
          <w:spacing w:val="-55"/>
        </w:rPr>
        <w:t> </w:t>
      </w:r>
      <w:r>
        <w:rPr>
          <w:spacing w:val="-8"/>
        </w:rPr>
        <w:t>万元、</w:t>
      </w:r>
      <w:r>
        <w:rPr>
          <w:rFonts w:ascii="宋体" w:hAnsi="宋体" w:cs="宋体" w:eastAsia="宋体" w:hint="default"/>
          <w:spacing w:val="-8"/>
        </w:rPr>
        <w:t>31,504.48</w:t>
      </w:r>
    </w:p>
    <w:p>
      <w:pPr>
        <w:spacing w:after="0" w:line="240" w:lineRule="auto"/>
        <w:jc w:val="both"/>
        <w:rPr>
          <w:rFonts w:ascii="宋体" w:hAnsi="宋体" w:cs="宋体" w:eastAsia="宋体" w:hint="default"/>
        </w:rPr>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57" w:lineRule="auto" w:before="26"/>
        <w:ind w:right="999"/>
        <w:jc w:val="left"/>
      </w:pPr>
      <w:r>
        <w:rPr>
          <w:spacing w:val="-5"/>
        </w:rPr>
        <w:t>万元、</w:t>
      </w:r>
      <w:r>
        <w:rPr>
          <w:rFonts w:ascii="宋体" w:hAnsi="宋体" w:cs="宋体" w:eastAsia="宋体" w:hint="default"/>
          <w:spacing w:val="-5"/>
        </w:rPr>
        <w:t>59,464.25</w:t>
      </w:r>
      <w:r>
        <w:rPr>
          <w:rFonts w:ascii="宋体" w:hAnsi="宋体" w:cs="宋体" w:eastAsia="宋体" w:hint="default"/>
          <w:spacing w:val="-55"/>
        </w:rPr>
        <w:t> </w:t>
      </w:r>
      <w:r>
        <w:rPr>
          <w:spacing w:val="-5"/>
        </w:rPr>
        <w:t>万元、</w:t>
      </w:r>
      <w:r>
        <w:rPr>
          <w:rFonts w:ascii="宋体" w:hAnsi="宋体" w:cs="宋体" w:eastAsia="宋体" w:hint="default"/>
          <w:spacing w:val="-5"/>
        </w:rPr>
        <w:t>65,735.90</w:t>
      </w:r>
      <w:r>
        <w:rPr>
          <w:rFonts w:ascii="宋体" w:hAnsi="宋体" w:cs="宋体" w:eastAsia="宋体" w:hint="default"/>
          <w:spacing w:val="-55"/>
        </w:rPr>
        <w:t> </w:t>
      </w:r>
      <w:r>
        <w:rPr>
          <w:spacing w:val="-4"/>
        </w:rPr>
        <w:t>万元，占资产总额的比例分别为</w:t>
      </w:r>
      <w:r>
        <w:rPr>
          <w:spacing w:val="-55"/>
        </w:rPr>
        <w:t> </w:t>
      </w:r>
      <w:r>
        <w:rPr>
          <w:rFonts w:ascii="宋体" w:hAnsi="宋体" w:cs="宋体" w:eastAsia="宋体" w:hint="default"/>
          <w:spacing w:val="-5"/>
        </w:rPr>
        <w:t>37.67%</w:t>
      </w:r>
      <w:r>
        <w:rPr>
          <w:spacing w:val="-5"/>
        </w:rPr>
        <w:t>、</w:t>
      </w:r>
      <w:r>
        <w:rPr>
          <w:rFonts w:ascii="宋体" w:hAnsi="宋体" w:cs="宋体" w:eastAsia="宋体" w:hint="default"/>
          <w:spacing w:val="-5"/>
        </w:rPr>
        <w:t>45.10%</w:t>
      </w:r>
      <w:r>
        <w:rPr>
          <w:spacing w:val="-5"/>
        </w:rPr>
        <w:t>、</w:t>
      </w:r>
      <w:r>
        <w:rPr>
          <w:rFonts w:ascii="宋体" w:hAnsi="宋体" w:cs="宋体" w:eastAsia="宋体" w:hint="default"/>
          <w:spacing w:val="-5"/>
        </w:rPr>
        <w:t>41.41%</w:t>
      </w:r>
      <w:r>
        <w:rPr>
          <w:spacing w:val="-5"/>
        </w:rPr>
        <w:t>、</w:t>
      </w:r>
      <w:r>
        <w:rPr/>
        <w:t> </w:t>
      </w:r>
      <w:r>
        <w:rPr>
          <w:rFonts w:ascii="宋体" w:hAnsi="宋体" w:cs="宋体" w:eastAsia="宋体" w:hint="default"/>
        </w:rPr>
        <w:t>41.57%</w:t>
      </w:r>
      <w:r>
        <w:rPr/>
        <w:t>，如果应收账款不能及时收回，将对公司资产质量及财务状况产生不利影响，同时会</w:t>
      </w:r>
      <w:r>
        <w:rPr>
          <w:spacing w:val="-117"/>
        </w:rPr>
        <w:t> </w:t>
      </w:r>
      <w:r>
        <w:rPr>
          <w:spacing w:val="-117"/>
        </w:rPr>
      </w:r>
      <w:r>
        <w:rPr/>
        <w:t>降低公司资金周转速度与运营效率，存在流动性风险或坏账风险，从而影响公司经营活动的 快速开展，直接导致经营业绩的下滑。</w:t>
      </w:r>
    </w:p>
    <w:p>
      <w:pPr>
        <w:pStyle w:val="BodyText"/>
        <w:spacing w:line="240" w:lineRule="auto" w:before="35"/>
        <w:ind w:left="1614" w:right="1033"/>
        <w:jc w:val="left"/>
      </w:pPr>
      <w:r>
        <w:rPr/>
        <w:t>对此，公司拟采取以下应对措施：</w:t>
      </w:r>
    </w:p>
    <w:p>
      <w:pPr>
        <w:pStyle w:val="BodyText"/>
        <w:spacing w:line="357" w:lineRule="auto" w:before="152"/>
        <w:ind w:right="1132" w:firstLine="480"/>
        <w:jc w:val="both"/>
      </w:pPr>
      <w:r>
        <w:rPr>
          <w:spacing w:val="-3"/>
        </w:rPr>
        <w:t>（</w:t>
      </w:r>
      <w:r>
        <w:rPr>
          <w:rFonts w:ascii="宋体" w:hAnsi="宋体" w:cs="宋体" w:eastAsia="宋体" w:hint="default"/>
          <w:spacing w:val="-3"/>
        </w:rPr>
        <w:t>1</w:t>
      </w:r>
      <w:r>
        <w:rPr>
          <w:spacing w:val="-3"/>
        </w:rPr>
        <w:t>）进一步强化合同商务评审，严格执行客户的信用等级评估制度，杜绝签订具有收款</w:t>
      </w:r>
      <w:r>
        <w:rPr/>
        <w:t> 风险的合同；同时加强合同执行过程管理，有效控制应收款总额、降低应收款比例。</w:t>
      </w:r>
    </w:p>
    <w:p>
      <w:pPr>
        <w:pStyle w:val="BodyText"/>
        <w:spacing w:line="357" w:lineRule="auto" w:before="35"/>
        <w:ind w:left="1134" w:right="1131" w:firstLine="480"/>
        <w:jc w:val="both"/>
      </w:pPr>
      <w:r>
        <w:rPr>
          <w:spacing w:val="-3"/>
        </w:rPr>
        <w:t>（</w:t>
      </w:r>
      <w:r>
        <w:rPr>
          <w:rFonts w:ascii="宋体" w:hAnsi="宋体" w:cs="宋体" w:eastAsia="宋体" w:hint="default"/>
          <w:spacing w:val="-3"/>
        </w:rPr>
        <w:t>2</w:t>
      </w:r>
      <w:r>
        <w:rPr>
          <w:spacing w:val="-3"/>
        </w:rPr>
        <w:t>）严格执行收款考核制度，一方面，公司加强对业务部门的应收款工作管理；另一方</w:t>
      </w:r>
      <w:r>
        <w:rPr/>
        <w:t> 面，通过实施激励制度，推动业务部门对收款工作的投入，以有效控制应收账款占比，降低 对公司经营资金周转的影响，有效控制应收款带来的经营风险。</w:t>
      </w:r>
    </w:p>
    <w:p>
      <w:pPr>
        <w:pStyle w:val="BodyText"/>
        <w:spacing w:line="357" w:lineRule="auto" w:before="35"/>
        <w:ind w:right="1049" w:firstLine="480"/>
        <w:jc w:val="both"/>
      </w:pPr>
      <w:r>
        <w:rPr>
          <w:spacing w:val="-3"/>
        </w:rPr>
        <w:t>（</w:t>
      </w:r>
      <w:r>
        <w:rPr>
          <w:rFonts w:ascii="宋体" w:hAnsi="宋体" w:cs="宋体" w:eastAsia="宋体" w:hint="default"/>
          <w:spacing w:val="-3"/>
        </w:rPr>
        <w:t>3</w:t>
      </w:r>
      <w:r>
        <w:rPr>
          <w:spacing w:val="-3"/>
        </w:rPr>
        <w:t>）制定对账龄较长的应收账款的处置措施，根据实际情况采取提请诉讼、出售债权等</w:t>
      </w:r>
      <w:r>
        <w:rPr/>
        <w:t> 办法，尽可能控制应收账款；同时出于谨慎考虑，对应收账款实施合理的坏账计提，以有效 防范坏账可能给公司带来的风险；截至报告期末，公司累计计提了</w:t>
      </w:r>
      <w:r>
        <w:rPr>
          <w:spacing w:val="-59"/>
        </w:rPr>
        <w:t> </w:t>
      </w:r>
      <w:r>
        <w:rPr>
          <w:rFonts w:ascii="宋体" w:hAnsi="宋体" w:cs="宋体" w:eastAsia="宋体" w:hint="default"/>
        </w:rPr>
        <w:t>9,712.74</w:t>
      </w:r>
      <w:r>
        <w:rPr>
          <w:rFonts w:ascii="宋体" w:hAnsi="宋体" w:cs="宋体" w:eastAsia="宋体" w:hint="default"/>
          <w:spacing w:val="-60"/>
        </w:rPr>
        <w:t> </w:t>
      </w:r>
      <w:r>
        <w:rPr/>
        <w:t>万元坏账准备。</w:t>
      </w:r>
    </w:p>
    <w:p>
      <w:pPr>
        <w:spacing w:after="0" w:line="357"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1"/>
        <w:tabs>
          <w:tab w:pos="641" w:val="left" w:leader="none"/>
        </w:tabs>
        <w:spacing w:line="240" w:lineRule="auto" w:before="163"/>
        <w:ind w:left="0" w:right="0"/>
        <w:jc w:val="center"/>
        <w:rPr>
          <w:b w:val="0"/>
          <w:bCs w:val="0"/>
        </w:rPr>
      </w:pPr>
      <w:r>
        <w:rPr>
          <w:w w:val="95"/>
        </w:rPr>
        <w:t>目</w:t>
        <w:tab/>
      </w:r>
      <w:r>
        <w:rPr/>
        <w:t>录</w:t>
      </w:r>
      <w:r>
        <w:rPr>
          <w:b w:val="0"/>
          <w:bCs w:val="0"/>
        </w:rPr>
      </w:r>
    </w:p>
    <w:sdt>
      <w:sdtPr>
        <w:docPartObj>
          <w:docPartGallery w:val="Table of Contents"/>
          <w:docPartUnique/>
        </w:docPartObj>
      </w:sdtPr>
      <w:sdtEndPr/>
      <w:sdtContent>
        <w:p>
          <w:pPr>
            <w:pStyle w:val="TOC1"/>
            <w:tabs>
              <w:tab w:pos="10762" w:val="right" w:leader="dot"/>
            </w:tabs>
            <w:spacing w:line="240" w:lineRule="auto" w:before="234"/>
            <w:ind w:left="1134" w:right="0"/>
            <w:jc w:val="left"/>
            <w:rPr>
              <w:rFonts w:ascii="Times New Roman" w:hAnsi="Times New Roman" w:cs="Times New Roman" w:eastAsia="Times New Roman" w:hint="default"/>
              <w:sz w:val="18"/>
              <w:szCs w:val="18"/>
            </w:rPr>
          </w:pPr>
          <w:hyperlink w:history="true" w:anchor="_bookmark0">
            <w:r>
              <w:rPr/>
              <w:t>第一节 重要提示、目录和释义</w:t>
            </w:r>
            <w:r>
              <w:rPr>
                <w:rFonts w:ascii="Times New Roman" w:hAnsi="Times New Roman" w:cs="Times New Roman" w:eastAsia="Times New Roman" w:hint="default"/>
                <w:sz w:val="18"/>
                <w:szCs w:val="18"/>
              </w:rPr>
              <w:tab/>
              <w:t>2</w:t>
            </w:r>
          </w:hyperlink>
        </w:p>
        <w:p>
          <w:pPr>
            <w:pStyle w:val="TOC1"/>
            <w:tabs>
              <w:tab w:pos="10762" w:val="right" w:leader="dot"/>
            </w:tabs>
            <w:spacing w:line="240" w:lineRule="auto" w:before="190"/>
            <w:ind w:right="0"/>
            <w:jc w:val="left"/>
            <w:rPr>
              <w:rFonts w:ascii="Times New Roman" w:hAnsi="Times New Roman" w:cs="Times New Roman" w:eastAsia="Times New Roman" w:hint="default"/>
              <w:sz w:val="18"/>
              <w:szCs w:val="18"/>
            </w:rPr>
          </w:pPr>
          <w:hyperlink w:history="true" w:anchor="_bookmark1">
            <w:r>
              <w:rPr/>
              <w:t>第二节 公司简介和主要财务指标</w:t>
            </w:r>
            <w:r>
              <w:rPr>
                <w:rFonts w:ascii="Times New Roman" w:hAnsi="Times New Roman" w:cs="Times New Roman" w:eastAsia="Times New Roman" w:hint="default"/>
                <w:sz w:val="18"/>
                <w:szCs w:val="18"/>
              </w:rPr>
              <w:tab/>
              <w:t>10</w:t>
            </w:r>
          </w:hyperlink>
        </w:p>
        <w:p>
          <w:pPr>
            <w:pStyle w:val="TOC2"/>
            <w:tabs>
              <w:tab w:pos="10762"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2">
            <w:r>
              <w:rPr>
                <w:b w:val="0"/>
                <w:bCs w:val="0"/>
                <w:i w:val="0"/>
                <w:sz w:val="24"/>
                <w:szCs w:val="24"/>
              </w:rPr>
              <w:t>第三节 公司业务概要</w:t>
            </w:r>
            <w:r>
              <w:rPr>
                <w:rFonts w:ascii="Times New Roman" w:hAnsi="Times New Roman" w:cs="Times New Roman" w:eastAsia="Times New Roman" w:hint="default"/>
                <w:b w:val="0"/>
                <w:bCs w:val="0"/>
                <w:i w:val="0"/>
                <w:sz w:val="18"/>
                <w:szCs w:val="18"/>
              </w:rPr>
              <w:tab/>
              <w:t>14</w:t>
            </w:r>
          </w:hyperlink>
        </w:p>
        <w:p>
          <w:pPr>
            <w:pStyle w:val="TOC1"/>
            <w:tabs>
              <w:tab w:pos="10762" w:val="right" w:leader="dot"/>
            </w:tabs>
            <w:spacing w:line="240" w:lineRule="auto"/>
            <w:ind w:right="0"/>
            <w:jc w:val="left"/>
            <w:rPr>
              <w:rFonts w:ascii="Times New Roman" w:hAnsi="Times New Roman" w:cs="Times New Roman" w:eastAsia="Times New Roman" w:hint="default"/>
              <w:sz w:val="18"/>
              <w:szCs w:val="18"/>
            </w:rPr>
          </w:pPr>
          <w:hyperlink w:history="true" w:anchor="_bookmark3">
            <w:r>
              <w:rPr/>
              <w:t>第四节 管理层讨论与分析</w:t>
            </w:r>
            <w:r>
              <w:rPr>
                <w:rFonts w:ascii="Times New Roman" w:hAnsi="Times New Roman" w:cs="Times New Roman" w:eastAsia="Times New Roman" w:hint="default"/>
                <w:sz w:val="18"/>
                <w:szCs w:val="18"/>
              </w:rPr>
              <w:tab/>
              <w:t>18</w:t>
            </w:r>
          </w:hyperlink>
        </w:p>
        <w:p>
          <w:pPr>
            <w:pStyle w:val="TOC2"/>
            <w:tabs>
              <w:tab w:pos="10762" w:val="right" w:leader="dot"/>
            </w:tabs>
            <w:spacing w:line="240" w:lineRule="auto" w:before="189"/>
            <w:ind w:right="0"/>
            <w:jc w:val="left"/>
            <w:rPr>
              <w:rFonts w:ascii="Times New Roman" w:hAnsi="Times New Roman" w:cs="Times New Roman" w:eastAsia="Times New Roman" w:hint="default"/>
              <w:b w:val="0"/>
              <w:bCs w:val="0"/>
              <w:i w:val="0"/>
              <w:sz w:val="18"/>
              <w:szCs w:val="18"/>
            </w:rPr>
          </w:pPr>
          <w:hyperlink w:history="true" w:anchor="_bookmark4">
            <w:r>
              <w:rPr>
                <w:b w:val="0"/>
                <w:bCs w:val="0"/>
                <w:i w:val="0"/>
                <w:sz w:val="24"/>
                <w:szCs w:val="24"/>
              </w:rPr>
              <w:t>第五节 重要事项</w:t>
            </w:r>
            <w:r>
              <w:rPr>
                <w:rFonts w:ascii="Times New Roman" w:hAnsi="Times New Roman" w:cs="Times New Roman" w:eastAsia="Times New Roman" w:hint="default"/>
                <w:b w:val="0"/>
                <w:bCs w:val="0"/>
                <w:i w:val="0"/>
                <w:sz w:val="18"/>
                <w:szCs w:val="18"/>
              </w:rPr>
              <w:tab/>
              <w:t>56</w:t>
            </w:r>
          </w:hyperlink>
        </w:p>
        <w:p>
          <w:pPr>
            <w:pStyle w:val="TOC1"/>
            <w:tabs>
              <w:tab w:pos="10762" w:val="right" w:leader="dot"/>
            </w:tabs>
            <w:spacing w:line="240" w:lineRule="auto"/>
            <w:ind w:right="0"/>
            <w:jc w:val="left"/>
            <w:rPr>
              <w:rFonts w:ascii="Times New Roman" w:hAnsi="Times New Roman" w:cs="Times New Roman" w:eastAsia="Times New Roman" w:hint="default"/>
              <w:sz w:val="18"/>
              <w:szCs w:val="18"/>
            </w:rPr>
          </w:pPr>
          <w:hyperlink w:history="true" w:anchor="_bookmark5">
            <w:r>
              <w:rPr/>
              <w:t>第六节 股份变动及股东情况</w:t>
            </w:r>
            <w:r>
              <w:rPr>
                <w:rFonts w:ascii="Times New Roman" w:hAnsi="Times New Roman" w:cs="Times New Roman" w:eastAsia="Times New Roman" w:hint="default"/>
                <w:sz w:val="18"/>
                <w:szCs w:val="18"/>
              </w:rPr>
              <w:tab/>
              <w:t>79</w:t>
            </w:r>
          </w:hyperlink>
        </w:p>
        <w:p>
          <w:pPr>
            <w:pStyle w:val="TOC2"/>
            <w:tabs>
              <w:tab w:pos="10762"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6">
            <w:r>
              <w:rPr>
                <w:b w:val="0"/>
                <w:bCs w:val="0"/>
                <w:i w:val="0"/>
                <w:sz w:val="24"/>
                <w:szCs w:val="24"/>
              </w:rPr>
              <w:t>第七节 优先股相关情况</w:t>
            </w:r>
            <w:r>
              <w:rPr>
                <w:rFonts w:ascii="Times New Roman" w:hAnsi="Times New Roman" w:cs="Times New Roman" w:eastAsia="Times New Roman" w:hint="default"/>
                <w:b w:val="0"/>
                <w:bCs w:val="0"/>
                <w:i w:val="0"/>
                <w:sz w:val="18"/>
                <w:szCs w:val="18"/>
              </w:rPr>
              <w:tab/>
              <w:t>87</w:t>
            </w:r>
          </w:hyperlink>
        </w:p>
        <w:p>
          <w:pPr>
            <w:pStyle w:val="TOC1"/>
            <w:tabs>
              <w:tab w:pos="10762" w:val="right" w:leader="dot"/>
            </w:tabs>
            <w:spacing w:line="240" w:lineRule="auto" w:before="189"/>
            <w:ind w:right="0"/>
            <w:jc w:val="left"/>
            <w:rPr>
              <w:rFonts w:ascii="Times New Roman" w:hAnsi="Times New Roman" w:cs="Times New Roman" w:eastAsia="Times New Roman" w:hint="default"/>
              <w:sz w:val="18"/>
              <w:szCs w:val="18"/>
            </w:rPr>
          </w:pPr>
          <w:hyperlink w:history="true" w:anchor="_bookmark7">
            <w:r>
              <w:rPr/>
              <w:t>第八节 董事、监事、高级管理人员和员工情况</w:t>
            </w:r>
            <w:r>
              <w:rPr>
                <w:rFonts w:ascii="Times New Roman" w:hAnsi="Times New Roman" w:cs="Times New Roman" w:eastAsia="Times New Roman" w:hint="default"/>
                <w:sz w:val="18"/>
                <w:szCs w:val="18"/>
              </w:rPr>
              <w:tab/>
              <w:t>88</w:t>
            </w:r>
          </w:hyperlink>
        </w:p>
        <w:p>
          <w:pPr>
            <w:pStyle w:val="TOC2"/>
            <w:tabs>
              <w:tab w:pos="10762"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8">
            <w:r>
              <w:rPr>
                <w:b w:val="0"/>
                <w:bCs w:val="0"/>
                <w:i w:val="0"/>
                <w:sz w:val="24"/>
                <w:szCs w:val="24"/>
              </w:rPr>
              <w:t>第九节 公司治理</w:t>
            </w:r>
            <w:r>
              <w:rPr>
                <w:rFonts w:ascii="Times New Roman" w:hAnsi="Times New Roman" w:cs="Times New Roman" w:eastAsia="Times New Roman" w:hint="default"/>
                <w:b w:val="0"/>
                <w:bCs w:val="0"/>
                <w:i w:val="0"/>
                <w:sz w:val="18"/>
                <w:szCs w:val="18"/>
              </w:rPr>
              <w:tab/>
              <w:t>98</w:t>
            </w:r>
          </w:hyperlink>
        </w:p>
        <w:p>
          <w:pPr>
            <w:pStyle w:val="TOC2"/>
            <w:tabs>
              <w:tab w:pos="10762"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9">
            <w:r>
              <w:rPr>
                <w:b w:val="0"/>
                <w:bCs w:val="0"/>
                <w:i w:val="0"/>
                <w:sz w:val="24"/>
                <w:szCs w:val="24"/>
              </w:rPr>
              <w:t>第十节 财务报告</w:t>
            </w:r>
            <w:r>
              <w:rPr>
                <w:rFonts w:ascii="Times New Roman" w:hAnsi="Times New Roman" w:cs="Times New Roman" w:eastAsia="Times New Roman" w:hint="default"/>
                <w:b w:val="0"/>
                <w:bCs w:val="0"/>
                <w:i w:val="0"/>
                <w:sz w:val="18"/>
                <w:szCs w:val="18"/>
              </w:rPr>
              <w:tab/>
              <w:t>106</w:t>
            </w:r>
          </w:hyperlink>
        </w:p>
        <w:p>
          <w:pPr>
            <w:pStyle w:val="TOC2"/>
            <w:tabs>
              <w:tab w:pos="10762" w:val="right" w:leader="dot"/>
            </w:tabs>
            <w:spacing w:line="240" w:lineRule="auto" w:before="189"/>
            <w:ind w:right="0"/>
            <w:jc w:val="left"/>
            <w:rPr>
              <w:rFonts w:ascii="Times New Roman" w:hAnsi="Times New Roman" w:cs="Times New Roman" w:eastAsia="Times New Roman" w:hint="default"/>
              <w:b w:val="0"/>
              <w:bCs w:val="0"/>
              <w:i w:val="0"/>
              <w:sz w:val="18"/>
              <w:szCs w:val="18"/>
            </w:rPr>
          </w:pPr>
          <w:hyperlink w:history="true" w:anchor="_bookmark10">
            <w:r>
              <w:rPr>
                <w:b w:val="0"/>
                <w:bCs w:val="0"/>
                <w:i w:val="0"/>
                <w:sz w:val="24"/>
                <w:szCs w:val="24"/>
              </w:rPr>
              <w:t>第十一节 备查文件目录</w:t>
            </w:r>
            <w:r>
              <w:rPr>
                <w:rFonts w:ascii="Times New Roman" w:hAnsi="Times New Roman" w:cs="Times New Roman" w:eastAsia="Times New Roman" w:hint="default"/>
                <w:b w:val="0"/>
                <w:bCs w:val="0"/>
                <w:i w:val="0"/>
                <w:sz w:val="18"/>
                <w:szCs w:val="18"/>
              </w:rPr>
              <w:tab/>
              <w:t>218</w:t>
            </w:r>
          </w:hyperlink>
        </w:p>
      </w:sdtContent>
    </w:sdt>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before="443"/>
        <w:ind w:left="994" w:right="993" w:firstLine="0"/>
        <w:jc w:val="center"/>
        <w:rPr>
          <w:rFonts w:ascii="宋体" w:hAnsi="宋体" w:cs="宋体" w:eastAsia="宋体" w:hint="default"/>
          <w:sz w:val="30"/>
          <w:szCs w:val="30"/>
        </w:rPr>
      </w:pPr>
      <w:r>
        <w:rPr>
          <w:rFonts w:ascii="宋体" w:hAnsi="宋体" w:cs="宋体" w:eastAsia="宋体" w:hint="default"/>
          <w:b/>
          <w:bCs/>
          <w:sz w:val="30"/>
          <w:szCs w:val="30"/>
        </w:rPr>
        <w:t>释义</w:t>
      </w:r>
      <w:r>
        <w:rPr>
          <w:rFonts w:ascii="宋体" w:hAnsi="宋体" w:cs="宋体" w:eastAsia="宋体" w:hint="default"/>
          <w:sz w:val="30"/>
          <w:szCs w:val="30"/>
        </w:rPr>
      </w:r>
    </w:p>
    <w:p>
      <w:pPr>
        <w:spacing w:line="240" w:lineRule="auto" w:before="5"/>
        <w:rPr>
          <w:rFonts w:ascii="宋体" w:hAnsi="宋体" w:cs="宋体" w:eastAsia="宋体" w:hint="default"/>
          <w:b/>
          <w:bCs/>
          <w:sz w:val="15"/>
          <w:szCs w:val="15"/>
        </w:rPr>
      </w:pPr>
    </w:p>
    <w:tbl>
      <w:tblPr>
        <w:tblW w:w="0" w:type="auto"/>
        <w:jc w:val="left"/>
        <w:tblInd w:w="1129" w:type="dxa"/>
        <w:tblLayout w:type="fixed"/>
        <w:tblCellMar>
          <w:top w:w="0" w:type="dxa"/>
          <w:left w:w="0" w:type="dxa"/>
          <w:bottom w:w="0" w:type="dxa"/>
          <w:right w:w="0" w:type="dxa"/>
        </w:tblCellMar>
        <w:tblLook w:val="01E0"/>
      </w:tblPr>
      <w:tblGrid>
        <w:gridCol w:w="1997"/>
        <w:gridCol w:w="544"/>
        <w:gridCol w:w="7029"/>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318" w:hRule="exact"/>
        </w:trPr>
        <w:tc>
          <w:tcPr>
            <w:tcW w:w="1997" w:type="dxa"/>
            <w:vMerge w:val="restart"/>
            <w:tcBorders>
              <w:top w:val="single" w:sz="4" w:space="0" w:color="000000"/>
              <w:left w:val="single" w:sz="4" w:space="0" w:color="000000"/>
              <w:right w:val="single" w:sz="9" w:space="0" w:color="D2D2D2"/>
            </w:tcBorders>
          </w:tcPr>
          <w:p>
            <w:pPr>
              <w:pStyle w:val="TableParagraph"/>
              <w:spacing w:line="273" w:lineRule="auto" w:before="27"/>
              <w:ind w:left="22" w:right="65"/>
              <w:jc w:val="both"/>
              <w:rPr>
                <w:rFonts w:ascii="宋体" w:hAnsi="宋体" w:cs="宋体" w:eastAsia="宋体" w:hint="default"/>
                <w:sz w:val="21"/>
                <w:szCs w:val="21"/>
              </w:rPr>
            </w:pPr>
            <w:r>
              <w:rPr>
                <w:rFonts w:ascii="宋体" w:hAnsi="宋体" w:cs="宋体" w:eastAsia="宋体" w:hint="default"/>
                <w:sz w:val="21"/>
                <w:szCs w:val="21"/>
              </w:rPr>
              <w:t>公司、依米康、本公 司、本集团、上市公 司</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w:t>
            </w:r>
          </w:p>
        </w:tc>
      </w:tr>
      <w:tr>
        <w:trPr>
          <w:trHeight w:val="391"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vMerge/>
            <w:tcBorders>
              <w:left w:val="single" w:sz="10" w:space="0" w:color="D2D2D2"/>
              <w:right w:val="single" w:sz="4" w:space="0" w:color="000000"/>
            </w:tcBorders>
          </w:tcPr>
          <w:p>
            <w:pPr/>
          </w:p>
        </w:tc>
      </w:tr>
      <w:tr>
        <w:trPr>
          <w:trHeight w:val="317"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9" w:type="dxa"/>
            <w:vMerge/>
            <w:tcBorders>
              <w:left w:val="single" w:sz="10" w:space="0" w:color="D2D2D2"/>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证监会指定创业板信息披露网站</w:t>
            </w:r>
            <w:r>
              <w:rPr>
                <w:rFonts w:ascii="宋体" w:hAnsi="宋体" w:cs="宋体" w:eastAsia="宋体" w:hint="default"/>
                <w:spacing w:val="-1"/>
                <w:sz w:val="21"/>
                <w:szCs w:val="21"/>
              </w:rPr>
              <w:t> </w:t>
            </w:r>
            <w:hyperlink r:id="rId9">
              <w:r>
                <w:rPr>
                  <w:rFonts w:ascii="宋体" w:hAnsi="宋体" w:cs="宋体" w:eastAsia="宋体" w:hint="default"/>
                  <w:sz w:val="21"/>
                  <w:szCs w:val="21"/>
                </w:rPr>
                <w:t>ht</w:t>
              </w:r>
            </w:hyperlink>
            <w:hyperlink r:id="rId9">
              <w:r>
                <w:rPr>
                  <w:rFonts w:ascii="宋体" w:hAnsi="宋体" w:cs="宋体" w:eastAsia="宋体" w:hint="default"/>
                  <w:sz w:val="21"/>
                  <w:szCs w:val="21"/>
                </w:rPr>
                <w:t>tp://www.cninfo.com.cn</w:t>
              </w:r>
            </w:hyperlink>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《四川依米康环境科技股份有限公司公司章程》</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四川依米康环境科技股份有限公司股东大会</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四川依米康环境科技股份有限公司监事会</w:t>
            </w:r>
          </w:p>
        </w:tc>
      </w:tr>
      <w:tr>
        <w:trPr>
          <w:trHeight w:val="162" w:hRule="exact"/>
        </w:trPr>
        <w:tc>
          <w:tcPr>
            <w:tcW w:w="1997"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专门委员会</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9" w:type="dxa"/>
            <w:vMerge w:val="restart"/>
            <w:tcBorders>
              <w:top w:val="single" w:sz="4" w:space="0" w:color="000000"/>
              <w:left w:val="single" w:sz="10" w:space="0" w:color="D2D2D2"/>
              <w:right w:val="single" w:sz="4" w:space="0" w:color="000000"/>
            </w:tcBorders>
          </w:tcPr>
          <w:p>
            <w:pPr>
              <w:pStyle w:val="TableParagraph"/>
              <w:spacing w:line="273" w:lineRule="auto" w:before="27"/>
              <w:ind w:left="27" w:right="52"/>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四川依米康环境科技股份有限公司董事会审计委员会、董事会战略委员会、 董事会薪酬与考核委员会、董事会提名委员会</w:t>
            </w:r>
          </w:p>
        </w:tc>
      </w:tr>
      <w:tr>
        <w:trPr>
          <w:trHeight w:val="391"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vMerge/>
            <w:tcBorders>
              <w:left w:val="single" w:sz="10" w:space="0" w:color="D2D2D2"/>
              <w:right w:val="single" w:sz="4" w:space="0" w:color="000000"/>
            </w:tcBorders>
          </w:tcPr>
          <w:p>
            <w:pPr/>
          </w:p>
        </w:tc>
      </w:tr>
      <w:tr>
        <w:trPr>
          <w:trHeight w:val="161"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9" w:type="dxa"/>
            <w:vMerge/>
            <w:tcBorders>
              <w:left w:val="single" w:sz="10" w:space="0" w:color="D2D2D2"/>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审计委员会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四川依米康环境科技股份有限公司董事会审计委员会</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战略委员会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四川依米康环境科技股份有限公司董事会战略委员会</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薪酬与考核委员会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四川依米康环境科技股份有限公司董事会薪酬与考核委员会</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提名委员会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四川依米康环境科技股份有限公司董事会提名委员会</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信永中和、审计机构</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海际证券、财务顾问</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海际证券有限责任公司</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桑瑞思环境、桑瑞思</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四川桑瑞思环境技术工程有限公司，本公司全资子公司</w:t>
            </w:r>
          </w:p>
        </w:tc>
      </w:tr>
      <w:tr>
        <w:trPr>
          <w:trHeight w:val="162" w:hRule="exact"/>
        </w:trPr>
        <w:tc>
          <w:tcPr>
            <w:tcW w:w="1997" w:type="dxa"/>
            <w:vMerge w:val="restart"/>
            <w:tcBorders>
              <w:top w:val="single" w:sz="4" w:space="0" w:color="000000"/>
              <w:left w:val="single" w:sz="4" w:space="0" w:color="000000"/>
              <w:right w:val="single" w:sz="9" w:space="0" w:color="D2D2D2"/>
            </w:tcBorders>
          </w:tcPr>
          <w:p>
            <w:pPr>
              <w:pStyle w:val="TableParagraph"/>
              <w:spacing w:line="273" w:lineRule="auto" w:before="27"/>
              <w:ind w:left="22" w:right="65"/>
              <w:jc w:val="left"/>
              <w:rPr>
                <w:rFonts w:ascii="宋体" w:hAnsi="宋体" w:cs="宋体" w:eastAsia="宋体" w:hint="default"/>
                <w:sz w:val="21"/>
                <w:szCs w:val="21"/>
              </w:rPr>
            </w:pPr>
            <w:r>
              <w:rPr>
                <w:rFonts w:ascii="宋体" w:hAnsi="宋体" w:cs="宋体" w:eastAsia="宋体" w:hint="default"/>
                <w:sz w:val="21"/>
                <w:szCs w:val="21"/>
              </w:rPr>
              <w:t>四川多富、依米康软 件</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9" w:type="dxa"/>
            <w:vMerge w:val="restart"/>
            <w:tcBorders>
              <w:top w:val="single" w:sz="4" w:space="0" w:color="000000"/>
              <w:left w:val="single" w:sz="10" w:space="0" w:color="D2D2D2"/>
              <w:right w:val="single" w:sz="4" w:space="0" w:color="000000"/>
            </w:tcBorders>
          </w:tcPr>
          <w:p>
            <w:pPr>
              <w:pStyle w:val="TableParagraph"/>
              <w:spacing w:line="273" w:lineRule="auto" w:before="27"/>
              <w:ind w:left="27" w:right="21"/>
              <w:jc w:val="left"/>
              <w:rPr>
                <w:rFonts w:ascii="宋体" w:hAnsi="宋体" w:cs="宋体" w:eastAsia="宋体" w:hint="default"/>
                <w:sz w:val="21"/>
                <w:szCs w:val="21"/>
              </w:rPr>
            </w:pPr>
            <w:r>
              <w:rPr>
                <w:rFonts w:ascii="宋体" w:hAnsi="宋体" w:cs="宋体" w:eastAsia="宋体" w:hint="default"/>
                <w:sz w:val="21"/>
                <w:szCs w:val="21"/>
              </w:rPr>
              <w:t>四川多富冷暖设备有限公司（</w:t>
            </w:r>
            <w:r>
              <w:rPr>
                <w:rFonts w:ascii="宋体" w:hAnsi="宋体" w:cs="宋体" w:eastAsia="宋体" w:hint="default"/>
                <w:sz w:val="21"/>
                <w:szCs w:val="21"/>
              </w:rPr>
              <w:t>2015</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月变更为四川依米康软件有限责任公 </w:t>
            </w:r>
            <w:r>
              <w:rPr>
                <w:rFonts w:ascii="宋体" w:hAnsi="宋体" w:cs="宋体" w:eastAsia="宋体" w:hint="default"/>
                <w:spacing w:val="-9"/>
                <w:sz w:val="21"/>
                <w:szCs w:val="21"/>
              </w:rPr>
              <w:t>司），上市公司全资子公司</w:t>
            </w:r>
          </w:p>
        </w:tc>
      </w:tr>
      <w:tr>
        <w:trPr>
          <w:trHeight w:val="391"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vMerge/>
            <w:tcBorders>
              <w:left w:val="single" w:sz="10" w:space="0" w:color="D2D2D2"/>
              <w:right w:val="single" w:sz="4" w:space="0" w:color="000000"/>
            </w:tcBorders>
          </w:tcPr>
          <w:p>
            <w:pPr/>
          </w:p>
        </w:tc>
      </w:tr>
      <w:tr>
        <w:trPr>
          <w:trHeight w:val="161"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9" w:type="dxa"/>
            <w:vMerge/>
            <w:tcBorders>
              <w:left w:val="single" w:sz="10" w:space="0" w:color="D2D2D2"/>
              <w:bottom w:val="single" w:sz="4" w:space="0" w:color="000000"/>
              <w:right w:val="single" w:sz="4" w:space="0" w:color="000000"/>
            </w:tcBorders>
          </w:tcPr>
          <w:p>
            <w:pPr/>
          </w:p>
        </w:tc>
      </w:tr>
      <w:tr>
        <w:trPr>
          <w:trHeight w:val="162" w:hRule="exact"/>
        </w:trPr>
        <w:tc>
          <w:tcPr>
            <w:tcW w:w="1997"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深圳龙控</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9" w:type="dxa"/>
            <w:vMerge w:val="restart"/>
            <w:tcBorders>
              <w:top w:val="single" w:sz="4" w:space="0" w:color="000000"/>
              <w:left w:val="single" w:sz="10" w:space="0" w:color="D2D2D2"/>
              <w:right w:val="single" w:sz="4" w:space="0" w:color="000000"/>
            </w:tcBorders>
          </w:tcPr>
          <w:p>
            <w:pPr>
              <w:pStyle w:val="TableParagraph"/>
              <w:spacing w:line="273" w:lineRule="auto" w:before="27"/>
              <w:ind w:left="27" w:right="21"/>
              <w:jc w:val="left"/>
              <w:rPr>
                <w:rFonts w:ascii="宋体" w:hAnsi="宋体" w:cs="宋体" w:eastAsia="宋体" w:hint="default"/>
                <w:sz w:val="21"/>
                <w:szCs w:val="21"/>
              </w:rPr>
            </w:pPr>
            <w:r>
              <w:rPr>
                <w:rFonts w:ascii="宋体" w:hAnsi="宋体" w:cs="宋体" w:eastAsia="宋体" w:hint="default"/>
                <w:sz w:val="21"/>
                <w:szCs w:val="21"/>
              </w:rPr>
              <w:t>深圳市龙控计算机技术有限公司（</w:t>
            </w:r>
            <w:r>
              <w:rPr>
                <w:rFonts w:ascii="宋体" w:hAnsi="宋体" w:cs="宋体" w:eastAsia="宋体" w:hint="default"/>
                <w:sz w:val="21"/>
                <w:szCs w:val="21"/>
              </w:rPr>
              <w:t>2015</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月变更为“深圳市龙控智能技术 </w:t>
            </w:r>
            <w:r>
              <w:rPr>
                <w:rFonts w:ascii="宋体" w:hAnsi="宋体" w:cs="宋体" w:eastAsia="宋体" w:hint="default"/>
                <w:spacing w:val="-15"/>
                <w:sz w:val="21"/>
                <w:szCs w:val="21"/>
              </w:rPr>
              <w:t>有限公司”），本公司控股子公司</w:t>
            </w:r>
          </w:p>
        </w:tc>
      </w:tr>
      <w:tr>
        <w:trPr>
          <w:trHeight w:val="391"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vMerge/>
            <w:tcBorders>
              <w:left w:val="single" w:sz="10" w:space="0" w:color="D2D2D2"/>
              <w:right w:val="single" w:sz="4" w:space="0" w:color="000000"/>
            </w:tcBorders>
          </w:tcPr>
          <w:p>
            <w:pPr/>
          </w:p>
        </w:tc>
      </w:tr>
      <w:tr>
        <w:trPr>
          <w:trHeight w:val="161"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9" w:type="dxa"/>
            <w:vMerge/>
            <w:tcBorders>
              <w:left w:val="single" w:sz="10" w:space="0" w:color="D2D2D2"/>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西安华西</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西安华西信息智能工程有限公司，本公司控股子公司</w:t>
            </w:r>
          </w:p>
        </w:tc>
      </w:tr>
      <w:tr>
        <w:trPr>
          <w:trHeight w:val="215" w:hRule="exact"/>
        </w:trPr>
        <w:tc>
          <w:tcPr>
            <w:tcW w:w="1997" w:type="dxa"/>
            <w:vMerge w:val="restart"/>
            <w:tcBorders>
              <w:top w:val="single" w:sz="4" w:space="0" w:color="000000"/>
              <w:left w:val="single" w:sz="4" w:space="0" w:color="000000"/>
              <w:right w:val="single" w:sz="9" w:space="0" w:color="D2D2D2"/>
            </w:tcBorders>
          </w:tcPr>
          <w:p>
            <w:pPr>
              <w:pStyle w:val="TableParagraph"/>
              <w:spacing w:line="273" w:lineRule="auto" w:before="80"/>
              <w:ind w:left="22" w:right="65"/>
              <w:jc w:val="left"/>
              <w:rPr>
                <w:rFonts w:ascii="宋体" w:hAnsi="宋体" w:cs="宋体" w:eastAsia="宋体" w:hint="default"/>
                <w:sz w:val="21"/>
                <w:szCs w:val="21"/>
              </w:rPr>
            </w:pPr>
            <w:r>
              <w:rPr>
                <w:rFonts w:ascii="宋体" w:hAnsi="宋体" w:cs="宋体" w:eastAsia="宋体" w:hint="default"/>
                <w:sz w:val="21"/>
                <w:szCs w:val="21"/>
              </w:rPr>
              <w:t>江苏亿金，江苏亿金 公司，亿金环保</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9" w:type="dxa"/>
            <w:vMerge w:val="restart"/>
            <w:tcBorders>
              <w:top w:val="single" w:sz="4" w:space="0" w:color="000000"/>
              <w:left w:val="single" w:sz="10" w:space="0" w:color="D2D2D2"/>
              <w:right w:val="single" w:sz="4" w:space="0" w:color="000000"/>
            </w:tcBorders>
          </w:tcPr>
          <w:p>
            <w:pPr>
              <w:pStyle w:val="TableParagraph"/>
              <w:spacing w:line="273" w:lineRule="auto" w:before="80"/>
              <w:ind w:left="27" w:right="21"/>
              <w:jc w:val="left"/>
              <w:rPr>
                <w:rFonts w:ascii="宋体" w:hAnsi="宋体" w:cs="宋体" w:eastAsia="宋体" w:hint="default"/>
                <w:sz w:val="21"/>
                <w:szCs w:val="21"/>
              </w:rPr>
            </w:pPr>
            <w:r>
              <w:rPr>
                <w:rFonts w:ascii="宋体" w:hAnsi="宋体" w:cs="宋体" w:eastAsia="宋体" w:hint="default"/>
                <w:spacing w:val="-6"/>
                <w:sz w:val="21"/>
                <w:szCs w:val="21"/>
              </w:rPr>
              <w:t>江苏亿金环保科技有限公司（前身：江苏亿金环保科技股份有限公司），本公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司控股子公司</w:t>
            </w:r>
          </w:p>
        </w:tc>
      </w:tr>
      <w:tr>
        <w:trPr>
          <w:trHeight w:val="391"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vMerge/>
            <w:tcBorders>
              <w:left w:val="single" w:sz="10" w:space="0" w:color="D2D2D2"/>
              <w:right w:val="single" w:sz="4" w:space="0" w:color="000000"/>
            </w:tcBorders>
          </w:tcPr>
          <w:p>
            <w:pPr/>
          </w:p>
        </w:tc>
      </w:tr>
      <w:tr>
        <w:trPr>
          <w:trHeight w:val="215"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9" w:type="dxa"/>
            <w:vMerge/>
            <w:tcBorders>
              <w:left w:val="single" w:sz="10" w:space="0" w:color="D2D2D2"/>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立业投资</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张家港市立业投资发展有限公司</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北京资采</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北京资采信息技术有限公司</w:t>
            </w:r>
          </w:p>
        </w:tc>
      </w:tr>
      <w:tr>
        <w:trPr>
          <w:trHeight w:val="402"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上海虹港</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上海虹港数据信息有限公司，本公司参股公司</w:t>
            </w:r>
          </w:p>
        </w:tc>
      </w:tr>
      <w:tr>
        <w:trPr>
          <w:trHeight w:val="161" w:hRule="exact"/>
        </w:trPr>
        <w:tc>
          <w:tcPr>
            <w:tcW w:w="1997"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RFT</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9" w:type="dxa"/>
            <w:vMerge w:val="restart"/>
            <w:tcBorders>
              <w:top w:val="single" w:sz="4" w:space="0" w:color="000000"/>
              <w:left w:val="single" w:sz="10" w:space="0" w:color="D2D2D2"/>
              <w:right w:val="single" w:sz="4" w:space="0" w:color="000000"/>
            </w:tcBorders>
          </w:tcPr>
          <w:p>
            <w:pPr>
              <w:pStyle w:val="TableParagraph"/>
              <w:spacing w:line="273" w:lineRule="auto" w:before="26"/>
              <w:ind w:left="27" w:right="22"/>
              <w:jc w:val="left"/>
              <w:rPr>
                <w:rFonts w:ascii="宋体" w:hAnsi="宋体" w:cs="宋体" w:eastAsia="宋体" w:hint="default"/>
                <w:sz w:val="21"/>
                <w:szCs w:val="21"/>
              </w:rPr>
            </w:pPr>
            <w:r>
              <w:rPr>
                <w:rFonts w:ascii="宋体" w:hAnsi="宋体" w:cs="宋体" w:eastAsia="宋体" w:hint="default"/>
                <w:sz w:val="21"/>
                <w:szCs w:val="21"/>
              </w:rPr>
              <w:t>RECTIFIER TECHNOLOGIES</w:t>
            </w:r>
            <w:r>
              <w:rPr>
                <w:rFonts w:ascii="宋体" w:hAnsi="宋体" w:cs="宋体" w:eastAsia="宋体" w:hint="default"/>
                <w:spacing w:val="-77"/>
                <w:sz w:val="21"/>
                <w:szCs w:val="21"/>
              </w:rPr>
              <w:t> </w:t>
            </w:r>
            <w:r>
              <w:rPr>
                <w:rFonts w:ascii="宋体" w:hAnsi="宋体" w:cs="宋体" w:eastAsia="宋体" w:hint="default"/>
                <w:sz w:val="21"/>
                <w:szCs w:val="21"/>
              </w:rPr>
              <w:t>LIMITED(</w:t>
            </w:r>
            <w:r>
              <w:rPr>
                <w:rFonts w:ascii="宋体" w:hAnsi="宋体" w:cs="宋体" w:eastAsia="宋体" w:hint="default"/>
                <w:sz w:val="21"/>
                <w:szCs w:val="21"/>
              </w:rPr>
              <w:t>澳大利亚整流器技术有限公司，澳大利亚 上市公司，股票代码</w:t>
            </w:r>
            <w:r>
              <w:rPr>
                <w:rFonts w:ascii="宋体" w:hAnsi="宋体" w:cs="宋体" w:eastAsia="宋体" w:hint="default"/>
                <w:sz w:val="21"/>
                <w:szCs w:val="21"/>
              </w:rPr>
              <w:t>"RFT")</w:t>
            </w:r>
            <w:r>
              <w:rPr>
                <w:rFonts w:ascii="宋体" w:hAnsi="宋体" w:cs="宋体" w:eastAsia="宋体" w:hint="default"/>
                <w:sz w:val="21"/>
                <w:szCs w:val="21"/>
              </w:rPr>
              <w:t>，本公司参股公司</w:t>
            </w:r>
          </w:p>
        </w:tc>
      </w:tr>
      <w:tr>
        <w:trPr>
          <w:trHeight w:val="392"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7029" w:type="dxa"/>
            <w:vMerge/>
            <w:tcBorders>
              <w:left w:val="single" w:sz="10" w:space="0" w:color="D2D2D2"/>
              <w:right w:val="single" w:sz="4" w:space="0" w:color="000000"/>
            </w:tcBorders>
          </w:tcPr>
          <w:p>
            <w:pPr/>
          </w:p>
        </w:tc>
      </w:tr>
      <w:tr>
        <w:trPr>
          <w:trHeight w:val="161"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9" w:type="dxa"/>
            <w:vMerge/>
            <w:tcBorders>
              <w:left w:val="single" w:sz="10"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89.9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568"/>
                    <w:gridCol w:w="7017"/>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上海国富光启</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上海国富光启云计算科技股份有限公司，本公司参股公司</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四川康为嘉</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四川康为嘉信息技术有限公司，本公司参股公司</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亨升投资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上海亨升投资管理有限公司，本公司持股</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股东</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十二五规划，十二五</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6"/>
                          <w:jc w:val="left"/>
                          <w:rPr>
                            <w:rFonts w:ascii="宋体" w:hAnsi="宋体" w:cs="宋体" w:eastAsia="宋体" w:hint="default"/>
                            <w:sz w:val="21"/>
                            <w:szCs w:val="21"/>
                          </w:rPr>
                        </w:pPr>
                        <w:r>
                          <w:rPr>
                            <w:rFonts w:ascii="宋体" w:hAnsi="宋体" w:cs="宋体" w:eastAsia="宋体" w:hint="default"/>
                            <w:spacing w:val="-9"/>
                            <w:sz w:val="21"/>
                            <w:szCs w:val="21"/>
                          </w:rPr>
                          <w:t>中国国民经济和社会发展第十二个五年规划纲要；“十二五”规划的起止时间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2011-2015</w:t>
                        </w:r>
                        <w:r>
                          <w:rPr>
                            <w:rFonts w:ascii="宋体" w:hAnsi="宋体" w:cs="宋体" w:eastAsia="宋体" w:hint="default"/>
                            <w:spacing w:val="-57"/>
                            <w:sz w:val="21"/>
                            <w:szCs w:val="21"/>
                          </w:rPr>
                          <w:t> </w:t>
                        </w:r>
                        <w:r>
                          <w:rPr>
                            <w:rFonts w:ascii="宋体" w:hAnsi="宋体" w:cs="宋体" w:eastAsia="宋体" w:hint="default"/>
                            <w:sz w:val="21"/>
                            <w:szCs w:val="21"/>
                          </w:rPr>
                          <w:t>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十三五规划，十三五</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6"/>
                          <w:jc w:val="left"/>
                          <w:rPr>
                            <w:rFonts w:ascii="宋体" w:hAnsi="宋体" w:cs="宋体" w:eastAsia="宋体" w:hint="default"/>
                            <w:sz w:val="21"/>
                            <w:szCs w:val="21"/>
                          </w:rPr>
                        </w:pPr>
                        <w:r>
                          <w:rPr>
                            <w:rFonts w:ascii="宋体" w:hAnsi="宋体" w:cs="宋体" w:eastAsia="宋体" w:hint="default"/>
                            <w:spacing w:val="-9"/>
                            <w:sz w:val="21"/>
                            <w:szCs w:val="21"/>
                          </w:rPr>
                          <w:t>中国国民经济和社会发展第十三个五年规划纲要；“十三五”规划的起止时间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2016-2020</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ICT research,ICT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国内知名市场研究咨询公司，主要为</w:t>
                        </w:r>
                        <w:r>
                          <w:rPr>
                            <w:rFonts w:ascii="宋体" w:hAnsi="宋体" w:cs="宋体" w:eastAsia="宋体" w:hint="default"/>
                            <w:spacing w:val="-54"/>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制造业提供市场咨询和顾问服务</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精密环境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both"/>
                          <w:rPr>
                            <w:rFonts w:ascii="宋体" w:hAnsi="宋体" w:cs="宋体" w:eastAsia="宋体" w:hint="default"/>
                            <w:sz w:val="21"/>
                            <w:szCs w:val="21"/>
                          </w:rPr>
                        </w:pPr>
                        <w:r>
                          <w:rPr>
                            <w:rFonts w:ascii="宋体" w:hAnsi="宋体" w:cs="宋体" w:eastAsia="宋体" w:hint="default"/>
                            <w:sz w:val="21"/>
                            <w:szCs w:val="21"/>
                          </w:rPr>
                          <w:t>主要包括数据中心机房、医疗洁净场所及其他恒温恒湿环境，该环境要求温 度、湿度、洁净度、气流分布、监控管理等各种环境状态具有高可靠性和保 障性，能够</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小时不间断安全可靠运行</w:t>
                        </w:r>
                      </w:p>
                    </w:tc>
                  </w:tr>
                  <w:tr>
                    <w:trPr>
                      <w:trHeight w:val="16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机房环境监控</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both"/>
                          <w:rPr>
                            <w:rFonts w:ascii="宋体" w:hAnsi="宋体" w:cs="宋体" w:eastAsia="宋体" w:hint="default"/>
                            <w:sz w:val="21"/>
                            <w:szCs w:val="21"/>
                          </w:rPr>
                        </w:pPr>
                        <w:r>
                          <w:rPr>
                            <w:rFonts w:ascii="宋体" w:hAnsi="宋体" w:cs="宋体" w:eastAsia="宋体" w:hint="default"/>
                            <w:spacing w:val="-6"/>
                            <w:sz w:val="21"/>
                            <w:szCs w:val="21"/>
                          </w:rPr>
                          <w:t>针对计算机机房（包括数据中心）、通信类机房、工业与控制机房等精密环境</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场所的设备特点和工作环境，对场所内的供配电、</w:t>
                        </w:r>
                        <w:r>
                          <w:rPr>
                            <w:rFonts w:ascii="宋体" w:hAnsi="宋体" w:cs="宋体" w:eastAsia="宋体" w:hint="default"/>
                            <w:spacing w:val="-3"/>
                            <w:sz w:val="21"/>
                            <w:szCs w:val="21"/>
                          </w:rPr>
                          <w:t>UPS</w:t>
                        </w:r>
                        <w:r>
                          <w:rPr>
                            <w:rFonts w:ascii="宋体" w:hAnsi="宋体" w:cs="宋体" w:eastAsia="宋体" w:hint="default"/>
                            <w:spacing w:val="-3"/>
                            <w:sz w:val="21"/>
                            <w:szCs w:val="21"/>
                          </w:rPr>
                          <w:t>、空调、消防、保安等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智能、非智能设备以及温湿度、烟雾、地水、门禁等环境量实现“遥测、遥 信、遥控、遥调”等功能，实施自动化实时监视和有效管理，确保计算机系 统的安全正常运行。</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物流监控</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left"/>
                          <w:rPr>
                            <w:rFonts w:ascii="宋体" w:hAnsi="宋体" w:cs="宋体" w:eastAsia="宋体" w:hint="default"/>
                            <w:sz w:val="21"/>
                            <w:szCs w:val="21"/>
                          </w:rPr>
                        </w:pPr>
                        <w:r>
                          <w:rPr>
                            <w:rFonts w:ascii="宋体" w:hAnsi="宋体" w:cs="宋体" w:eastAsia="宋体" w:hint="default"/>
                            <w:sz w:val="21"/>
                            <w:szCs w:val="21"/>
                          </w:rPr>
                          <w:t>对货物从起始地至止运地的运输过程中状态信息进行采集、监控、管理，及 运输过程中的关键节点（如卡口）实施自动化监视和有效管理。</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物流信息化</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left"/>
                          <w:rPr>
                            <w:rFonts w:ascii="宋体" w:hAnsi="宋体" w:cs="宋体" w:eastAsia="宋体" w:hint="default"/>
                            <w:sz w:val="21"/>
                            <w:szCs w:val="21"/>
                          </w:rPr>
                        </w:pPr>
                        <w:r>
                          <w:rPr>
                            <w:rFonts w:ascii="宋体" w:hAnsi="宋体" w:cs="宋体" w:eastAsia="宋体" w:hint="default"/>
                            <w:sz w:val="21"/>
                            <w:szCs w:val="21"/>
                          </w:rPr>
                          <w:t>对货物从起始地至止运地的运输过程中涉及各经营场所、各业务环节的单证 流、信息流和货物流的信息化建设。</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高压直流电源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both"/>
                          <w:rPr>
                            <w:rFonts w:ascii="宋体" w:hAnsi="宋体" w:cs="宋体" w:eastAsia="宋体" w:hint="default"/>
                            <w:sz w:val="21"/>
                            <w:szCs w:val="21"/>
                          </w:rPr>
                        </w:pPr>
                        <w:r>
                          <w:rPr>
                            <w:rFonts w:ascii="宋体" w:hAnsi="宋体" w:cs="宋体" w:eastAsia="宋体" w:hint="default"/>
                            <w:sz w:val="21"/>
                            <w:szCs w:val="21"/>
                          </w:rPr>
                          <w:t>又称</w:t>
                        </w:r>
                        <w:r>
                          <w:rPr>
                            <w:rFonts w:ascii="宋体" w:hAnsi="宋体" w:cs="宋体" w:eastAsia="宋体" w:hint="default"/>
                            <w:spacing w:val="-72"/>
                            <w:sz w:val="21"/>
                            <w:szCs w:val="21"/>
                          </w:rPr>
                          <w:t> </w:t>
                        </w:r>
                        <w:r>
                          <w:rPr>
                            <w:rFonts w:ascii="宋体" w:hAnsi="宋体" w:cs="宋体" w:eastAsia="宋体" w:hint="default"/>
                            <w:sz w:val="21"/>
                            <w:szCs w:val="21"/>
                          </w:rPr>
                          <w:t>HVDC</w:t>
                        </w:r>
                        <w:r>
                          <w:rPr>
                            <w:rFonts w:ascii="宋体" w:hAnsi="宋体" w:cs="宋体" w:eastAsia="宋体" w:hint="default"/>
                            <w:sz w:val="21"/>
                            <w:szCs w:val="21"/>
                          </w:rPr>
                          <w:t>，是一种新型的直流不间断供电系统，主要由交流配电单元、整流 模块、蓄电池、直流配电单元、电池管理单元、绝缘监测单元及监控模块组 成</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both"/>
                          <w:rPr>
                            <w:rFonts w:ascii="宋体" w:hAnsi="宋体" w:cs="宋体" w:eastAsia="宋体" w:hint="default"/>
                            <w:sz w:val="21"/>
                            <w:szCs w:val="21"/>
                          </w:rPr>
                        </w:pPr>
                        <w:r>
                          <w:rPr>
                            <w:rFonts w:ascii="宋体" w:hAnsi="宋体" w:cs="宋体" w:eastAsia="宋体" w:hint="default"/>
                            <w:sz w:val="21"/>
                            <w:szCs w:val="21"/>
                          </w:rPr>
                          <w:t>运用信息和通信技术手段感测、分析、整合城市运行核心系统的各项关键信 息，从而对包括民生、环保、公共安全、城市服务、工商业活动在内的各种 需求做出智能响应。其实质是利用先进的信息技术，实现城市智慧式管理和 </w:t>
                        </w:r>
                        <w:r>
                          <w:rPr>
                            <w:rFonts w:ascii="宋体" w:hAnsi="宋体" w:cs="宋体" w:eastAsia="宋体" w:hint="default"/>
                            <w:spacing w:val="-3"/>
                            <w:sz w:val="21"/>
                            <w:szCs w:val="21"/>
                          </w:rPr>
                          <w:t>运行，进而为城市中的人创造更美好的生活，促进城市的和谐、可持续成长</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智慧家居</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both"/>
                          <w:rPr>
                            <w:rFonts w:ascii="宋体" w:hAnsi="宋体" w:cs="宋体" w:eastAsia="宋体" w:hint="default"/>
                            <w:sz w:val="21"/>
                            <w:szCs w:val="21"/>
                          </w:rPr>
                        </w:pPr>
                        <w:r>
                          <w:rPr>
                            <w:rFonts w:ascii="宋体" w:hAnsi="宋体" w:cs="宋体" w:eastAsia="宋体" w:hint="default"/>
                            <w:sz w:val="21"/>
                            <w:szCs w:val="21"/>
                          </w:rPr>
                          <w:t>以住宅为平台，利用综合布线技术、网络通信技术、安全防范技术、自动控 制技术、音视频技术将家居生活有关的设施集成，构建高效的住宅设施与家 庭日程事务的管理系统，提升家居安全性、便利性、舒适性、艺术性，并实 现环保节能的居住环境。</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数据中心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7"/>
                          <w:jc w:val="left"/>
                          <w:rPr>
                            <w:rFonts w:ascii="宋体" w:hAnsi="宋体" w:cs="宋体" w:eastAsia="宋体" w:hint="default"/>
                            <w:sz w:val="21"/>
                            <w:szCs w:val="21"/>
                          </w:rPr>
                        </w:pPr>
                        <w:r>
                          <w:rPr>
                            <w:rFonts w:ascii="宋体" w:hAnsi="宋体" w:cs="宋体" w:eastAsia="宋体" w:hint="default"/>
                            <w:spacing w:val="-3"/>
                            <w:sz w:val="21"/>
                            <w:szCs w:val="21"/>
                          </w:rPr>
                          <w:t>利用已有的互联网通信线路、带宽资源，建立标准化的电信专业级机房环境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为企业、政府提供服务器托管、租用以及相关增值等方面的全方位服务</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IDC</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互联网数据中心（</w:t>
                        </w:r>
                        <w:r>
                          <w:rPr>
                            <w:rFonts w:ascii="宋体" w:hAnsi="宋体" w:cs="宋体" w:eastAsia="宋体" w:hint="default"/>
                            <w:sz w:val="21"/>
                            <w:szCs w:val="21"/>
                          </w:rPr>
                          <w:t>Internet Date</w:t>
                        </w:r>
                        <w:r>
                          <w:rPr>
                            <w:rFonts w:ascii="宋体" w:hAnsi="宋体" w:cs="宋体" w:eastAsia="宋体" w:hint="default"/>
                            <w:spacing w:val="-1"/>
                            <w:sz w:val="21"/>
                            <w:szCs w:val="21"/>
                          </w:rPr>
                          <w:t> </w:t>
                        </w:r>
                        <w:r>
                          <w:rPr>
                            <w:rFonts w:ascii="宋体" w:hAnsi="宋体" w:cs="宋体" w:eastAsia="宋体" w:hint="default"/>
                            <w:sz w:val="21"/>
                            <w:szCs w:val="21"/>
                          </w:rPr>
                          <w:t>Center</w:t>
                        </w:r>
                        <w:r>
                          <w:rPr>
                            <w:rFonts w:ascii="宋体" w:hAnsi="宋体" w:cs="宋体" w:eastAsia="宋体" w:hint="default"/>
                            <w:sz w:val="21"/>
                            <w:szCs w:val="21"/>
                          </w:rPr>
                          <w:t>）</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EDC</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企业数据中心（</w:t>
                        </w:r>
                        <w:r>
                          <w:rPr>
                            <w:rFonts w:ascii="宋体" w:hAnsi="宋体" w:cs="宋体" w:eastAsia="宋体" w:hint="default"/>
                            <w:sz w:val="21"/>
                            <w:szCs w:val="21"/>
                          </w:rPr>
                          <w:t>Enterprise Date</w:t>
                        </w:r>
                        <w:r>
                          <w:rPr>
                            <w:rFonts w:ascii="宋体" w:hAnsi="宋体" w:cs="宋体" w:eastAsia="宋体" w:hint="default"/>
                            <w:spacing w:val="-1"/>
                            <w:sz w:val="21"/>
                            <w:szCs w:val="21"/>
                          </w:rPr>
                          <w:t> </w:t>
                        </w:r>
                        <w:r>
                          <w:rPr>
                            <w:rFonts w:ascii="宋体" w:hAnsi="宋体" w:cs="宋体" w:eastAsia="宋体" w:hint="default"/>
                            <w:sz w:val="21"/>
                            <w:szCs w:val="21"/>
                          </w:rPr>
                          <w:t>Center</w:t>
                        </w:r>
                        <w:r>
                          <w:rPr>
                            <w:rFonts w:ascii="宋体" w:hAnsi="宋体" w:cs="宋体" w:eastAsia="宋体" w:hint="default"/>
                            <w:sz w:val="21"/>
                            <w:szCs w:val="21"/>
                          </w:rPr>
                          <w:t>）</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GDC</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绿色数据中心（</w:t>
                        </w:r>
                        <w:r>
                          <w:rPr>
                            <w:rFonts w:ascii="宋体" w:hAnsi="宋体" w:cs="宋体" w:eastAsia="宋体" w:hint="default"/>
                            <w:sz w:val="21"/>
                            <w:szCs w:val="21"/>
                          </w:rPr>
                          <w:t>Green Date</w:t>
                        </w:r>
                        <w:r>
                          <w:rPr>
                            <w:rFonts w:ascii="宋体" w:hAnsi="宋体" w:cs="宋体" w:eastAsia="宋体" w:hint="default"/>
                            <w:spacing w:val="-1"/>
                            <w:sz w:val="21"/>
                            <w:szCs w:val="21"/>
                          </w:rPr>
                          <w:t> </w:t>
                        </w:r>
                        <w:r>
                          <w:rPr>
                            <w:rFonts w:ascii="宋体" w:hAnsi="宋体" w:cs="宋体" w:eastAsia="宋体" w:hint="default"/>
                            <w:sz w:val="21"/>
                            <w:szCs w:val="21"/>
                          </w:rPr>
                          <w:t>Center</w:t>
                        </w:r>
                        <w:r>
                          <w:rPr>
                            <w:rFonts w:ascii="宋体" w:hAnsi="宋体" w:cs="宋体" w:eastAsia="宋体" w:hint="default"/>
                            <w:sz w:val="21"/>
                            <w:szCs w:val="21"/>
                          </w:rPr>
                          <w:t>）</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60"/>
                          <w:jc w:val="left"/>
                          <w:rPr>
                            <w:rFonts w:ascii="宋体" w:hAnsi="宋体" w:cs="宋体" w:eastAsia="宋体" w:hint="default"/>
                            <w:sz w:val="21"/>
                            <w:szCs w:val="21"/>
                          </w:rPr>
                        </w:pPr>
                        <w:r>
                          <w:rPr>
                            <w:rFonts w:ascii="宋体" w:hAnsi="宋体" w:cs="宋体" w:eastAsia="宋体" w:hint="default"/>
                            <w:sz w:val="21"/>
                            <w:szCs w:val="21"/>
                          </w:rPr>
                          <w:t>数据中心基础设施建 设</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both"/>
                          <w:rPr>
                            <w:rFonts w:ascii="宋体" w:hAnsi="宋体" w:cs="宋体" w:eastAsia="宋体" w:hint="default"/>
                            <w:sz w:val="21"/>
                            <w:szCs w:val="21"/>
                          </w:rPr>
                        </w:pPr>
                        <w:r>
                          <w:rPr>
                            <w:rFonts w:ascii="宋体" w:hAnsi="宋体" w:cs="宋体" w:eastAsia="宋体" w:hint="default"/>
                            <w:sz w:val="21"/>
                            <w:szCs w:val="21"/>
                          </w:rPr>
                          <w:t>集建筑、电气、安装、网络等多个专业技术于一体的计算机机房建设工程， 包括装饰装修系统工程、供配电系统工程、空调和新风系统工程、建筑智能 化系统工程、防雷系统工程以及消防系统工程等。</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35"/>
        <w:ind w:left="0" w:right="112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before="177"/>
        <w:ind w:left="0" w:right="112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35"/>
        <w:ind w:left="0" w:right="112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35"/>
        <w:ind w:left="0" w:right="1124"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85.4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568"/>
                    <w:gridCol w:w="7017"/>
                  </w:tblGrid>
                  <w:tr>
                    <w:trPr>
                      <w:trHeight w:val="16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数据中心增值业务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both"/>
                          <w:rPr>
                            <w:rFonts w:ascii="宋体" w:hAnsi="宋体" w:cs="宋体" w:eastAsia="宋体" w:hint="default"/>
                            <w:sz w:val="21"/>
                            <w:szCs w:val="21"/>
                          </w:rPr>
                        </w:pPr>
                        <w:r>
                          <w:rPr>
                            <w:rFonts w:ascii="宋体" w:hAnsi="宋体" w:cs="宋体" w:eastAsia="宋体" w:hint="default"/>
                            <w:sz w:val="21"/>
                            <w:szCs w:val="21"/>
                          </w:rPr>
                          <w:t>凭借公用通信网的资源和其它通信设备而开发的下述增强型业务：利用相应 的机房设施，以外包出租的方式为用户的服务器等因特网或其他网络的相关 设备提供放置、代理维护、系统配置及管理服务，以及提供数据库系统或服 务器等设备的出租及其存储空间的出租、通信线路和出口带宽的代理租用和 其它应用服务。</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DCIM</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both"/>
                          <w:rPr>
                            <w:rFonts w:ascii="宋体" w:hAnsi="宋体" w:cs="宋体" w:eastAsia="宋体" w:hint="default"/>
                            <w:sz w:val="21"/>
                            <w:szCs w:val="21"/>
                          </w:rPr>
                        </w:pPr>
                        <w:r>
                          <w:rPr>
                            <w:rFonts w:ascii="宋体" w:hAnsi="宋体" w:cs="宋体" w:eastAsia="宋体" w:hint="default"/>
                            <w:sz w:val="21"/>
                            <w:szCs w:val="21"/>
                          </w:rPr>
                          <w:t>数据中心智能管理平台，为数据中心基础设施监控管理提供全面解决方案， </w:t>
                        </w:r>
                        <w:r>
                          <w:rPr>
                            <w:rFonts w:ascii="宋体" w:hAnsi="宋体" w:cs="宋体" w:eastAsia="宋体" w:hint="default"/>
                            <w:spacing w:val="-3"/>
                            <w:sz w:val="21"/>
                            <w:szCs w:val="21"/>
                          </w:rPr>
                          <w:t>包括资产、容量、能效、微环境、运维、服务等综合管理功能及</w:t>
                        </w:r>
                        <w:r>
                          <w:rPr>
                            <w:rFonts w:ascii="宋体" w:hAnsi="宋体" w:cs="宋体" w:eastAsia="宋体" w:hint="default"/>
                            <w:spacing w:val="-42"/>
                            <w:sz w:val="21"/>
                            <w:szCs w:val="21"/>
                          </w:rPr>
                          <w:t> </w:t>
                        </w:r>
                        <w:r>
                          <w:rPr>
                            <w:rFonts w:ascii="宋体" w:hAnsi="宋体" w:cs="宋体" w:eastAsia="宋体" w:hint="default"/>
                            <w:sz w:val="21"/>
                            <w:szCs w:val="21"/>
                          </w:rPr>
                          <w:t>3D</w:t>
                        </w:r>
                        <w:r>
                          <w:rPr>
                            <w:rFonts w:ascii="宋体" w:hAnsi="宋体" w:cs="宋体" w:eastAsia="宋体" w:hint="default"/>
                            <w:spacing w:val="-42"/>
                            <w:sz w:val="21"/>
                            <w:szCs w:val="21"/>
                          </w:rPr>
                          <w:t> </w:t>
                        </w:r>
                        <w:r>
                          <w:rPr>
                            <w:rFonts w:ascii="宋体" w:hAnsi="宋体" w:cs="宋体" w:eastAsia="宋体" w:hint="default"/>
                            <w:spacing w:val="-4"/>
                            <w:sz w:val="21"/>
                            <w:szCs w:val="21"/>
                          </w:rPr>
                          <w:t>仿真、移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动监控、触控大屏等高端展示方式。</w:t>
                        </w:r>
                      </w:p>
                    </w:tc>
                  </w:tr>
                  <w:tr>
                    <w:trPr>
                      <w:trHeight w:val="16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建筑智能化</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left"/>
                          <w:rPr>
                            <w:rFonts w:ascii="宋体" w:hAnsi="宋体" w:cs="宋体" w:eastAsia="宋体" w:hint="default"/>
                            <w:sz w:val="21"/>
                            <w:szCs w:val="21"/>
                          </w:rPr>
                        </w:pPr>
                        <w:r>
                          <w:rPr>
                            <w:rFonts w:ascii="宋体" w:hAnsi="宋体" w:cs="宋体" w:eastAsia="宋体" w:hint="default"/>
                            <w:sz w:val="21"/>
                            <w:szCs w:val="21"/>
                          </w:rPr>
                          <w:t>利用通信网络技术、计算机技术、自动控制技术、消防与安全防范技术、声 频与视频应用技术、综合布线和系统集成技术将楼宇设备自动化系统</w:t>
                        </w:r>
                        <w:r>
                          <w:rPr>
                            <w:rFonts w:ascii="宋体" w:hAnsi="宋体" w:cs="宋体" w:eastAsia="宋体" w:hint="default"/>
                            <w:sz w:val="21"/>
                            <w:szCs w:val="21"/>
                          </w:rPr>
                          <w:t>(BAS) </w:t>
                        </w:r>
                        <w:r>
                          <w:rPr>
                            <w:rFonts w:ascii="宋体" w:hAnsi="宋体" w:cs="宋体" w:eastAsia="宋体" w:hint="default"/>
                            <w:sz w:val="21"/>
                            <w:szCs w:val="21"/>
                          </w:rPr>
                          <w:t>通信自动化系统</w:t>
                        </w:r>
                        <w:r>
                          <w:rPr>
                            <w:rFonts w:ascii="宋体" w:hAnsi="宋体" w:cs="宋体" w:eastAsia="宋体" w:hint="default"/>
                            <w:sz w:val="21"/>
                            <w:szCs w:val="21"/>
                          </w:rPr>
                          <w:t>(CAS)</w:t>
                        </w:r>
                        <w:r>
                          <w:rPr>
                            <w:rFonts w:ascii="宋体" w:hAnsi="宋体" w:cs="宋体" w:eastAsia="宋体" w:hint="default"/>
                            <w:sz w:val="21"/>
                            <w:szCs w:val="21"/>
                          </w:rPr>
                          <w:t>、办公自动化系统</w:t>
                        </w:r>
                        <w:r>
                          <w:rPr>
                            <w:rFonts w:ascii="宋体" w:hAnsi="宋体" w:cs="宋体" w:eastAsia="宋体" w:hint="default"/>
                            <w:sz w:val="21"/>
                            <w:szCs w:val="21"/>
                          </w:rPr>
                          <w:t>(OAS)</w:t>
                        </w:r>
                        <w:r>
                          <w:rPr>
                            <w:rFonts w:ascii="宋体" w:hAnsi="宋体" w:cs="宋体" w:eastAsia="宋体" w:hint="default"/>
                            <w:sz w:val="21"/>
                            <w:szCs w:val="21"/>
                          </w:rPr>
                          <w:t>与建筑和结构有机地集成为一 体</w:t>
                        </w:r>
                        <w:r>
                          <w:rPr>
                            <w:rFonts w:ascii="宋体" w:hAnsi="宋体" w:cs="宋体" w:eastAsia="宋体" w:hint="default"/>
                            <w:sz w:val="21"/>
                            <w:szCs w:val="21"/>
                          </w:rPr>
                          <w:t>,</w:t>
                        </w:r>
                        <w:r>
                          <w:rPr>
                            <w:rFonts w:ascii="宋体" w:hAnsi="宋体" w:cs="宋体" w:eastAsia="宋体" w:hint="default"/>
                            <w:sz w:val="21"/>
                            <w:szCs w:val="21"/>
                          </w:rPr>
                          <w:t>通过优质的服务和良好的运营</w:t>
                        </w:r>
                        <w:r>
                          <w:rPr>
                            <w:rFonts w:ascii="宋体" w:hAnsi="宋体" w:cs="宋体" w:eastAsia="宋体" w:hint="default"/>
                            <w:sz w:val="21"/>
                            <w:szCs w:val="21"/>
                          </w:rPr>
                          <w:t>,</w:t>
                        </w:r>
                        <w:r>
                          <w:rPr>
                            <w:rFonts w:ascii="宋体" w:hAnsi="宋体" w:cs="宋体" w:eastAsia="宋体" w:hint="default"/>
                            <w:sz w:val="21"/>
                            <w:szCs w:val="21"/>
                          </w:rPr>
                          <w:t>为人们提供理想的安全、舒适、节能、高 效的工作和生活空间。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ICU</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重症监护室的英文简称</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大数据</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3"/>
                          <w:jc w:val="left"/>
                          <w:rPr>
                            <w:rFonts w:ascii="宋体" w:hAnsi="宋体" w:cs="宋体" w:eastAsia="宋体" w:hint="default"/>
                            <w:sz w:val="21"/>
                            <w:szCs w:val="21"/>
                          </w:rPr>
                        </w:pPr>
                        <w:hyperlink r:id="rId10">
                          <w:r>
                            <w:rPr>
                              <w:rFonts w:ascii="宋体" w:hAnsi="宋体" w:cs="宋体" w:eastAsia="宋体" w:hint="default"/>
                              <w:sz w:val="21"/>
                              <w:szCs w:val="21"/>
                            </w:rPr>
                            <w:t>又称为巨量资料，指需要新处理模式才能具有更强的决策力</w:t>
                          </w:r>
                        </w:hyperlink>
                        <w:r>
                          <w:rPr>
                            <w:rFonts w:ascii="宋体" w:hAnsi="宋体" w:cs="宋体" w:eastAsia="宋体" w:hint="default"/>
                            <w:sz w:val="21"/>
                            <w:szCs w:val="21"/>
                          </w:rPr>
                          <w:t>、洞察力和</w:t>
                        </w:r>
                        <w:hyperlink r:id="rId11">
                          <w:r>
                            <w:rPr>
                              <w:rFonts w:ascii="宋体" w:hAnsi="宋体" w:cs="宋体" w:eastAsia="宋体" w:hint="default"/>
                              <w:sz w:val="21"/>
                              <w:szCs w:val="21"/>
                            </w:rPr>
                            <w:t>流程</w:t>
                          </w:r>
                        </w:hyperlink>
                        <w:r>
                          <w:rPr>
                            <w:rFonts w:ascii="宋体" w:hAnsi="宋体" w:cs="宋体" w:eastAsia="宋体" w:hint="default"/>
                            <w:sz w:val="21"/>
                            <w:szCs w:val="21"/>
                          </w:rPr>
                          <w:t> </w:t>
                        </w:r>
                        <w:hyperlink r:id="rId11">
                          <w:r>
                            <w:rPr>
                              <w:rFonts w:ascii="宋体" w:hAnsi="宋体" w:cs="宋体" w:eastAsia="宋体" w:hint="default"/>
                              <w:sz w:val="21"/>
                              <w:szCs w:val="21"/>
                            </w:rPr>
                            <w:t>优化</w:t>
                          </w:r>
                        </w:hyperlink>
                        <w:r>
                          <w:rPr>
                            <w:rFonts w:ascii="宋体" w:hAnsi="宋体" w:cs="宋体" w:eastAsia="宋体" w:hint="default"/>
                            <w:sz w:val="21"/>
                            <w:szCs w:val="21"/>
                          </w:rPr>
                          <w:t>能力的海量、高增长率和多样化的信息资产。</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移动健康</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hyperlink r:id="rId12">
                          <w:r>
                            <w:rPr>
                              <w:rFonts w:ascii="宋体" w:hAnsi="宋体" w:cs="宋体" w:eastAsia="宋体" w:hint="default"/>
                              <w:spacing w:val="-3"/>
                              <w:sz w:val="21"/>
                              <w:szCs w:val="21"/>
                            </w:rPr>
                            <w:t>充分利用移动互联网</w:t>
                          </w:r>
                        </w:hyperlink>
                        <w:r>
                          <w:rPr>
                            <w:rFonts w:ascii="宋体" w:hAnsi="宋体" w:cs="宋体" w:eastAsia="宋体" w:hint="default"/>
                            <w:spacing w:val="-3"/>
                            <w:sz w:val="21"/>
                            <w:szCs w:val="21"/>
                          </w:rPr>
                          <w:t>通信技术来提供健康、保健、医疗、康复等</w:t>
                        </w:r>
                        <w:hyperlink r:id="rId13">
                          <w:r>
                            <w:rPr>
                              <w:rFonts w:ascii="宋体" w:hAnsi="宋体" w:cs="宋体" w:eastAsia="宋体" w:hint="default"/>
                              <w:spacing w:val="-3"/>
                              <w:sz w:val="21"/>
                              <w:szCs w:val="21"/>
                            </w:rPr>
                            <w:t>健管家</w:t>
                          </w:r>
                        </w:hyperlink>
                        <w:r>
                          <w:rPr>
                            <w:rFonts w:ascii="宋体" w:hAnsi="宋体" w:cs="宋体" w:eastAsia="宋体" w:hint="default"/>
                            <w:spacing w:val="-3"/>
                            <w:sz w:val="21"/>
                            <w:szCs w:val="21"/>
                          </w:rPr>
                          <w:t>服务</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除尘设备</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7"/>
                          <w:jc w:val="left"/>
                          <w:rPr>
                            <w:rFonts w:ascii="宋体" w:hAnsi="宋体" w:cs="宋体" w:eastAsia="宋体" w:hint="default"/>
                            <w:sz w:val="21"/>
                            <w:szCs w:val="21"/>
                          </w:rPr>
                        </w:pPr>
                        <w:r>
                          <w:rPr>
                            <w:rFonts w:ascii="宋体" w:hAnsi="宋体" w:cs="宋体" w:eastAsia="宋体" w:hint="default"/>
                            <w:spacing w:val="-3"/>
                            <w:sz w:val="21"/>
                            <w:szCs w:val="21"/>
                          </w:rPr>
                          <w:t>把工业用粉尘从烟气中分离出来的设备。除尘设备的性能用可处理的气体量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气体通过除尘器时的阻力损失和除尘效率来表达。</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烟气脱硫脱硝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5"/>
                          <w:jc w:val="left"/>
                          <w:rPr>
                            <w:rFonts w:ascii="宋体" w:hAnsi="宋体" w:cs="宋体" w:eastAsia="宋体" w:hint="default"/>
                            <w:sz w:val="21"/>
                            <w:szCs w:val="21"/>
                          </w:rPr>
                        </w:pPr>
                        <w:r>
                          <w:rPr>
                            <w:rFonts w:ascii="宋体" w:hAnsi="宋体" w:cs="宋体" w:eastAsia="宋体" w:hint="default"/>
                            <w:sz w:val="21"/>
                            <w:szCs w:val="21"/>
                          </w:rPr>
                          <w:t>指利用吸收剂或吸附剂去除烟气中的</w:t>
                        </w:r>
                        <w:r>
                          <w:rPr>
                            <w:rFonts w:ascii="宋体" w:hAnsi="宋体" w:cs="宋体" w:eastAsia="宋体" w:hint="default"/>
                            <w:spacing w:val="-53"/>
                            <w:sz w:val="21"/>
                            <w:szCs w:val="21"/>
                          </w:rPr>
                          <w:t> </w:t>
                        </w:r>
                        <w:r>
                          <w:rPr>
                            <w:rFonts w:ascii="宋体" w:hAnsi="宋体" w:cs="宋体" w:eastAsia="宋体" w:hint="default"/>
                            <w:sz w:val="21"/>
                            <w:szCs w:val="21"/>
                          </w:rPr>
                          <w:t>SO2</w:t>
                        </w:r>
                        <w:r>
                          <w:rPr>
                            <w:rFonts w:ascii="宋体" w:hAnsi="宋体" w:cs="宋体" w:eastAsia="宋体" w:hint="default"/>
                            <w:spacing w:val="-53"/>
                            <w:sz w:val="21"/>
                            <w:szCs w:val="21"/>
                          </w:rPr>
                          <w:t> </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宋体" w:hAnsi="宋体" w:cs="宋体" w:eastAsia="宋体" w:hint="default"/>
                            <w:sz w:val="21"/>
                            <w:szCs w:val="21"/>
                          </w:rPr>
                          <w:t>NOx</w:t>
                        </w:r>
                        <w:r>
                          <w:rPr>
                            <w:rFonts w:ascii="宋体" w:hAnsi="宋体" w:cs="宋体" w:eastAsia="宋体" w:hint="default"/>
                            <w:sz w:val="21"/>
                            <w:szCs w:val="21"/>
                          </w:rPr>
                          <w:t>。烟气脱硫、脱硝中采用的 </w:t>
                        </w:r>
                        <w:r>
                          <w:rPr>
                            <w:rFonts w:ascii="宋体" w:hAnsi="宋体" w:cs="宋体" w:eastAsia="宋体" w:hint="default"/>
                            <w:spacing w:val="-3"/>
                            <w:sz w:val="21"/>
                            <w:szCs w:val="21"/>
                          </w:rPr>
                          <w:t>核心处理过程几乎都要采用化学反应的手段，包括吸收、吸附、催化反应等</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云计算</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both"/>
                          <w:rPr>
                            <w:rFonts w:ascii="宋体" w:hAnsi="宋体" w:cs="宋体" w:eastAsia="宋体" w:hint="default"/>
                            <w:sz w:val="21"/>
                            <w:szCs w:val="21"/>
                          </w:rPr>
                        </w:pPr>
                        <w:r>
                          <w:rPr>
                            <w:rFonts w:ascii="宋体" w:hAnsi="宋体" w:cs="宋体" w:eastAsia="宋体" w:hint="default"/>
                            <w:sz w:val="21"/>
                            <w:szCs w:val="21"/>
                          </w:rPr>
                          <w:t>英文称</w:t>
                        </w:r>
                        <w:r>
                          <w:rPr>
                            <w:rFonts w:ascii="宋体" w:hAnsi="宋体" w:cs="宋体" w:eastAsia="宋体" w:hint="default"/>
                            <w:sz w:val="21"/>
                            <w:szCs w:val="21"/>
                          </w:rPr>
                          <w:t>"cloud</w:t>
                        </w:r>
                        <w:r>
                          <w:rPr>
                            <w:rFonts w:ascii="宋体" w:hAnsi="宋体" w:cs="宋体" w:eastAsia="宋体" w:hint="default"/>
                            <w:spacing w:val="-72"/>
                            <w:sz w:val="21"/>
                            <w:szCs w:val="21"/>
                          </w:rPr>
                          <w:t> </w:t>
                        </w:r>
                        <w:r>
                          <w:rPr>
                            <w:rFonts w:ascii="宋体" w:hAnsi="宋体" w:cs="宋体" w:eastAsia="宋体" w:hint="default"/>
                            <w:sz w:val="21"/>
                            <w:szCs w:val="21"/>
                          </w:rPr>
                          <w:t>computing"</w:t>
                        </w:r>
                        <w:r>
                          <w:rPr>
                            <w:rFonts w:ascii="宋体" w:hAnsi="宋体" w:cs="宋体" w:eastAsia="宋体" w:hint="default"/>
                            <w:sz w:val="21"/>
                            <w:szCs w:val="21"/>
                          </w:rPr>
                          <w:t>，是分布式计算技术的一种，透过网络将庞大的计 算处理程序自动分拆成无数个较小的子程序，再交由多部服务器所组成的庞 大系统经搜寻、计算分析之后将处理结果回传给用户</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灾备中心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both"/>
                          <w:rPr>
                            <w:rFonts w:ascii="宋体" w:hAnsi="宋体" w:cs="宋体" w:eastAsia="宋体" w:hint="default"/>
                            <w:sz w:val="21"/>
                            <w:szCs w:val="21"/>
                          </w:rPr>
                        </w:pPr>
                        <w:r>
                          <w:rPr>
                            <w:rFonts w:ascii="宋体" w:hAnsi="宋体" w:cs="宋体" w:eastAsia="宋体" w:hint="default"/>
                            <w:sz w:val="21"/>
                            <w:szCs w:val="21"/>
                          </w:rPr>
                          <w:t>又称灾难备份中心，用于灾难发生时接替生产系统运行，进行数据处理和支 持关键业务功能运作的场所，包括备用数据处理中心、备用的工作环境、备 用生活设施和技术支持及运行管理人员</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OA</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both"/>
                          <w:rPr>
                            <w:rFonts w:ascii="宋体" w:hAnsi="宋体" w:cs="宋体" w:eastAsia="宋体" w:hint="default"/>
                            <w:sz w:val="21"/>
                            <w:szCs w:val="21"/>
                          </w:rPr>
                        </w:pPr>
                        <w:r>
                          <w:rPr>
                            <w:rFonts w:ascii="宋体" w:hAnsi="宋体" w:cs="宋体" w:eastAsia="宋体" w:hint="default"/>
                            <w:spacing w:val="-6"/>
                            <w:sz w:val="21"/>
                            <w:szCs w:val="21"/>
                          </w:rPr>
                          <w:t>办公自动化（</w:t>
                        </w:r>
                        <w:r>
                          <w:rPr>
                            <w:rFonts w:ascii="宋体" w:hAnsi="宋体" w:cs="宋体" w:eastAsia="宋体" w:hint="default"/>
                            <w:spacing w:val="-6"/>
                            <w:sz w:val="21"/>
                            <w:szCs w:val="21"/>
                          </w:rPr>
                          <w:t>Office</w:t>
                        </w:r>
                        <w:r>
                          <w:rPr>
                            <w:rFonts w:ascii="宋体" w:hAnsi="宋体" w:cs="宋体" w:eastAsia="宋体" w:hint="default"/>
                            <w:spacing w:val="-47"/>
                            <w:sz w:val="21"/>
                            <w:szCs w:val="21"/>
                          </w:rPr>
                          <w:t> </w:t>
                        </w:r>
                        <w:r>
                          <w:rPr>
                            <w:rFonts w:ascii="宋体" w:hAnsi="宋体" w:cs="宋体" w:eastAsia="宋体" w:hint="default"/>
                            <w:spacing w:val="-6"/>
                            <w:sz w:val="21"/>
                            <w:szCs w:val="21"/>
                          </w:rPr>
                          <w:t>Automation</w:t>
                        </w:r>
                        <w:r>
                          <w:rPr>
                            <w:rFonts w:ascii="宋体" w:hAnsi="宋体" w:cs="宋体" w:eastAsia="宋体" w:hint="default"/>
                            <w:spacing w:val="-6"/>
                            <w:sz w:val="21"/>
                            <w:szCs w:val="21"/>
                          </w:rPr>
                          <w:t>）协同信息系统，即采用</w:t>
                        </w:r>
                        <w:r>
                          <w:rPr>
                            <w:rFonts w:ascii="宋体" w:hAnsi="宋体" w:cs="宋体" w:eastAsia="宋体" w:hint="default"/>
                            <w:spacing w:val="-46"/>
                            <w:sz w:val="21"/>
                            <w:szCs w:val="21"/>
                          </w:rPr>
                          <w:t> </w:t>
                        </w:r>
                        <w:r>
                          <w:rPr>
                            <w:rFonts w:ascii="宋体" w:hAnsi="宋体" w:cs="宋体" w:eastAsia="宋体" w:hint="default"/>
                            <w:sz w:val="21"/>
                            <w:szCs w:val="21"/>
                          </w:rPr>
                          <w:t>Internet/Intranet</w:t>
                        </w:r>
                        <w:r>
                          <w:rPr>
                            <w:rFonts w:ascii="宋体" w:hAnsi="宋体" w:cs="宋体" w:eastAsia="宋体" w:hint="default"/>
                            <w:spacing w:val="-103"/>
                            <w:sz w:val="21"/>
                            <w:szCs w:val="21"/>
                          </w:rPr>
                          <w:t> </w:t>
                        </w:r>
                        <w:r>
                          <w:rPr>
                            <w:rFonts w:ascii="宋体" w:hAnsi="宋体" w:cs="宋体" w:eastAsia="宋体" w:hint="default"/>
                            <w:sz w:val="21"/>
                            <w:szCs w:val="21"/>
                          </w:rPr>
                          <w:t>技术，基于工作流的概念，使企业内部人员方便快捷地共享信息，高效地协 同工作</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ERP</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企业资源计划（</w:t>
                        </w:r>
                        <w:r>
                          <w:rPr>
                            <w:rFonts w:ascii="宋体" w:hAnsi="宋体" w:cs="宋体" w:eastAsia="宋体" w:hint="default"/>
                            <w:sz w:val="21"/>
                            <w:szCs w:val="21"/>
                          </w:rPr>
                          <w:t>Enterprise Resource</w:t>
                        </w:r>
                        <w:r>
                          <w:rPr>
                            <w:rFonts w:ascii="宋体" w:hAnsi="宋体" w:cs="宋体" w:eastAsia="宋体" w:hint="default"/>
                            <w:spacing w:val="-2"/>
                            <w:sz w:val="21"/>
                            <w:szCs w:val="21"/>
                          </w:rPr>
                          <w:t> </w:t>
                        </w:r>
                        <w:r>
                          <w:rPr>
                            <w:rFonts w:ascii="宋体" w:hAnsi="宋体" w:cs="宋体" w:eastAsia="宋体" w:hint="default"/>
                            <w:sz w:val="21"/>
                            <w:szCs w:val="21"/>
                          </w:rPr>
                          <w:t>Planning</w:t>
                        </w:r>
                        <w:r>
                          <w:rPr>
                            <w:rFonts w:ascii="宋体" w:hAnsi="宋体" w:cs="宋体" w:eastAsia="宋体" w:hint="default"/>
                            <w:sz w:val="21"/>
                            <w:szCs w:val="21"/>
                          </w:rPr>
                          <w:t>）信息系统</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PDM</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产品数据管理（</w:t>
                        </w:r>
                        <w:r>
                          <w:rPr>
                            <w:rFonts w:ascii="宋体" w:hAnsi="宋体" w:cs="宋体" w:eastAsia="宋体" w:hint="default"/>
                            <w:sz w:val="21"/>
                            <w:szCs w:val="21"/>
                          </w:rPr>
                          <w:t>Product Data</w:t>
                        </w:r>
                        <w:r>
                          <w:rPr>
                            <w:rFonts w:ascii="宋体" w:hAnsi="宋体" w:cs="宋体" w:eastAsia="宋体" w:hint="default"/>
                            <w:spacing w:val="-4"/>
                            <w:sz w:val="21"/>
                            <w:szCs w:val="21"/>
                          </w:rPr>
                          <w:t> </w:t>
                        </w:r>
                        <w:r>
                          <w:rPr>
                            <w:rFonts w:ascii="宋体" w:hAnsi="宋体" w:cs="宋体" w:eastAsia="宋体" w:hint="default"/>
                            <w:sz w:val="21"/>
                            <w:szCs w:val="21"/>
                          </w:rPr>
                          <w:t>Management</w:t>
                        </w:r>
                        <w:r>
                          <w:rPr>
                            <w:rFonts w:ascii="宋体" w:hAnsi="宋体" w:cs="宋体" w:eastAsia="宋体" w:hint="default"/>
                            <w:sz w:val="21"/>
                            <w:szCs w:val="21"/>
                          </w:rPr>
                          <w:t>）信息系统</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CRM</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客户关系管理（</w:t>
                        </w:r>
                        <w:r>
                          <w:rPr>
                            <w:rFonts w:ascii="宋体" w:hAnsi="宋体" w:cs="宋体" w:eastAsia="宋体" w:hint="default"/>
                            <w:sz w:val="21"/>
                            <w:szCs w:val="21"/>
                          </w:rPr>
                          <w:t>Customer Relationship</w:t>
                        </w:r>
                        <w:r>
                          <w:rPr>
                            <w:rFonts w:ascii="宋体" w:hAnsi="宋体" w:cs="宋体" w:eastAsia="宋体" w:hint="default"/>
                            <w:spacing w:val="-4"/>
                            <w:sz w:val="21"/>
                            <w:szCs w:val="21"/>
                          </w:rPr>
                          <w:t> </w:t>
                        </w:r>
                        <w:r>
                          <w:rPr>
                            <w:rFonts w:ascii="宋体" w:hAnsi="宋体" w:cs="宋体" w:eastAsia="宋体" w:hint="default"/>
                            <w:sz w:val="21"/>
                            <w:szCs w:val="21"/>
                          </w:rPr>
                          <w:t>Management</w:t>
                        </w:r>
                        <w:r>
                          <w:rPr>
                            <w:rFonts w:ascii="宋体" w:hAnsi="宋体" w:cs="宋体" w:eastAsia="宋体" w:hint="default"/>
                            <w:sz w:val="21"/>
                            <w:szCs w:val="21"/>
                          </w:rPr>
                          <w:t>）信息系统</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MES</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制造执行管理系统（</w:t>
                        </w:r>
                        <w:r>
                          <w:rPr>
                            <w:rFonts w:ascii="宋体" w:hAnsi="宋体" w:cs="宋体" w:eastAsia="宋体" w:hint="default"/>
                            <w:sz w:val="21"/>
                            <w:szCs w:val="21"/>
                          </w:rPr>
                          <w:t>Manufacturing Execution</w:t>
                        </w:r>
                        <w:r>
                          <w:rPr>
                            <w:rFonts w:ascii="宋体" w:hAnsi="宋体" w:cs="宋体" w:eastAsia="宋体" w:hint="default"/>
                            <w:spacing w:val="-4"/>
                            <w:sz w:val="21"/>
                            <w:szCs w:val="21"/>
                          </w:rPr>
                          <w:t> </w:t>
                        </w:r>
                        <w:r>
                          <w:rPr>
                            <w:rFonts w:ascii="宋体" w:hAnsi="宋体" w:cs="宋体" w:eastAsia="宋体" w:hint="default"/>
                            <w:sz w:val="21"/>
                            <w:szCs w:val="21"/>
                          </w:rPr>
                          <w:t>System</w:t>
                        </w:r>
                        <w:r>
                          <w:rPr>
                            <w:rFonts w:ascii="宋体" w:hAnsi="宋体" w:cs="宋体" w:eastAsia="宋体" w:hint="default"/>
                            <w:sz w:val="21"/>
                            <w:szCs w:val="21"/>
                          </w:rPr>
                          <w:t>）信息系统</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焓差实验室</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both"/>
                          <w:rPr>
                            <w:rFonts w:ascii="宋体" w:hAnsi="宋体" w:cs="宋体" w:eastAsia="宋体" w:hint="default"/>
                            <w:sz w:val="21"/>
                            <w:szCs w:val="21"/>
                          </w:rPr>
                        </w:pPr>
                        <w:r>
                          <w:rPr>
                            <w:rFonts w:ascii="宋体" w:hAnsi="宋体" w:cs="宋体" w:eastAsia="宋体" w:hint="default"/>
                            <w:sz w:val="21"/>
                            <w:szCs w:val="21"/>
                          </w:rPr>
                          <w:t>采用空气焓差法测量恒温恒湿精密空调的制冷量、制热量、风量、电参数、 能效比等各项性能参数的实验室，该实验室还可以用于其他标准工况相关试 验及扩展试验</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能效比</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2"/>
                          <w:jc w:val="left"/>
                          <w:rPr>
                            <w:rFonts w:ascii="宋体" w:hAnsi="宋体" w:cs="宋体" w:eastAsia="宋体" w:hint="default"/>
                            <w:sz w:val="21"/>
                            <w:szCs w:val="21"/>
                          </w:rPr>
                        </w:pPr>
                        <w:r>
                          <w:rPr>
                            <w:rFonts w:ascii="宋体" w:hAnsi="宋体" w:cs="宋体" w:eastAsia="宋体" w:hint="default"/>
                            <w:sz w:val="21"/>
                            <w:szCs w:val="21"/>
                          </w:rPr>
                          <w:t>在额定工况和规定条件下，空调进行制冷运行时实际制冷量与实际输入功率 之比</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35"/>
        <w:ind w:left="0" w:right="115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35"/>
        <w:ind w:left="0" w:right="1123" w:firstLine="0"/>
        <w:jc w:val="right"/>
        <w:rPr>
          <w:rFonts w:ascii="宋体" w:hAnsi="宋体" w:cs="宋体" w:eastAsia="宋体" w:hint="default"/>
          <w:sz w:val="21"/>
          <w:szCs w:val="21"/>
        </w:rPr>
      </w:pPr>
      <w:r>
        <w:rPr>
          <w:rFonts w:ascii="宋体" w:hAnsi="宋体" w:cs="宋体" w:eastAsia="宋体" w:hint="default"/>
          <w:sz w:val="21"/>
          <w:szCs w:val="21"/>
        </w:rPr>
        <w:t>。</w:t>
      </w:r>
    </w:p>
    <w:p>
      <w:pPr>
        <w:spacing w:before="127"/>
        <w:ind w:left="0" w:right="112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35"/>
        <w:ind w:left="0" w:right="1124"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985"/>
        <w:gridCol w:w="568"/>
        <w:gridCol w:w="7017"/>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sz w:val="21"/>
              </w:rPr>
              <w:t>ISO 9001</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3"/>
                <w:sz w:val="21"/>
                <w:szCs w:val="21"/>
              </w:rPr>
              <w:t>国际标准化组织（</w:t>
            </w:r>
            <w:r>
              <w:rPr>
                <w:rFonts w:ascii="宋体" w:hAnsi="宋体" w:cs="宋体" w:eastAsia="宋体" w:hint="default"/>
                <w:spacing w:val="-3"/>
                <w:sz w:val="21"/>
                <w:szCs w:val="21"/>
              </w:rPr>
              <w:t>ISO</w:t>
            </w:r>
            <w:r>
              <w:rPr>
                <w:rFonts w:ascii="宋体" w:hAnsi="宋体" w:cs="宋体" w:eastAsia="宋体" w:hint="default"/>
                <w:spacing w:val="-3"/>
                <w:sz w:val="21"/>
                <w:szCs w:val="21"/>
              </w:rPr>
              <w:t>）颁布的在全世界范围内通用的关于质量管理和质量保</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证方面的系列标准</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sz w:val="21"/>
              </w:rPr>
              <w:t>ISO 14001</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3"/>
                <w:sz w:val="21"/>
                <w:szCs w:val="21"/>
              </w:rPr>
              <w:t>国际标准化组织（</w:t>
            </w:r>
            <w:r>
              <w:rPr>
                <w:rFonts w:ascii="宋体" w:hAnsi="宋体" w:cs="宋体" w:eastAsia="宋体" w:hint="default"/>
                <w:spacing w:val="-3"/>
                <w:sz w:val="21"/>
                <w:szCs w:val="21"/>
              </w:rPr>
              <w:t>ISO</w:t>
            </w:r>
            <w:r>
              <w:rPr>
                <w:rFonts w:ascii="宋体" w:hAnsi="宋体" w:cs="宋体" w:eastAsia="宋体" w:hint="default"/>
                <w:spacing w:val="-3"/>
                <w:sz w:val="21"/>
                <w:szCs w:val="21"/>
              </w:rPr>
              <w:t>）颁布的在全世界范围内通用的关于环境管理方面的系</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列标准</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sz w:val="21"/>
              </w:rPr>
              <w:t>OHSAS 18001</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英国标准协会等</w:t>
            </w:r>
            <w:r>
              <w:rPr>
                <w:rFonts w:ascii="宋体" w:hAnsi="宋体" w:cs="宋体" w:eastAsia="宋体" w:hint="default"/>
                <w:spacing w:val="-43"/>
                <w:sz w:val="21"/>
                <w:szCs w:val="21"/>
              </w:rPr>
              <w:t> </w:t>
            </w:r>
            <w:r>
              <w:rPr>
                <w:rFonts w:ascii="宋体" w:hAnsi="宋体" w:cs="宋体" w:eastAsia="宋体" w:hint="default"/>
                <w:sz w:val="21"/>
                <w:szCs w:val="21"/>
              </w:rPr>
              <w:t>13</w:t>
            </w:r>
            <w:r>
              <w:rPr>
                <w:rFonts w:ascii="宋体" w:hAnsi="宋体" w:cs="宋体" w:eastAsia="宋体" w:hint="default"/>
                <w:spacing w:val="-43"/>
                <w:sz w:val="21"/>
                <w:szCs w:val="21"/>
              </w:rPr>
              <w:t> </w:t>
            </w:r>
            <w:r>
              <w:rPr>
                <w:rFonts w:ascii="宋体" w:hAnsi="宋体" w:cs="宋体" w:eastAsia="宋体" w:hint="default"/>
                <w:spacing w:val="-4"/>
                <w:sz w:val="21"/>
                <w:szCs w:val="21"/>
              </w:rPr>
              <w:t>个全球主要标准制定机构、认证机构与专业组织颁布的适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用于世界各地，不同行业和规模的关于职业健康安全管理方面的系列标准</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sz w:val="21"/>
              </w:rPr>
              <w:t>OHSAS 18001</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英国标准协会等</w:t>
            </w:r>
            <w:r>
              <w:rPr>
                <w:rFonts w:ascii="宋体" w:hAnsi="宋体" w:cs="宋体" w:eastAsia="宋体" w:hint="default"/>
                <w:spacing w:val="-43"/>
                <w:sz w:val="21"/>
                <w:szCs w:val="21"/>
              </w:rPr>
              <w:t> </w:t>
            </w:r>
            <w:r>
              <w:rPr>
                <w:rFonts w:ascii="宋体" w:hAnsi="宋体" w:cs="宋体" w:eastAsia="宋体" w:hint="default"/>
                <w:sz w:val="21"/>
                <w:szCs w:val="21"/>
              </w:rPr>
              <w:t>13</w:t>
            </w:r>
            <w:r>
              <w:rPr>
                <w:rFonts w:ascii="宋体" w:hAnsi="宋体" w:cs="宋体" w:eastAsia="宋体" w:hint="default"/>
                <w:spacing w:val="-43"/>
                <w:sz w:val="21"/>
                <w:szCs w:val="21"/>
              </w:rPr>
              <w:t> </w:t>
            </w:r>
            <w:r>
              <w:rPr>
                <w:rFonts w:ascii="宋体" w:hAnsi="宋体" w:cs="宋体" w:eastAsia="宋体" w:hint="default"/>
                <w:spacing w:val="-4"/>
                <w:sz w:val="21"/>
                <w:szCs w:val="21"/>
              </w:rPr>
              <w:t>个全球主要标准制定机构、认证机构与专业组织颁布的适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用于世界各地，不同行业和规模的关于职业健康安全管理方面的系列标准</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股、人民币普通股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宋体" w:hAnsi="宋体" w:cs="宋体" w:eastAsia="宋体" w:hint="default"/>
                <w:sz w:val="21"/>
                <w:szCs w:val="21"/>
              </w:rPr>
            </w:pPr>
            <w:r>
              <w:rPr>
                <w:rFonts w:ascii="宋体" w:hAnsi="宋体" w:cs="宋体" w:eastAsia="宋体" w:hint="default"/>
                <w:sz w:val="21"/>
                <w:szCs w:val="21"/>
              </w:rPr>
              <w:t>经中国证监会批准向境内投资者发行，在境内证券交易所上市，以人民币标</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明股票面值，以人民币认购和交易的普通股</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近三年</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1033"/>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2"/>
          <w:szCs w:val="22"/>
        </w:rPr>
      </w:pPr>
    </w:p>
    <w:p>
      <w:pPr>
        <w:pStyle w:val="Heading3"/>
        <w:spacing w:line="240" w:lineRule="auto" w:before="26"/>
        <w:ind w:left="1133" w:right="1033"/>
        <w:jc w:val="left"/>
        <w:rPr>
          <w:b w:val="0"/>
          <w:bCs w:val="0"/>
        </w:rPr>
      </w:pPr>
      <w:bookmarkStart w:name="一、公司信息" w:id="5"/>
      <w:bookmarkEnd w:id="5"/>
      <w:r>
        <w:rPr>
          <w:b w:val="0"/>
          <w:bCs w:val="0"/>
        </w:rPr>
      </w: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2835"/>
        <w:gridCol w:w="2706"/>
        <w:gridCol w:w="1853"/>
        <w:gridCol w:w="2176"/>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依米康</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300249</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依米康</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sz w:val="21"/>
              </w:rPr>
              <w:t>Sichuan Yimikang Environmental Tech. Co.,</w:t>
            </w:r>
            <w:r>
              <w:rPr>
                <w:rFonts w:ascii="宋体"/>
                <w:spacing w:val="-4"/>
                <w:sz w:val="21"/>
              </w:rPr>
              <w:t> </w:t>
            </w:r>
            <w:r>
              <w:rPr>
                <w:rFonts w:ascii="宋体"/>
                <w:sz w:val="21"/>
              </w:rPr>
              <w:t>Ltd.</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公司的外文名称缩写（如有）</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sz w:val="21"/>
              </w:rPr>
              <w:t>YMK</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张菀</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成都高新区科园南二路</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sz w:val="21"/>
              </w:rPr>
              <w:t>610041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成都高新区科园南二路</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sz w:val="21"/>
              </w:rPr>
              <w:t>610041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hyperlink r:id="rId14">
              <w:r>
                <w:rPr>
                  <w:rFonts w:ascii="宋体"/>
                  <w:sz w:val="21"/>
                </w:rPr>
                <w:t>http://www.ymk.com.cn</w:t>
              </w:r>
            </w:hyperlink>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hyperlink r:id="rId15">
              <w:r>
                <w:rPr>
                  <w:rFonts w:ascii="宋体"/>
                  <w:sz w:val="21"/>
                </w:rPr>
                <w:t>yimikang@ymk.com.cn</w:t>
              </w:r>
            </w:hyperlink>
          </w:p>
        </w:tc>
      </w:tr>
    </w:tbl>
    <w:p>
      <w:pPr>
        <w:spacing w:line="240" w:lineRule="auto" w:before="0"/>
        <w:rPr>
          <w:rFonts w:ascii="宋体" w:hAnsi="宋体" w:cs="宋体" w:eastAsia="宋体" w:hint="default"/>
          <w:b/>
          <w:bCs/>
          <w:sz w:val="24"/>
          <w:szCs w:val="24"/>
        </w:rPr>
      </w:pPr>
    </w:p>
    <w:p>
      <w:pPr>
        <w:spacing w:before="26"/>
        <w:ind w:left="1134" w:right="1033" w:firstLine="0"/>
        <w:jc w:val="left"/>
        <w:rPr>
          <w:rFonts w:ascii="宋体" w:hAnsi="宋体" w:cs="宋体" w:eastAsia="宋体" w:hint="default"/>
          <w:sz w:val="24"/>
          <w:szCs w:val="24"/>
        </w:rPr>
      </w:pPr>
      <w:bookmarkStart w:name="二、联系人和联系方式" w:id="6"/>
      <w:bookmarkEnd w:id="6"/>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40" w:type="dxa"/>
        <w:tblLayout w:type="fixed"/>
        <w:tblCellMar>
          <w:top w:w="0" w:type="dxa"/>
          <w:left w:w="0" w:type="dxa"/>
          <w:bottom w:w="0" w:type="dxa"/>
          <w:right w:w="0" w:type="dxa"/>
        </w:tblCellMar>
        <w:tblLook w:val="01E0"/>
      </w:tblPr>
      <w:tblGrid>
        <w:gridCol w:w="2387"/>
        <w:gridCol w:w="3698"/>
        <w:gridCol w:w="347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0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张敏</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四川省成都市高新区科园南二路</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四川省成都市高新区科园南二路</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028-85185206</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028-85977635</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028-82001888-1</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028-82001888-1</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hyperlink r:id="rId16">
              <w:r>
                <w:rPr>
                  <w:rFonts w:ascii="宋体"/>
                  <w:sz w:val="21"/>
                </w:rPr>
                <w:t>dshb@sunrisegroup.com.cn</w:t>
              </w:r>
            </w:hyperlink>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hyperlink r:id="rId17">
              <w:r>
                <w:rPr>
                  <w:rFonts w:ascii="宋体"/>
                  <w:sz w:val="21"/>
                </w:rPr>
                <w:t>zhangmin@ymk.com.cn</w:t>
              </w:r>
            </w:hyperlink>
          </w:p>
        </w:tc>
      </w:tr>
    </w:tbl>
    <w:p>
      <w:pPr>
        <w:spacing w:line="240" w:lineRule="auto" w:before="0"/>
        <w:rPr>
          <w:rFonts w:ascii="宋体" w:hAnsi="宋体" w:cs="宋体" w:eastAsia="宋体" w:hint="default"/>
          <w:b/>
          <w:bCs/>
          <w:sz w:val="24"/>
          <w:szCs w:val="24"/>
        </w:rPr>
      </w:pPr>
    </w:p>
    <w:p>
      <w:pPr>
        <w:spacing w:before="26"/>
        <w:ind w:left="1134" w:right="1033" w:firstLine="0"/>
        <w:jc w:val="left"/>
        <w:rPr>
          <w:rFonts w:ascii="宋体" w:hAnsi="宋体" w:cs="宋体" w:eastAsia="宋体" w:hint="default"/>
          <w:sz w:val="24"/>
          <w:szCs w:val="24"/>
        </w:rPr>
      </w:pPr>
      <w:bookmarkStart w:name="三、信息披露及备置地点" w:id="7"/>
      <w:bookmarkEnd w:id="7"/>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4254"/>
        <w:gridCol w:w="5315"/>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55"/>
                <w:sz w:val="21"/>
                <w:szCs w:val="21"/>
              </w:rPr>
              <w:t> </w:t>
            </w:r>
            <w:hyperlink r:id="rId9">
              <w:r>
                <w:rPr>
                  <w:rFonts w:ascii="宋体" w:hAnsi="宋体" w:cs="宋体" w:eastAsia="宋体" w:hint="default"/>
                  <w:sz w:val="21"/>
                  <w:szCs w:val="21"/>
                </w:rPr>
                <w:t>http://www.cninfo.com.cn</w:t>
              </w:r>
            </w:hyperlink>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公司董事会秘书办公室</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7"/>
        <w:rPr>
          <w:rFonts w:ascii="宋体" w:hAnsi="宋体" w:cs="宋体" w:eastAsia="宋体" w:hint="default"/>
          <w:b/>
          <w:bCs/>
          <w:sz w:val="29"/>
          <w:szCs w:val="29"/>
        </w:rPr>
      </w:pPr>
    </w:p>
    <w:p>
      <w:pPr>
        <w:spacing w:line="588" w:lineRule="auto" w:before="26"/>
        <w:ind w:left="1133" w:right="8113" w:firstLine="0"/>
        <w:jc w:val="left"/>
        <w:rPr>
          <w:rFonts w:ascii="宋体" w:hAnsi="宋体" w:cs="宋体" w:eastAsia="宋体" w:hint="default"/>
          <w:sz w:val="24"/>
          <w:szCs w:val="24"/>
        </w:rPr>
      </w:pPr>
      <w:r>
        <w:rPr/>
        <w:pict>
          <v:shape style="position:absolute;margin-left:56.459999pt;margin-top:61.09565pt;width:479.2pt;height:60.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四川省成都市高新区交子大道</w:t>
                        </w:r>
                        <w:r>
                          <w:rPr>
                            <w:rFonts w:ascii="宋体" w:hAnsi="宋体" w:cs="宋体" w:eastAsia="宋体" w:hint="default"/>
                            <w:spacing w:val="-53"/>
                            <w:sz w:val="21"/>
                            <w:szCs w:val="21"/>
                          </w:rPr>
                          <w:t> </w:t>
                        </w:r>
                        <w:r>
                          <w:rPr>
                            <w:rFonts w:ascii="宋体" w:hAnsi="宋体" w:cs="宋体" w:eastAsia="宋体" w:hint="default"/>
                            <w:sz w:val="21"/>
                            <w:szCs w:val="21"/>
                          </w:rPr>
                          <w:t>88</w:t>
                        </w:r>
                        <w:r>
                          <w:rPr>
                            <w:rFonts w:ascii="宋体" w:hAnsi="宋体" w:cs="宋体" w:eastAsia="宋体" w:hint="default"/>
                            <w:spacing w:val="-53"/>
                            <w:sz w:val="21"/>
                            <w:szCs w:val="21"/>
                          </w:rPr>
                          <w:t> </w:t>
                        </w:r>
                        <w:r>
                          <w:rPr>
                            <w:rFonts w:ascii="宋体" w:hAnsi="宋体" w:cs="宋体" w:eastAsia="宋体" w:hint="default"/>
                            <w:sz w:val="21"/>
                            <w:szCs w:val="21"/>
                          </w:rPr>
                          <w:t>号中航国际广场</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tabs>
                            <w:tab w:pos="865" w:val="left" w:leader="none"/>
                          </w:tabs>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李夕甫</w:t>
                          <w:tab/>
                          <w:t>王莉</w:t>
                        </w:r>
                      </w:p>
                    </w:tc>
                  </w:tr>
                </w:tbl>
                <w:p>
                  <w:pPr/>
                </w:p>
              </w:txbxContent>
            </v:textbox>
            <w10:wrap type="none"/>
          </v:shape>
        </w:pict>
      </w:r>
      <w:bookmarkStart w:name="四、其他有关资料" w:id="8"/>
      <w:bookmarkEnd w:id="8"/>
      <w:r>
        <w:rPr/>
      </w:r>
      <w:r>
        <w:rPr>
          <w:rFonts w:ascii="宋体" w:hAnsi="宋体" w:cs="宋体" w:eastAsia="宋体" w:hint="default"/>
          <w:b/>
          <w:bCs/>
          <w:sz w:val="24"/>
          <w:szCs w:val="24"/>
        </w:rPr>
        <w:t>四、其他有关资料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26"/>
        <w:ind w:left="1134" w:right="1033"/>
        <w:jc w:val="left"/>
      </w:pPr>
      <w:r>
        <w:rPr/>
        <w:t>公司聘请的报告期内履行持续督导职责的保荐机构</w:t>
      </w:r>
    </w:p>
    <w:p>
      <w:pPr>
        <w:pStyle w:val="BodyText"/>
        <w:spacing w:line="357" w:lineRule="auto" w:before="154"/>
        <w:ind w:left="1134" w:right="5472"/>
        <w:jc w:val="left"/>
      </w:pPr>
      <w:r>
        <w:rPr/>
        <w:t>□ 适用 √不适用 公司聘请的报告期内履行持续督导职责的财务顾问</w:t>
      </w:r>
    </w:p>
    <w:p>
      <w:pPr>
        <w:pStyle w:val="BodyText"/>
        <w:tabs>
          <w:tab w:pos="2214" w:val="left" w:leader="none"/>
        </w:tabs>
        <w:spacing w:line="240" w:lineRule="auto" w:before="36"/>
        <w:ind w:right="1033"/>
        <w:jc w:val="left"/>
      </w:pPr>
      <w:r>
        <w:rPr/>
        <w:t>√ 适用</w:t>
        <w:tab/>
        <w:t>□不适用</w:t>
      </w:r>
    </w:p>
    <w:p>
      <w:pPr>
        <w:spacing w:line="240" w:lineRule="auto" w:before="1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10"/>
        <w:gridCol w:w="2375"/>
        <w:gridCol w:w="2392"/>
        <w:gridCol w:w="2392"/>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70" w:right="0"/>
              <w:jc w:val="left"/>
              <w:rPr>
                <w:rFonts w:ascii="宋体" w:hAnsi="宋体" w:cs="宋体" w:eastAsia="宋体" w:hint="default"/>
                <w:sz w:val="21"/>
                <w:szCs w:val="21"/>
              </w:rPr>
            </w:pPr>
            <w:r>
              <w:rPr>
                <w:rFonts w:ascii="宋体" w:hAnsi="宋体" w:cs="宋体" w:eastAsia="宋体" w:hint="default"/>
                <w:sz w:val="21"/>
                <w:szCs w:val="21"/>
              </w:rPr>
              <w:t>财务顾问名称</w:t>
            </w:r>
          </w:p>
        </w:tc>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43" w:right="0"/>
              <w:jc w:val="left"/>
              <w:rPr>
                <w:rFonts w:ascii="宋体" w:hAnsi="宋体" w:cs="宋体" w:eastAsia="宋体" w:hint="default"/>
                <w:sz w:val="21"/>
                <w:szCs w:val="21"/>
              </w:rPr>
            </w:pPr>
            <w:r>
              <w:rPr>
                <w:rFonts w:ascii="宋体" w:hAnsi="宋体" w:cs="宋体" w:eastAsia="宋体" w:hint="default"/>
                <w:sz w:val="21"/>
                <w:szCs w:val="21"/>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5" w:right="0"/>
              <w:jc w:val="left"/>
              <w:rPr>
                <w:rFonts w:ascii="宋体" w:hAnsi="宋体" w:cs="宋体" w:eastAsia="宋体" w:hint="default"/>
                <w:sz w:val="21"/>
                <w:szCs w:val="21"/>
              </w:rPr>
            </w:pPr>
            <w:r>
              <w:rPr>
                <w:rFonts w:ascii="宋体" w:hAnsi="宋体" w:cs="宋体" w:eastAsia="宋体" w:hint="default"/>
                <w:sz w:val="21"/>
                <w:szCs w:val="21"/>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海际证券有限责任公司</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29"/>
              <w:jc w:val="left"/>
              <w:rPr>
                <w:rFonts w:ascii="宋体" w:hAnsi="宋体" w:cs="宋体" w:eastAsia="宋体" w:hint="default"/>
                <w:sz w:val="21"/>
                <w:szCs w:val="21"/>
              </w:rPr>
            </w:pPr>
            <w:r>
              <w:rPr>
                <w:rFonts w:ascii="宋体" w:hAnsi="宋体" w:cs="宋体" w:eastAsia="宋体" w:hint="default"/>
                <w:sz w:val="21"/>
                <w:szCs w:val="21"/>
              </w:rPr>
              <w:t>上海市浦东新区陆家嘴环 路</w:t>
            </w:r>
            <w:r>
              <w:rPr>
                <w:rFonts w:ascii="宋体" w:hAnsi="宋体" w:cs="宋体" w:eastAsia="宋体" w:hint="default"/>
                <w:spacing w:val="-54"/>
                <w:sz w:val="21"/>
                <w:szCs w:val="21"/>
              </w:rPr>
              <w:t> </w:t>
            </w: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号汇丰大厦</w:t>
            </w:r>
            <w:r>
              <w:rPr>
                <w:rFonts w:ascii="宋体" w:hAnsi="宋体" w:cs="宋体" w:eastAsia="宋体" w:hint="default"/>
                <w:spacing w:val="-53"/>
                <w:sz w:val="21"/>
                <w:szCs w:val="21"/>
              </w:rPr>
              <w:t> </w:t>
            </w: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863" w:val="left" w:leader="none"/>
              </w:tabs>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倪卫华</w:t>
              <w:tab/>
              <w:t>于越冬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4"/>
          <w:szCs w:val="24"/>
        </w:rPr>
      </w:pPr>
    </w:p>
    <w:p>
      <w:pPr>
        <w:pStyle w:val="Heading3"/>
        <w:spacing w:line="240" w:lineRule="auto" w:before="26"/>
        <w:ind w:right="10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34"/>
          <w:szCs w:val="34"/>
        </w:rPr>
      </w:pPr>
    </w:p>
    <w:p>
      <w:pPr>
        <w:pStyle w:val="BodyText"/>
        <w:spacing w:line="240" w:lineRule="auto"/>
        <w:ind w:right="1033"/>
        <w:jc w:val="left"/>
      </w:pPr>
      <w:r>
        <w:rPr/>
        <w:t>公司是否因会计政策变更及会计差错更正等追溯调整或重述以前年度会计数据</w:t>
      </w:r>
    </w:p>
    <w:p>
      <w:pPr>
        <w:pStyle w:val="BodyText"/>
        <w:spacing w:line="240" w:lineRule="auto" w:before="154"/>
        <w:ind w:right="1033"/>
        <w:jc w:val="left"/>
      </w:pPr>
      <w:r>
        <w:rPr/>
        <w:pict>
          <v:group style="position:absolute;margin-left:188pt;margin-top:112.705635pt;width:86.45pt;height:28pt;mso-position-horizontal-relative:page;mso-position-vertical-relative:paragraph;z-index:-1062016" coordorigin="3760,2254" coordsize="1729,560">
            <v:group style="position:absolute;left:3771;top:2266;width:2;height:393" coordorigin="3771,2266" coordsize="2,393">
              <v:shape style="position:absolute;left:3771;top:2266;width:2;height:393" coordorigin="3771,2266" coordsize="0,393" path="m3771,2266l3771,2658e" filled="false" stroked="true" strokeweight="1.140pt" strokecolor="#ffffff">
                <v:path arrowok="t"/>
              </v:shape>
            </v:group>
            <v:group style="position:absolute;left:3760;top:2658;width:1729;height:156" coordorigin="3760,2658" coordsize="1729,156">
              <v:shape style="position:absolute;left:3760;top:2658;width:1729;height:156" coordorigin="3760,2658" coordsize="1729,156" path="m3760,2814l5488,2814,5488,2658,3760,2658,3760,2814xe" filled="true" fillcolor="#ffffff" stroked="false">
                <v:path arrowok="t"/>
                <v:fill type="solid"/>
              </v:shape>
            </v:group>
            <v:group style="position:absolute;left:3783;top:2266;width:1683;height:393" coordorigin="3783,2266" coordsize="1683,393">
              <v:shape style="position:absolute;left:3783;top:2266;width:1683;height:393" coordorigin="3783,2266" coordsize="1683,393" path="m3783,2658l5466,2658,5466,2266,3783,2266,3783,2658xe" filled="true" fillcolor="#ffffff" stroked="false">
                <v:path arrowok="t"/>
                <v:fill type="solid"/>
              </v:shape>
            </v:group>
            <w10:wrap type="none"/>
          </v:group>
        </w:pict>
      </w:r>
      <w:r>
        <w:rPr/>
        <w:t>□ 是 √否</w:t>
      </w:r>
    </w:p>
    <w:p>
      <w:pPr>
        <w:spacing w:line="240" w:lineRule="auto" w:before="9"/>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309"/>
        <w:gridCol w:w="1442"/>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8"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393" w:right="0"/>
              <w:jc w:val="left"/>
              <w:rPr>
                <w:rFonts w:ascii="Times New Roman" w:hAnsi="Times New Roman" w:cs="Times New Roman" w:eastAsia="Times New Roman" w:hint="default"/>
                <w:sz w:val="21"/>
                <w:szCs w:val="21"/>
              </w:rPr>
            </w:pPr>
            <w:r>
              <w:rPr>
                <w:rFonts w:ascii="Times New Roman"/>
                <w:sz w:val="21"/>
              </w:rPr>
              <w:t>877,287,193.04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489,214,248.83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79.33%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386,512,009.99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归属于上市公司股东的净利 润（元）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98" w:right="0"/>
              <w:jc w:val="left"/>
              <w:rPr>
                <w:rFonts w:ascii="Times New Roman" w:hAnsi="Times New Roman" w:cs="Times New Roman" w:eastAsia="Times New Roman" w:hint="default"/>
                <w:sz w:val="21"/>
                <w:szCs w:val="21"/>
              </w:rPr>
            </w:pPr>
            <w:r>
              <w:rPr>
                <w:rFonts w:ascii="Times New Roman"/>
                <w:sz w:val="21"/>
              </w:rPr>
              <w:t>14,655,249.30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11,146,687.46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31.48%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7,433,458.12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归属于上市公司股东的扣除 </w:t>
            </w:r>
            <w:r>
              <w:rPr>
                <w:rFonts w:ascii="宋体" w:hAnsi="宋体" w:cs="宋体" w:eastAsia="宋体" w:hint="default"/>
                <w:spacing w:val="-6"/>
                <w:sz w:val="21"/>
                <w:szCs w:val="21"/>
              </w:rPr>
              <w:t>非经常性损益的净利润（元</w:t>
            </w:r>
          </w:p>
        </w:tc>
        <w:tc>
          <w:tcPr>
            <w:tcW w:w="30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1" w:right="0"/>
              <w:jc w:val="left"/>
              <w:rPr>
                <w:rFonts w:ascii="Times New Roman" w:hAnsi="Times New Roman" w:cs="Times New Roman" w:eastAsia="Times New Roman" w:hint="default"/>
                <w:sz w:val="21"/>
                <w:szCs w:val="21"/>
              </w:rPr>
            </w:pPr>
            <w:r>
              <w:rPr>
                <w:rFonts w:ascii="Times New Roman"/>
                <w:sz w:val="21"/>
              </w:rPr>
              <w:t>12,111,273.01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9,506,838.25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27.40%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5,683,951.84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经营活动产生的现金流量净 额（元）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28" w:right="0"/>
              <w:jc w:val="left"/>
              <w:rPr>
                <w:rFonts w:ascii="Times New Roman" w:hAnsi="Times New Roman" w:cs="Times New Roman" w:eastAsia="Times New Roman" w:hint="default"/>
                <w:sz w:val="21"/>
                <w:szCs w:val="21"/>
              </w:rPr>
            </w:pPr>
            <w:r>
              <w:rPr>
                <w:rFonts w:ascii="Times New Roman"/>
                <w:sz w:val="21"/>
              </w:rPr>
              <w:t>-14,197,544.61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15,930,178.06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-189.12%</w:t>
            </w:r>
            <w:r>
              <w:rPr>
                <w:rFonts w:ascii="Times New Roman"/>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-865,191.34</w:t>
            </w:r>
            <w:r>
              <w:rPr>
                <w:rFonts w:ascii="Times New Roman"/>
                <w:sz w:val="21"/>
              </w:rPr>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1.56%</w:t>
            </w:r>
          </w:p>
        </w:tc>
      </w:tr>
      <w:tr>
        <w:trPr>
          <w:trHeight w:val="161"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58" w:right="23" w:hanging="736"/>
              <w:jc w:val="left"/>
              <w:rPr>
                <w:rFonts w:ascii="宋体" w:hAnsi="宋体" w:cs="宋体" w:eastAsia="宋体" w:hint="default"/>
                <w:sz w:val="21"/>
                <w:szCs w:val="21"/>
              </w:rPr>
            </w:pPr>
            <w:r>
              <w:rPr>
                <w:rFonts w:ascii="宋体" w:hAnsi="宋体" w:cs="宋体" w:eastAsia="宋体" w:hint="default"/>
                <w:sz w:val="21"/>
                <w:szCs w:val="21"/>
              </w:rPr>
              <w:t>本年末比上年末增 减</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598" w:type="dxa"/>
            <w:tcBorders>
              <w:top w:val="nil" w:sz="6" w:space="0" w:color="auto"/>
              <w:left w:val="single" w:sz="4" w:space="0" w:color="000000"/>
              <w:bottom w:val="nil" w:sz="6" w:space="0" w:color="auto"/>
              <w:right w:val="single" w:sz="4" w:space="0" w:color="000000"/>
            </w:tcBorders>
            <w:shd w:val="clear" w:color="auto" w:fill="D2D2D2"/>
          </w:tcPr>
          <w:p>
            <w:pPr/>
          </w:p>
        </w:tc>
        <w:tc>
          <w:tcPr>
            <w:tcW w:w="175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35" w:right="0"/>
              <w:jc w:val="left"/>
              <w:rPr>
                <w:rFonts w:ascii="Times New Roman" w:hAnsi="Times New Roman" w:cs="Times New Roman" w:eastAsia="Times New Roman" w:hint="default"/>
                <w:sz w:val="21"/>
                <w:szCs w:val="21"/>
              </w:rPr>
            </w:pPr>
            <w:r>
              <w:rPr>
                <w:rFonts w:ascii="Times New Roman"/>
                <w:sz w:val="21"/>
              </w:rPr>
              <w:t>1,581,386,401.92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1,435,927,655.23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698,488,306.11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归属于上市公司股东的净资 产（元）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93" w:right="0"/>
              <w:jc w:val="left"/>
              <w:rPr>
                <w:rFonts w:ascii="Times New Roman" w:hAnsi="Times New Roman" w:cs="Times New Roman" w:eastAsia="Times New Roman" w:hint="default"/>
                <w:sz w:val="21"/>
                <w:szCs w:val="21"/>
              </w:rPr>
            </w:pPr>
            <w:r>
              <w:rPr>
                <w:rFonts w:ascii="Times New Roman"/>
                <w:sz w:val="21"/>
              </w:rPr>
              <w:t>693,448,480.53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673,010,481.85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476,756,942.58</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3"/>
        <w:spacing w:line="240" w:lineRule="auto" w:before="26"/>
        <w:ind w:left="1133" w:right="10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7"/>
          <w:szCs w:val="27"/>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55"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43"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45"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9"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121,887,263.94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202,344,386.80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178,348,485.15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374,707,057.15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归属于上市公司股东的净利 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-4,517,017.24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-4,970,062.04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-267,779.30</w:t>
            </w:r>
            <w:r>
              <w:rPr>
                <w:rFonts w:ascii="Times New Roman"/>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24,410,107.88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归属于上市公司股东的扣除 非经常性损益的净利润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-4,576,431.32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-5,849,397.53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-1,103,555.31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23,640,657.17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55"/>
              <w:jc w:val="left"/>
              <w:rPr>
                <w:rFonts w:ascii="宋体" w:hAnsi="宋体" w:cs="宋体" w:eastAsia="宋体" w:hint="default"/>
                <w:sz w:val="21"/>
                <w:szCs w:val="21"/>
              </w:rPr>
            </w:pPr>
            <w:r>
              <w:rPr>
                <w:rFonts w:ascii="宋体" w:hAnsi="宋体" w:cs="宋体" w:eastAsia="宋体" w:hint="default"/>
                <w:sz w:val="21"/>
                <w:szCs w:val="21"/>
              </w:rPr>
              <w:t>经营活动产生的现金流量净 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-51,590,049.18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-31,263,003.45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15,730,755.58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52,924,752.44</w:t>
            </w:r>
          </w:p>
        </w:tc>
      </w:tr>
    </w:tbl>
    <w:p>
      <w:pPr>
        <w:spacing w:line="240" w:lineRule="auto" w:before="0"/>
        <w:rPr>
          <w:rFonts w:ascii="宋体" w:hAnsi="宋体" w:cs="宋体" w:eastAsia="宋体" w:hint="default"/>
          <w:sz w:val="20"/>
          <w:szCs w:val="20"/>
        </w:rPr>
      </w:pPr>
    </w:p>
    <w:p>
      <w:pPr>
        <w:pStyle w:val="BodyText"/>
        <w:spacing w:line="357" w:lineRule="auto" w:before="169"/>
        <w:ind w:left="1134" w:right="1033"/>
        <w:jc w:val="left"/>
      </w:pPr>
      <w:r>
        <w:rPr/>
        <w:t>上述财务指标或其加总数是否与公司已披露季度报告、半年度报告相关财务指标存在重大差 异</w:t>
      </w:r>
    </w:p>
    <w:p>
      <w:pPr>
        <w:spacing w:line="588" w:lineRule="auto" w:before="36"/>
        <w:ind w:left="1134" w:right="6486" w:firstLine="0"/>
        <w:jc w:val="left"/>
        <w:rPr>
          <w:rFonts w:ascii="宋体" w:hAnsi="宋体" w:cs="宋体" w:eastAsia="宋体" w:hint="default"/>
          <w:sz w:val="24"/>
          <w:szCs w:val="24"/>
        </w:rPr>
      </w:pPr>
      <w:r>
        <w:rPr>
          <w:rFonts w:ascii="宋体" w:hAnsi="宋体" w:cs="宋体" w:eastAsia="宋体" w:hint="default"/>
          <w:sz w:val="24"/>
          <w:szCs w:val="24"/>
        </w:rPr>
        <w:t>□ 是 √ 否 </w:t>
      </w:r>
      <w:bookmarkStart w:name="七、境内外会计准则下会计数据差异" w:id="11"/>
      <w:bookmarkEnd w:id="11"/>
      <w:r>
        <w:rPr>
          <w:rFonts w:ascii="宋体" w:hAnsi="宋体" w:cs="宋体" w:eastAsia="宋体" w:hint="default"/>
          <w:sz w:val="24"/>
          <w:szCs w:val="24"/>
        </w:rPr>
      </w:r>
      <w:r>
        <w:rPr>
          <w:rFonts w:ascii="宋体" w:hAnsi="宋体" w:cs="宋体" w:eastAsia="宋体" w:hint="default"/>
          <w:b/>
          <w:bCs/>
          <w:w w:val="95"/>
          <w:sz w:val="24"/>
          <w:szCs w:val="24"/>
        </w:rPr>
        <w:t>七、境内外会计准则下会计数据差异</w:t>
      </w:r>
      <w:r>
        <w:rPr>
          <w:rFonts w:ascii="宋体" w:hAnsi="宋体" w:cs="宋体" w:eastAsia="宋体" w:hint="default"/>
          <w:sz w:val="24"/>
          <w:szCs w:val="24"/>
        </w:rPr>
      </w:r>
    </w:p>
    <w:p>
      <w:pPr>
        <w:spacing w:before="129"/>
        <w:ind w:left="1133" w:right="1033"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tabs>
          <w:tab w:pos="2214" w:val="left" w:leader="none"/>
        </w:tabs>
        <w:spacing w:line="357" w:lineRule="auto" w:before="154"/>
        <w:ind w:left="1133" w:right="1139" w:firstLine="0"/>
        <w:jc w:val="left"/>
        <w:rPr>
          <w:rFonts w:ascii="宋体" w:hAnsi="宋体" w:cs="宋体" w:eastAsia="宋体" w:hint="default"/>
          <w:sz w:val="24"/>
          <w:szCs w:val="24"/>
        </w:rPr>
      </w:pPr>
      <w:r>
        <w:rPr>
          <w:rFonts w:ascii="宋体" w:hAnsi="宋体" w:cs="宋体" w:eastAsia="宋体" w:hint="default"/>
          <w:sz w:val="24"/>
          <w:szCs w:val="24"/>
        </w:rPr>
        <w:t>□ 适用</w:t>
        <w:tab/>
        <w:t>√不适用 公司报告期不存在按照国际会计准则与按照中国会计准则披露的财务报告中净利润和净资产 差异情况。 </w:t>
      </w:r>
      <w:bookmarkStart w:name="2、同时按照境外会计准则与按照中国会计准则披露的财务报告中净利润和净资产差异情况" w:id="13"/>
      <w:bookmarkEnd w:id="13"/>
      <w:r>
        <w:rPr>
          <w:rFonts w:ascii="宋体" w:hAnsi="宋体" w:cs="宋体" w:eastAsia="宋体" w:hint="default"/>
          <w:sz w:val="24"/>
          <w:szCs w:val="24"/>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、同时按照境外会计准则与按照中国会计准则披露的财务报告中净利润和净资产差异情况</w:t>
      </w:r>
      <w:r>
        <w:rPr>
          <w:rFonts w:ascii="宋体" w:hAnsi="宋体" w:cs="宋体" w:eastAsia="宋体" w:hint="default"/>
          <w:sz w:val="24"/>
          <w:szCs w:val="24"/>
        </w:rPr>
      </w:r>
    </w:p>
    <w:p>
      <w:pPr>
        <w:pStyle w:val="BodyText"/>
        <w:tabs>
          <w:tab w:pos="2214" w:val="left" w:leader="none"/>
        </w:tabs>
        <w:spacing w:line="357" w:lineRule="auto" w:before="5"/>
        <w:ind w:left="1134" w:right="1139"/>
        <w:jc w:val="left"/>
      </w:pPr>
      <w:r>
        <w:rPr/>
        <w:t>□ 适用</w:t>
        <w:tab/>
        <w:t>√不适用 公司报告期不存在按照境外会计准则与按照中国会计准则披露的财务报告中净利润和净资产 差异情况。</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0" w:right="0"/>
        </w:sectPr>
      </w:pPr>
    </w:p>
    <w:p>
      <w:pPr>
        <w:pStyle w:val="BodyText"/>
        <w:spacing w:line="240" w:lineRule="auto" w:before="192"/>
        <w:ind w:right="-19"/>
        <w:jc w:val="left"/>
      </w:pPr>
      <w:r>
        <w:rPr/>
        <w:t>√适用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9"/>
          <w:szCs w:val="29"/>
        </w:rPr>
      </w:pPr>
    </w:p>
    <w:p>
      <w:pPr>
        <w:spacing w:before="0"/>
        <w:ind w:left="1115" w:right="1321"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060" w:bottom="1160" w:left="0" w:right="0"/>
          <w:cols w:num="2" w:equalWidth="0">
            <w:col w:w="3055" w:space="5535"/>
            <w:col w:w="3320"/>
          </w:cols>
        </w:sectPr>
      </w:pP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0"/>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 资产减值准备的冲销部分）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77" w:right="0"/>
              <w:jc w:val="left"/>
              <w:rPr>
                <w:rFonts w:ascii="Times New Roman" w:hAnsi="Times New Roman" w:cs="Times New Roman" w:eastAsia="Times New Roman" w:hint="default"/>
                <w:sz w:val="21"/>
                <w:szCs w:val="21"/>
              </w:rPr>
            </w:pPr>
            <w:r>
              <w:rPr>
                <w:rFonts w:ascii="Times New Roman"/>
                <w:sz w:val="21"/>
              </w:rPr>
              <w:t>-24,726.41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5" w:right="0"/>
              <w:jc w:val="left"/>
              <w:rPr>
                <w:rFonts w:ascii="Times New Roman" w:hAnsi="Times New Roman" w:cs="Times New Roman" w:eastAsia="Times New Roman" w:hint="default"/>
                <w:sz w:val="21"/>
                <w:szCs w:val="21"/>
              </w:rPr>
            </w:pPr>
            <w:r>
              <w:rPr>
                <w:rFonts w:ascii="Times New Roman"/>
                <w:sz w:val="21"/>
              </w:rPr>
              <w:t>-11,818.66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79" w:right="0"/>
              <w:jc w:val="left"/>
              <w:rPr>
                <w:rFonts w:ascii="Times New Roman" w:hAnsi="Times New Roman" w:cs="Times New Roman" w:eastAsia="Times New Roman" w:hint="default"/>
                <w:sz w:val="21"/>
                <w:szCs w:val="21"/>
              </w:rPr>
            </w:pPr>
            <w:r>
              <w:rPr>
                <w:rFonts w:ascii="Times New Roman"/>
                <w:sz w:val="21"/>
              </w:rPr>
              <w:t>-84,051.08</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both"/>
              <w:rPr>
                <w:rFonts w:ascii="宋体" w:hAnsi="宋体" w:cs="宋体" w:eastAsia="宋体" w:hint="default"/>
                <w:sz w:val="21"/>
                <w:szCs w:val="21"/>
              </w:rPr>
            </w:pPr>
            <w:r>
              <w:rPr>
                <w:rFonts w:ascii="宋体" w:hAnsi="宋体" w:cs="宋体" w:eastAsia="宋体" w:hint="default"/>
                <w:sz w:val="21"/>
                <w:szCs w:val="21"/>
              </w:rPr>
              <w:t>计入当期损益的政府补助（与企业 业务密切相关，按照国家统一标准 定额或定量享受的政府补助除外）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2,812,896.56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1,707,663.80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2,126,800.00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3" w:right="-4"/>
              <w:jc w:val="left"/>
              <w:rPr>
                <w:rFonts w:ascii="宋体" w:hAnsi="宋体" w:cs="宋体" w:eastAsia="宋体" w:hint="default"/>
                <w:sz w:val="21"/>
                <w:szCs w:val="21"/>
              </w:rPr>
            </w:pPr>
            <w:r>
              <w:rPr>
                <w:rFonts w:ascii="宋体" w:hAnsi="宋体" w:cs="宋体" w:eastAsia="宋体" w:hint="default"/>
                <w:sz w:val="21"/>
                <w:szCs w:val="21"/>
              </w:rPr>
              <w:t>详见第十节、七、 </w:t>
            </w:r>
            <w:r>
              <w:rPr>
                <w:rFonts w:ascii="Times New Roman" w:hAnsi="Times New Roman" w:cs="Times New Roman" w:eastAsia="Times New Roman" w:hint="default"/>
                <w:sz w:val="21"/>
                <w:szCs w:val="21"/>
              </w:rPr>
              <w:t>69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营业外收入中 政府补助明细</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 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158,942.99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826,753.72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7,548.46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505,330.74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365,706.12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307,716.62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-102,193.89</w:t>
            </w:r>
            <w:r>
              <w:rPr>
                <w:rFonts w:ascii="Times New Roman"/>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517,043.53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-6,925.52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2,543,976.29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1,639,849.21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1,749,506.28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170"/>
        <w:ind w:left="1613" w:right="1033"/>
        <w:jc w:val="left"/>
      </w:pPr>
      <w:r>
        <w:rPr/>
        <w:t>对公司根据《公开发行证券的公司信息披露解释性公告第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号——非经常性损益》定义</w:t>
      </w:r>
    </w:p>
    <w:p>
      <w:pPr>
        <w:pStyle w:val="BodyText"/>
        <w:spacing w:line="357" w:lineRule="auto" w:before="154"/>
        <w:ind w:right="1114"/>
        <w:jc w:val="left"/>
      </w:pPr>
      <w:r>
        <w:rPr/>
        <w:t>界定的非经常性损益项目，以及把《公开发行证券的公司信息披露解释性公告第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 经常性损益》中列举的非经常性损益项目界定为经常性损益的项目，应说明原因</w:t>
      </w:r>
    </w:p>
    <w:p>
      <w:pPr>
        <w:pStyle w:val="BodyText"/>
        <w:spacing w:line="357" w:lineRule="auto" w:before="36"/>
        <w:ind w:left="1614" w:right="1113"/>
        <w:jc w:val="left"/>
      </w:pPr>
      <w:r>
        <w:rPr/>
        <w:t>□ 适用 √ 不适用 公司报告期不存在将根据《公开发行证券的公司信息披露解释性公告第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w:t>
      </w:r>
    </w:p>
    <w:p>
      <w:pPr>
        <w:pStyle w:val="BodyText"/>
        <w:spacing w:line="240" w:lineRule="auto" w:before="36"/>
        <w:ind w:right="1033"/>
        <w:jc w:val="left"/>
      </w:pPr>
      <w:r>
        <w:rPr/>
        <w:t>性损益》定义、列举的非经常性损益项目界定为经常性损益的项目的情形。</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93"/>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pStyle w:val="Heading3"/>
        <w:spacing w:line="690" w:lineRule="atLeast" w:before="133"/>
        <w:ind w:left="1616" w:right="1033" w:hanging="483"/>
        <w:jc w:val="left"/>
        <w:rPr>
          <w:b w:val="0"/>
          <w:bCs w:val="0"/>
        </w:rPr>
      </w:pPr>
      <w:bookmarkStart w:name="一、报告期内公司从事的主要业务" w:id="17"/>
      <w:bookmarkEnd w:id="17"/>
      <w:r>
        <w:rPr>
          <w:b w:val="0"/>
          <w:bCs w:val="0"/>
        </w:rPr>
      </w:r>
      <w:r>
        <w:rPr/>
        <w:t>一、报告期内公司从事的主要业务</w:t>
      </w:r>
      <w:r>
        <w:rPr>
          <w:w w:val="99"/>
        </w:rPr>
        <w:t> </w:t>
      </w:r>
      <w:r>
        <w:rPr>
          <w:rFonts w:ascii="宋体" w:hAnsi="宋体" w:cs="宋体" w:eastAsia="宋体" w:hint="default"/>
          <w:spacing w:val="3"/>
          <w:w w:val="95"/>
        </w:rPr>
        <w:t>1</w:t>
      </w:r>
      <w:r>
        <w:rPr>
          <w:spacing w:val="3"/>
          <w:w w:val="95"/>
        </w:rPr>
        <w:t>、报告期内公司所从事的主要业务、主要产品及其用途、经营模式、主要的业绩驱动</w:t>
      </w:r>
      <w:r>
        <w:rPr>
          <w:b w:val="0"/>
          <w:bCs w:val="0"/>
          <w:spacing w:val="3"/>
        </w:rPr>
      </w:r>
    </w:p>
    <w:p>
      <w:pPr>
        <w:spacing w:before="154"/>
        <w:ind w:left="1133" w:right="1033" w:firstLine="0"/>
        <w:jc w:val="left"/>
        <w:rPr>
          <w:rFonts w:ascii="宋体" w:hAnsi="宋体" w:cs="宋体" w:eastAsia="宋体" w:hint="default"/>
          <w:sz w:val="24"/>
          <w:szCs w:val="24"/>
        </w:rPr>
      </w:pPr>
      <w:r>
        <w:rPr>
          <w:rFonts w:ascii="宋体" w:hAnsi="宋体" w:cs="宋体" w:eastAsia="宋体" w:hint="default"/>
          <w:b/>
          <w:bCs/>
          <w:sz w:val="24"/>
          <w:szCs w:val="24"/>
        </w:rPr>
        <w:t>因素</w:t>
      </w:r>
      <w:r>
        <w:rPr>
          <w:rFonts w:ascii="宋体" w:hAnsi="宋体" w:cs="宋体" w:eastAsia="宋体" w:hint="default"/>
          <w:sz w:val="24"/>
          <w:szCs w:val="24"/>
        </w:rPr>
      </w:r>
    </w:p>
    <w:p>
      <w:pPr>
        <w:pStyle w:val="BodyText"/>
        <w:spacing w:line="357" w:lineRule="auto" w:before="154"/>
        <w:ind w:right="995" w:firstLine="480"/>
        <w:jc w:val="left"/>
      </w:pPr>
      <w:r>
        <w:rPr>
          <w:spacing w:val="-3"/>
        </w:rPr>
        <w:t>公司以领先技术、优质可靠、成本优势产品以及绿色节能整体解决方案服务能力为信息、</w:t>
      </w:r>
      <w:r>
        <w:rPr/>
        <w:t> 医疗、环保等领域用户提供技术咨询、核心产品、系统集成、工程实施和运营服务等。具体</w:t>
      </w:r>
      <w:r>
        <w:rPr>
          <w:spacing w:val="-116"/>
        </w:rPr>
        <w:t> </w:t>
      </w:r>
      <w:r>
        <w:rPr>
          <w:spacing w:val="-116"/>
        </w:rPr>
      </w:r>
      <w:r>
        <w:rPr/>
        <w:t>情况如下：在信息数据领域，公司为 </w:t>
      </w:r>
      <w:r>
        <w:rPr>
          <w:rFonts w:ascii="宋体" w:hAnsi="宋体" w:cs="宋体" w:eastAsia="宋体" w:hint="default"/>
        </w:rPr>
        <w:t>ICT</w:t>
      </w:r>
      <w:r>
        <w:rPr>
          <w:rFonts w:ascii="宋体" w:hAnsi="宋体" w:cs="宋体" w:eastAsia="宋体" w:hint="default"/>
          <w:spacing w:val="-83"/>
        </w:rPr>
        <w:t> </w:t>
      </w:r>
      <w:r>
        <w:rPr/>
        <w:t>基础设施建设整体解决方案服务商，所提供的自主 </w:t>
      </w:r>
      <w:r>
        <w:rPr>
          <w:spacing w:val="-2"/>
        </w:rPr>
        <w:t>研发生产的核心产品包括精密空调、高压直流电源和智能监控管理系统等；在健康医疗领域，</w:t>
      </w:r>
      <w:r>
        <w:rPr/>
        <w:t> 公司为医疗建设整体建设解决方案服务商，包括：手术室部净化工程、智能医院、高端医疗 建设设备等，所提供的自主研发生产的核心产品有医用空调、智能医院控制系统和工艺化结</w:t>
      </w:r>
      <w:r>
        <w:rPr>
          <w:spacing w:val="-113"/>
        </w:rPr>
        <w:t> </w:t>
      </w:r>
      <w:r>
        <w:rPr>
          <w:spacing w:val="-113"/>
        </w:rPr>
      </w:r>
      <w:r>
        <w:rPr/>
        <w:t>构系统等，核心业务为洁净工程总承包，并积极拓展医院建设、智能医院业务；在环保治理</w:t>
      </w:r>
      <w:r>
        <w:rPr>
          <w:spacing w:val="-108"/>
        </w:rPr>
        <w:t> </w:t>
      </w:r>
      <w:r>
        <w:rPr>
          <w:spacing w:val="-108"/>
        </w:rPr>
      </w:r>
      <w:r>
        <w:rPr/>
        <w:t>领域，公司为除尘、脱硫、脱硝等环保工程系统整体解决方案服务商，能提供相关环保设备</w:t>
      </w:r>
      <w:r>
        <w:rPr>
          <w:spacing w:val="-111"/>
        </w:rPr>
        <w:t> </w:t>
      </w:r>
      <w:r>
        <w:rPr>
          <w:spacing w:val="-111"/>
        </w:rPr>
      </w:r>
      <w:r>
        <w:rPr/>
        <w:t>的研发生产，正在积极拓展土壤修复、湿地治理等环保新业务。</w:t>
      </w:r>
    </w:p>
    <w:p>
      <w:pPr>
        <w:pStyle w:val="BodyText"/>
        <w:spacing w:line="350" w:lineRule="auto" w:before="36"/>
        <w:ind w:right="1129" w:firstLine="480"/>
        <w:jc w:val="both"/>
      </w:pPr>
      <w:r>
        <w:rPr/>
        <w:t>报告期内，公司完成了江苏亿金环保的重大资产重组，主营业务新增环保治理领域中工</w:t>
      </w:r>
      <w:r>
        <w:rPr>
          <w:spacing w:val="2"/>
        </w:rPr>
        <w:t> </w:t>
      </w:r>
      <w:r>
        <w:rPr/>
        <w:t>业烟气治理的整体解决方案业务；另外，公司在建设项目工程总承包业务上也取得了较大突</w:t>
      </w:r>
      <w:r>
        <w:rPr/>
        <w:t> </w:t>
      </w:r>
      <w:r>
        <w:rPr>
          <w:spacing w:val="6"/>
        </w:rPr>
        <w:t>破；公司主营业务、产品、收入及利润构成均发生较大变化；</w:t>
      </w:r>
      <w:r>
        <w:rPr>
          <w:rFonts w:ascii="Times New Roman" w:hAnsi="Times New Roman" w:cs="Times New Roman" w:eastAsia="Times New Roman" w:hint="default"/>
          <w:spacing w:val="6"/>
        </w:rPr>
        <w:t>2015</w:t>
      </w:r>
      <w:r>
        <w:rPr>
          <w:spacing w:val="6"/>
        </w:rPr>
        <w:t>年度实现主营业务收入</w:t>
      </w:r>
      <w:r>
        <w:rPr/>
        <w:t> </w:t>
      </w:r>
      <w:r>
        <w:rPr>
          <w:rFonts w:ascii="Times New Roman" w:hAnsi="Times New Roman" w:cs="Times New Roman" w:eastAsia="Times New Roman" w:hint="default"/>
        </w:rPr>
        <w:t>87,728.72</w:t>
      </w:r>
      <w:r>
        <w:rPr/>
        <w:t>万元，同比增长</w:t>
      </w:r>
      <w:r>
        <w:rPr>
          <w:rFonts w:ascii="Times New Roman" w:hAnsi="Times New Roman" w:cs="Times New Roman" w:eastAsia="Times New Roman" w:hint="default"/>
        </w:rPr>
        <w:t>79.33%</w:t>
      </w:r>
      <w:r>
        <w:rPr/>
        <w:t>，实现利润总额</w:t>
      </w:r>
      <w:r>
        <w:rPr>
          <w:rFonts w:ascii="Times New Roman" w:hAnsi="Times New Roman" w:cs="Times New Roman" w:eastAsia="Times New Roman" w:hint="default"/>
        </w:rPr>
        <w:t>3,231.85</w:t>
      </w:r>
      <w:r>
        <w:rPr/>
        <w:t>万元，同比下降</w:t>
      </w:r>
      <w:r>
        <w:rPr>
          <w:rFonts w:ascii="Times New Roman" w:hAnsi="Times New Roman" w:cs="Times New Roman" w:eastAsia="Times New Roman" w:hint="default"/>
        </w:rPr>
        <w:t>1.07%</w:t>
      </w:r>
      <w:r>
        <w:rPr/>
        <w:t>。</w:t>
      </w:r>
    </w:p>
    <w:p>
      <w:pPr>
        <w:spacing w:line="297" w:lineRule="auto" w:before="13"/>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、报告期内公司所属行业的发展阶段、周期性特点以及公司所处的行业地位等</w:t>
      </w:r>
      <w:r>
        <w:rPr>
          <w:rFonts w:ascii="宋体" w:hAnsi="宋体" w:cs="宋体" w:eastAsia="宋体" w:hint="default"/>
          <w:b/>
          <w:bCs/>
          <w:w w:val="99"/>
          <w:sz w:val="24"/>
          <w:szCs w:val="24"/>
        </w:rPr>
        <w:t> </w:t>
      </w:r>
      <w:r>
        <w:rPr>
          <w:rFonts w:ascii="宋体" w:hAnsi="宋体" w:cs="宋体" w:eastAsia="宋体" w:hint="default"/>
          <w:sz w:val="24"/>
          <w:szCs w:val="24"/>
        </w:rPr>
        <w:t>公司业务涉及信息、医疗、环保三大产业，报告期内随着我国“十二五”信息化发展规</w:t>
      </w:r>
    </w:p>
    <w:p>
      <w:pPr>
        <w:pStyle w:val="BodyText"/>
        <w:spacing w:line="357" w:lineRule="auto" w:before="96"/>
        <w:ind w:right="1001"/>
        <w:jc w:val="left"/>
      </w:pPr>
      <w:r>
        <w:rPr/>
        <w:t>划以及《国务院关于加快培育和发展战略性新兴产业的决定》、《“十二五”节能减排综合 性工作方案》、《国家环境保护“十二五”规划》、《重点区域大气污染防治“十二五”规 划》、《大气污染防治行动计划实施情况考核办法（试行）》（</w:t>
      </w:r>
      <w:r>
        <w:rPr>
          <w:rFonts w:ascii="宋体" w:hAnsi="宋体" w:cs="宋体" w:eastAsia="宋体" w:hint="default"/>
        </w:rPr>
        <w:t>2014</w:t>
      </w:r>
      <w:r>
        <w:rPr/>
        <w:t>年出台）、《煤电节能 </w:t>
      </w:r>
      <w:r>
        <w:rPr>
          <w:spacing w:val="-10"/>
        </w:rPr>
        <w:t>减排升级与改造行动计划（</w:t>
      </w:r>
      <w:r>
        <w:rPr>
          <w:rFonts w:ascii="宋体" w:hAnsi="宋体" w:cs="宋体" w:eastAsia="宋体" w:hint="default"/>
          <w:spacing w:val="-10"/>
        </w:rPr>
        <w:t>2014</w:t>
      </w:r>
      <w:r>
        <w:rPr>
          <w:spacing w:val="-10"/>
        </w:rPr>
        <w:t>—</w:t>
      </w:r>
      <w:r>
        <w:rPr>
          <w:rFonts w:ascii="宋体" w:hAnsi="宋体" w:cs="宋体" w:eastAsia="宋体" w:hint="default"/>
          <w:spacing w:val="-10"/>
        </w:rPr>
        <w:t>2020</w:t>
      </w:r>
      <w:r>
        <w:rPr>
          <w:spacing w:val="-10"/>
        </w:rPr>
        <w:t>年）》、《关于进一步疏导环保电价矛盾的通知》（</w:t>
      </w:r>
      <w:r>
        <w:rPr>
          <w:rFonts w:ascii="宋体" w:hAnsi="宋体" w:cs="宋体" w:eastAsia="宋体" w:hint="default"/>
          <w:spacing w:val="-10"/>
        </w:rPr>
        <w:t>2014</w:t>
      </w:r>
      <w:r>
        <w:rPr>
          <w:rFonts w:ascii="宋体" w:hAnsi="宋体" w:cs="宋体" w:eastAsia="宋体" w:hint="default"/>
          <w:spacing w:val="-87"/>
        </w:rPr>
        <w:t> </w:t>
      </w:r>
      <w:r>
        <w:rPr/>
        <w:t>年出台）、《全国医疗卫生服务体系规划纲要（ </w:t>
      </w:r>
      <w:r>
        <w:rPr>
          <w:rFonts w:ascii="宋体" w:hAnsi="宋体" w:cs="宋体" w:eastAsia="宋体" w:hint="default"/>
        </w:rPr>
        <w:t>2015 </w:t>
      </w:r>
      <w:r>
        <w:rPr/>
        <w:t>—</w:t>
      </w:r>
      <w:r>
        <w:rPr>
          <w:spacing w:val="-83"/>
        </w:rPr>
        <w:t> </w:t>
      </w:r>
      <w:r>
        <w:rPr>
          <w:rFonts w:ascii="宋体" w:hAnsi="宋体" w:cs="宋体" w:eastAsia="宋体" w:hint="default"/>
        </w:rPr>
        <w:t>2020</w:t>
      </w:r>
      <w:r>
        <w:rPr/>
        <w:t>）》、《促进大数据发展行动 </w:t>
      </w:r>
      <w:r>
        <w:rPr>
          <w:spacing w:val="-2"/>
        </w:rPr>
        <w:t>纲要》（国务院</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5</w:t>
      </w:r>
      <w:r>
        <w:rPr>
          <w:spacing w:val="-2"/>
        </w:rPr>
        <w:t>日发）、《国民经济和社会发展第十三个五年规划纲要（草案）》</w:t>
      </w:r>
      <w:r>
        <w:rPr>
          <w:spacing w:val="-116"/>
        </w:rPr>
        <w:t> </w:t>
      </w:r>
      <w:r>
        <w:rPr>
          <w:spacing w:val="-116"/>
        </w:rPr>
      </w:r>
      <w:r>
        <w:rPr/>
        <w:t>等信息、环保产业以及医疗健康、城镇化建设等相关产业政策的出台和深化实施，我国信息 化建设、医疗建设、环保治理等产业仍然处于国家政策鼓励发展的阶段，投资规模保持持续</w:t>
      </w:r>
    </w:p>
    <w:p>
      <w:pPr>
        <w:spacing w:after="0" w:line="357"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57" w:lineRule="auto" w:before="26"/>
        <w:ind w:right="1169"/>
        <w:jc w:val="both"/>
      </w:pPr>
      <w:r>
        <w:rPr/>
        <w:t>稳定地增长，与之相关的产业基础项目产品、工程、服务处于市场需求旺盛的发展阶段，这 为公司的业务发展提供了良好的机遇，公司业务相关产业处于快速发展的良好阶段，具有良 好的发展前景和广阔的市场空间。</w:t>
      </w:r>
    </w:p>
    <w:p>
      <w:pPr>
        <w:pStyle w:val="BodyText"/>
        <w:spacing w:line="357" w:lineRule="auto" w:before="35"/>
        <w:ind w:right="1153" w:firstLine="480"/>
        <w:jc w:val="left"/>
      </w:pPr>
      <w:r>
        <w:rPr/>
        <w:t>报告期内，公司已经成为在所涉及的三大业务领域技术先进和业绩不断增长的知名品牌 公司。</w:t>
      </w:r>
    </w:p>
    <w:p>
      <w:pPr>
        <w:spacing w:line="240" w:lineRule="auto" w:before="10"/>
        <w:rPr>
          <w:rFonts w:ascii="宋体" w:hAnsi="宋体" w:cs="宋体" w:eastAsia="宋体" w:hint="default"/>
          <w:sz w:val="25"/>
          <w:szCs w:val="25"/>
        </w:rPr>
      </w:pPr>
    </w:p>
    <w:p>
      <w:pPr>
        <w:pStyle w:val="Heading3"/>
        <w:spacing w:line="240" w:lineRule="auto"/>
        <w:ind w:left="1133"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0"/>
        <w:rPr>
          <w:rFonts w:ascii="宋体" w:hAnsi="宋体" w:cs="宋体" w:eastAsia="宋体" w:hint="default"/>
          <w:b/>
          <w:bCs/>
          <w:sz w:val="28"/>
          <w:szCs w:val="28"/>
        </w:rPr>
      </w:pPr>
    </w:p>
    <w:p>
      <w:pPr>
        <w:spacing w:before="0"/>
        <w:ind w:left="1133" w:right="0" w:firstLine="0"/>
        <w:jc w:val="both"/>
        <w:rPr>
          <w:rFonts w:ascii="宋体" w:hAnsi="宋体" w:cs="宋体" w:eastAsia="宋体" w:hint="default"/>
          <w:sz w:val="24"/>
          <w:szCs w:val="24"/>
        </w:rPr>
      </w:pPr>
      <w:bookmarkStart w:name="1、主要资产重大变化情况" w:id="19"/>
      <w:bookmarkEnd w:id="19"/>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、主要资产重大变化情况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140" w:type="dxa"/>
        <w:tblLayout w:type="fixed"/>
        <w:tblCellMar>
          <w:top w:w="0" w:type="dxa"/>
          <w:left w:w="0" w:type="dxa"/>
          <w:bottom w:w="0" w:type="dxa"/>
          <w:right w:w="0" w:type="dxa"/>
        </w:tblCellMar>
        <w:tblLook w:val="01E0"/>
      </w:tblPr>
      <w:tblGrid>
        <w:gridCol w:w="1974"/>
        <w:gridCol w:w="7584"/>
      </w:tblGrid>
      <w:tr>
        <w:trPr>
          <w:trHeight w:val="187"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555"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7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186"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4" w:type="dxa"/>
            <w:vMerge w:val="restart"/>
            <w:tcBorders>
              <w:top w:val="single" w:sz="4" w:space="0" w:color="000000"/>
              <w:left w:val="single" w:sz="9" w:space="0" w:color="D2D2D2"/>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月公司单方面对江苏亿金增资，新增股权</w:t>
            </w:r>
            <w:r>
              <w:rPr>
                <w:rFonts w:ascii="宋体" w:hAnsi="宋体" w:cs="宋体" w:eastAsia="宋体" w:hint="default"/>
                <w:spacing w:val="-53"/>
                <w:sz w:val="21"/>
                <w:szCs w:val="21"/>
              </w:rPr>
              <w:t> </w:t>
            </w:r>
            <w:r>
              <w:rPr>
                <w:rFonts w:ascii="宋体" w:hAnsi="宋体" w:cs="宋体" w:eastAsia="宋体" w:hint="default"/>
                <w:sz w:val="21"/>
                <w:szCs w:val="21"/>
              </w:rPr>
              <w:t>914</w:t>
            </w:r>
            <w:r>
              <w:rPr>
                <w:rFonts w:ascii="宋体" w:hAnsi="宋体" w:cs="宋体" w:eastAsia="宋体" w:hint="default"/>
                <w:spacing w:val="-54"/>
                <w:sz w:val="21"/>
                <w:szCs w:val="21"/>
              </w:rPr>
              <w:t> </w:t>
            </w:r>
            <w:r>
              <w:rPr>
                <w:rFonts w:ascii="宋体" w:hAnsi="宋体" w:cs="宋体" w:eastAsia="宋体" w:hint="default"/>
                <w:sz w:val="21"/>
                <w:szCs w:val="21"/>
              </w:rPr>
              <w:t>万股；</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7"/>
              <w:ind w:left="16" w:right="0"/>
              <w:jc w:val="left"/>
              <w:rPr>
                <w:rFonts w:ascii="宋体" w:hAnsi="宋体" w:cs="宋体" w:eastAsia="宋体" w:hint="default"/>
                <w:sz w:val="21"/>
                <w:szCs w:val="21"/>
              </w:rPr>
            </w:pPr>
            <w:r>
              <w:rPr>
                <w:rFonts w:ascii="宋体" w:hAnsi="宋体" w:cs="宋体" w:eastAsia="宋体" w:hint="default"/>
                <w:sz w:val="21"/>
                <w:szCs w:val="21"/>
              </w:rPr>
              <w:t>增资江苏亿金，新增股权</w:t>
            </w:r>
            <w:r>
              <w:rPr>
                <w:rFonts w:ascii="宋体" w:hAnsi="宋体" w:cs="宋体" w:eastAsia="宋体" w:hint="default"/>
                <w:spacing w:val="-54"/>
                <w:sz w:val="21"/>
                <w:szCs w:val="21"/>
              </w:rPr>
              <w:t> </w:t>
            </w:r>
            <w:r>
              <w:rPr>
                <w:rFonts w:ascii="宋体" w:hAnsi="宋体" w:cs="宋体" w:eastAsia="宋体" w:hint="default"/>
                <w:sz w:val="21"/>
                <w:szCs w:val="21"/>
              </w:rPr>
              <w:t>1833.50</w:t>
            </w:r>
            <w:r>
              <w:rPr>
                <w:rFonts w:ascii="宋体" w:hAnsi="宋体" w:cs="宋体" w:eastAsia="宋体" w:hint="default"/>
                <w:spacing w:val="-55"/>
                <w:sz w:val="21"/>
                <w:szCs w:val="21"/>
              </w:rPr>
              <w:t> </w:t>
            </w:r>
            <w:r>
              <w:rPr>
                <w:rFonts w:ascii="宋体" w:hAnsi="宋体" w:cs="宋体" w:eastAsia="宋体" w:hint="default"/>
                <w:spacing w:val="-3"/>
                <w:sz w:val="21"/>
                <w:szCs w:val="21"/>
              </w:rPr>
              <w:t>万股；</w:t>
            </w: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pacing w:val="-3"/>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月投资获得上海国富光启</w:t>
            </w:r>
            <w:r>
              <w:rPr>
                <w:rFonts w:ascii="宋体" w:hAnsi="宋体" w:cs="宋体" w:eastAsia="宋体" w:hint="default"/>
                <w:spacing w:val="-55"/>
                <w:sz w:val="21"/>
                <w:szCs w:val="21"/>
              </w:rPr>
              <w:t> </w:t>
            </w:r>
            <w:r>
              <w:rPr>
                <w:rFonts w:ascii="宋体" w:hAnsi="宋体" w:cs="宋体" w:eastAsia="宋体" w:hint="default"/>
                <w:sz w:val="21"/>
                <w:szCs w:val="21"/>
              </w:rPr>
              <w:t>60</w:t>
            </w:r>
          </w:p>
          <w:p>
            <w:pPr>
              <w:pStyle w:val="TableParagraph"/>
              <w:spacing w:line="240" w:lineRule="auto" w:before="37"/>
              <w:ind w:left="16" w:right="0"/>
              <w:jc w:val="left"/>
              <w:rPr>
                <w:rFonts w:ascii="宋体" w:hAnsi="宋体" w:cs="宋体" w:eastAsia="宋体" w:hint="default"/>
                <w:sz w:val="21"/>
                <w:szCs w:val="21"/>
              </w:rPr>
            </w:pPr>
            <w:r>
              <w:rPr>
                <w:rFonts w:ascii="宋体" w:hAnsi="宋体" w:cs="宋体" w:eastAsia="宋体" w:hint="default"/>
                <w:sz w:val="21"/>
                <w:szCs w:val="21"/>
              </w:rPr>
              <w:t>万股股权；</w:t>
            </w:r>
            <w:r>
              <w:rPr>
                <w:rFonts w:ascii="宋体" w:hAnsi="宋体" w:cs="宋体" w:eastAsia="宋体" w:hint="default"/>
                <w:spacing w:val="-1"/>
                <w:sz w:val="21"/>
                <w:szCs w:val="21"/>
              </w:rPr>
              <w:t>4</w:t>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月出资设立康为嘉，获得股权</w:t>
            </w:r>
            <w:r>
              <w:rPr>
                <w:rFonts w:ascii="宋体" w:hAnsi="宋体" w:cs="宋体" w:eastAsia="宋体" w:hint="default"/>
                <w:spacing w:val="-52"/>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万股（认缴</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2015</w:t>
            </w:r>
          </w:p>
          <w:p>
            <w:pPr>
              <w:pStyle w:val="TableParagraph"/>
              <w:spacing w:line="240" w:lineRule="auto" w:before="38"/>
              <w:ind w:left="1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月增资西安华西，新增股权</w:t>
            </w:r>
            <w:r>
              <w:rPr>
                <w:rFonts w:ascii="宋体" w:hAnsi="宋体" w:cs="宋体" w:eastAsia="宋体" w:hint="default"/>
                <w:spacing w:val="-54"/>
                <w:sz w:val="21"/>
                <w:szCs w:val="21"/>
              </w:rPr>
              <w:t> </w:t>
            </w:r>
            <w:r>
              <w:rPr>
                <w:rFonts w:ascii="宋体" w:hAnsi="宋体" w:cs="宋体" w:eastAsia="宋体" w:hint="default"/>
                <w:sz w:val="21"/>
                <w:szCs w:val="21"/>
              </w:rPr>
              <w:t>1041.82</w:t>
            </w:r>
            <w:r>
              <w:rPr>
                <w:rFonts w:ascii="宋体" w:hAnsi="宋体" w:cs="宋体" w:eastAsia="宋体" w:hint="default"/>
                <w:spacing w:val="-54"/>
                <w:sz w:val="21"/>
                <w:szCs w:val="21"/>
              </w:rPr>
              <w:t> </w:t>
            </w:r>
            <w:r>
              <w:rPr>
                <w:rFonts w:ascii="宋体" w:hAnsi="宋体" w:cs="宋体" w:eastAsia="宋体" w:hint="default"/>
                <w:sz w:val="21"/>
                <w:szCs w:val="21"/>
              </w:rPr>
              <w:t>万股。</w:t>
            </w:r>
          </w:p>
        </w:tc>
      </w:tr>
      <w:tr>
        <w:trPr>
          <w:trHeight w:val="39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股权资产</w:t>
            </w:r>
          </w:p>
        </w:tc>
        <w:tc>
          <w:tcPr>
            <w:tcW w:w="7584" w:type="dxa"/>
            <w:vMerge/>
            <w:tcBorders>
              <w:left w:val="single" w:sz="9" w:space="0" w:color="D2D2D2"/>
              <w:right w:val="single" w:sz="4" w:space="0" w:color="000000"/>
            </w:tcBorders>
          </w:tcPr>
          <w:p>
            <w:pPr/>
          </w:p>
        </w:tc>
      </w:tr>
      <w:tr>
        <w:trPr>
          <w:trHeight w:val="473"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4" w:type="dxa"/>
            <w:vMerge/>
            <w:tcBorders>
              <w:left w:val="single" w:sz="9" w:space="0" w:color="D2D2D2"/>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5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报告期内，固定资产无重大变化。</w:t>
            </w:r>
          </w:p>
        </w:tc>
      </w:tr>
      <w:tr>
        <w:trPr>
          <w:trHeight w:val="473"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4" w:type="dxa"/>
            <w:vMerge w:val="restart"/>
            <w:tcBorders>
              <w:top w:val="single" w:sz="4" w:space="0" w:color="000000"/>
              <w:left w:val="single" w:sz="9" w:space="0" w:color="D2D2D2"/>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、报告期新获得实用新型专利权</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项、发明专利权</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项、软件著作权</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项、软</w:t>
            </w:r>
          </w:p>
          <w:p>
            <w:pPr>
              <w:pStyle w:val="TableParagraph"/>
              <w:spacing w:line="271" w:lineRule="auto" w:before="38"/>
              <w:ind w:left="216" w:right="21" w:hanging="201"/>
              <w:jc w:val="left"/>
              <w:rPr>
                <w:rFonts w:ascii="宋体" w:hAnsi="宋体" w:cs="宋体" w:eastAsia="宋体" w:hint="default"/>
                <w:sz w:val="21"/>
                <w:szCs w:val="21"/>
              </w:rPr>
            </w:pPr>
            <w:r>
              <w:rPr>
                <w:rFonts w:ascii="宋体" w:hAnsi="宋体" w:cs="宋体" w:eastAsia="宋体" w:hint="default"/>
                <w:sz w:val="21"/>
                <w:szCs w:val="21"/>
              </w:rPr>
              <w:t>件产品登记证书</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项，终止实用新型专利权</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2</w:t>
            </w:r>
            <w:r>
              <w:rPr>
                <w:rFonts w:ascii="宋体" w:hAnsi="宋体" w:cs="宋体" w:eastAsia="宋体" w:hint="default"/>
                <w:spacing w:val="-2"/>
                <w:sz w:val="21"/>
                <w:szCs w:val="21"/>
              </w:rPr>
              <w:t>、报告期内，公司投资</w:t>
            </w:r>
            <w:r>
              <w:rPr>
                <w:rFonts w:ascii="宋体" w:hAnsi="宋体" w:cs="宋体" w:eastAsia="宋体" w:hint="default"/>
                <w:spacing w:val="-2"/>
                <w:sz w:val="24"/>
                <w:szCs w:val="24"/>
              </w:rPr>
              <w:t>1,627.03</w:t>
            </w:r>
            <w:r>
              <w:rPr>
                <w:rFonts w:ascii="宋体" w:hAnsi="宋体" w:cs="宋体" w:eastAsia="宋体" w:hint="default"/>
                <w:spacing w:val="-2"/>
                <w:sz w:val="24"/>
                <w:szCs w:val="24"/>
              </w:rPr>
              <w:t>万</w:t>
            </w:r>
            <w:r>
              <w:rPr>
                <w:rFonts w:ascii="宋体" w:hAnsi="宋体" w:cs="宋体" w:eastAsia="宋体" w:hint="default"/>
                <w:spacing w:val="-2"/>
                <w:sz w:val="21"/>
                <w:szCs w:val="21"/>
              </w:rPr>
              <w:t>元获得成都高新西区“依米康绿色环境产业</w:t>
            </w:r>
            <w:r>
              <w:rPr>
                <w:rFonts w:ascii="宋体" w:hAnsi="宋体" w:cs="宋体" w:eastAsia="宋体" w:hint="default"/>
                <w:sz w:val="21"/>
                <w:szCs w:val="21"/>
              </w:rPr>
              <w:t> 基地项目用地“</w:t>
            </w:r>
          </w:p>
        </w:tc>
      </w:tr>
      <w:tr>
        <w:trPr>
          <w:trHeight w:val="39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584" w:type="dxa"/>
            <w:vMerge/>
            <w:tcBorders>
              <w:left w:val="single" w:sz="9" w:space="0" w:color="D2D2D2"/>
              <w:right w:val="single" w:sz="4" w:space="0" w:color="000000"/>
            </w:tcBorders>
          </w:tcPr>
          <w:p>
            <w:pPr/>
          </w:p>
        </w:tc>
      </w:tr>
      <w:tr>
        <w:trPr>
          <w:trHeight w:val="473"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4" w:type="dxa"/>
            <w:vMerge/>
            <w:tcBorders>
              <w:left w:val="single" w:sz="9" w:space="0" w:color="D2D2D2"/>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5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报告期内，在建工程无重大变化。</w:t>
            </w:r>
          </w:p>
        </w:tc>
      </w:tr>
    </w:tbl>
    <w:p>
      <w:pPr>
        <w:spacing w:line="240" w:lineRule="auto" w:before="0"/>
        <w:rPr>
          <w:rFonts w:ascii="宋体" w:hAnsi="宋体" w:cs="宋体" w:eastAsia="宋体" w:hint="default"/>
          <w:b/>
          <w:bCs/>
          <w:sz w:val="24"/>
          <w:szCs w:val="24"/>
        </w:rPr>
      </w:pPr>
    </w:p>
    <w:p>
      <w:pPr>
        <w:spacing w:before="26"/>
        <w:ind w:left="1134" w:right="1033" w:firstLine="0"/>
        <w:jc w:val="left"/>
        <w:rPr>
          <w:rFonts w:ascii="宋体" w:hAnsi="宋体" w:cs="宋体" w:eastAsia="宋体" w:hint="default"/>
          <w:sz w:val="24"/>
          <w:szCs w:val="24"/>
        </w:rPr>
      </w:pPr>
      <w:bookmarkStart w:name="2、主要境外资产情况" w:id="20"/>
      <w:bookmarkEnd w:id="20"/>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、主要境外资产情况</w:t>
      </w:r>
      <w:r>
        <w:rPr>
          <w:rFonts w:ascii="宋体" w:hAnsi="宋体" w:cs="宋体" w:eastAsia="宋体" w:hint="default"/>
          <w:sz w:val="24"/>
          <w:szCs w:val="24"/>
        </w:rPr>
      </w:r>
    </w:p>
    <w:p>
      <w:pPr>
        <w:spacing w:line="240" w:lineRule="auto" w:before="4"/>
        <w:rPr>
          <w:rFonts w:ascii="宋体" w:hAnsi="宋体" w:cs="宋体" w:eastAsia="宋体" w:hint="default"/>
          <w:b/>
          <w:bCs/>
          <w:sz w:val="33"/>
          <w:szCs w:val="33"/>
        </w:rPr>
      </w:pPr>
    </w:p>
    <w:p>
      <w:pPr>
        <w:pStyle w:val="BodyText"/>
        <w:spacing w:line="240" w:lineRule="auto"/>
        <w:ind w:right="1033"/>
        <w:jc w:val="left"/>
      </w:pPr>
      <w:r>
        <w:rPr/>
        <w:t>√ 适用 □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1129" w:type="dxa"/>
        <w:tblLayout w:type="fixed"/>
        <w:tblCellMar>
          <w:top w:w="0" w:type="dxa"/>
          <w:left w:w="0" w:type="dxa"/>
          <w:bottom w:w="0" w:type="dxa"/>
          <w:right w:w="0" w:type="dxa"/>
        </w:tblCellMar>
        <w:tblLook w:val="01E0"/>
      </w:tblPr>
      <w:tblGrid>
        <w:gridCol w:w="1062"/>
        <w:gridCol w:w="640"/>
        <w:gridCol w:w="708"/>
        <w:gridCol w:w="992"/>
        <w:gridCol w:w="2268"/>
        <w:gridCol w:w="1134"/>
        <w:gridCol w:w="994"/>
        <w:gridCol w:w="1134"/>
        <w:gridCol w:w="637"/>
      </w:tblGrid>
      <w:tr>
        <w:trPr>
          <w:trHeight w:val="1650"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10" w:right="105" w:hanging="105"/>
              <w:jc w:val="left"/>
              <w:rPr>
                <w:rFonts w:ascii="宋体" w:hAnsi="宋体" w:cs="宋体" w:eastAsia="宋体" w:hint="default"/>
                <w:sz w:val="21"/>
                <w:szCs w:val="21"/>
              </w:rPr>
            </w:pPr>
            <w:r>
              <w:rPr>
                <w:rFonts w:ascii="宋体" w:hAnsi="宋体" w:cs="宋体" w:eastAsia="宋体" w:hint="default"/>
                <w:sz w:val="21"/>
                <w:szCs w:val="21"/>
              </w:rPr>
              <w:t>资产的具 体内容</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04" w:right="103"/>
              <w:jc w:val="left"/>
              <w:rPr>
                <w:rFonts w:ascii="宋体" w:hAnsi="宋体" w:cs="宋体" w:eastAsia="宋体" w:hint="default"/>
                <w:sz w:val="21"/>
                <w:szCs w:val="21"/>
              </w:rPr>
            </w:pPr>
            <w:r>
              <w:rPr>
                <w:rFonts w:ascii="宋体" w:hAnsi="宋体" w:cs="宋体" w:eastAsia="宋体" w:hint="default"/>
                <w:sz w:val="21"/>
                <w:szCs w:val="21"/>
              </w:rPr>
              <w:t>形成 原因</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43" w:right="32" w:hanging="210"/>
              <w:jc w:val="left"/>
              <w:rPr>
                <w:rFonts w:ascii="宋体" w:hAnsi="宋体" w:cs="宋体" w:eastAsia="宋体" w:hint="default"/>
                <w:sz w:val="21"/>
                <w:szCs w:val="21"/>
              </w:rPr>
            </w:pPr>
            <w:r>
              <w:rPr>
                <w:rFonts w:ascii="宋体" w:hAnsi="宋体" w:cs="宋体" w:eastAsia="宋体" w:hint="default"/>
                <w:sz w:val="21"/>
                <w:szCs w:val="21"/>
              </w:rPr>
              <w:t>资产规 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所在地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708" w:right="0"/>
              <w:jc w:val="left"/>
              <w:rPr>
                <w:rFonts w:ascii="宋体" w:hAnsi="宋体" w:cs="宋体" w:eastAsia="宋体" w:hint="default"/>
                <w:sz w:val="21"/>
                <w:szCs w:val="21"/>
              </w:rPr>
            </w:pPr>
            <w:r>
              <w:rPr>
                <w:rFonts w:ascii="宋体" w:hAnsi="宋体" w:cs="宋体" w:eastAsia="宋体" w:hint="default"/>
                <w:sz w:val="21"/>
                <w:szCs w:val="21"/>
              </w:rPr>
              <w:t>运营模式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5" w:right="36"/>
              <w:jc w:val="center"/>
              <w:rPr>
                <w:rFonts w:ascii="宋体" w:hAnsi="宋体" w:cs="宋体" w:eastAsia="宋体" w:hint="default"/>
                <w:sz w:val="21"/>
                <w:szCs w:val="21"/>
              </w:rPr>
            </w:pPr>
            <w:r>
              <w:rPr>
                <w:rFonts w:ascii="宋体" w:hAnsi="宋体" w:cs="宋体" w:eastAsia="宋体" w:hint="default"/>
                <w:sz w:val="21"/>
                <w:szCs w:val="21"/>
              </w:rPr>
              <w:t>保障资产安 全性的控制 措施</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收益状况</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6" w:right="36"/>
              <w:jc w:val="center"/>
              <w:rPr>
                <w:rFonts w:ascii="宋体" w:hAnsi="宋体" w:cs="宋体" w:eastAsia="宋体" w:hint="default"/>
                <w:sz w:val="21"/>
                <w:szCs w:val="21"/>
              </w:rPr>
            </w:pPr>
            <w:r>
              <w:rPr>
                <w:rFonts w:ascii="宋体" w:hAnsi="宋体" w:cs="宋体" w:eastAsia="宋体" w:hint="default"/>
                <w:sz w:val="21"/>
                <w:szCs w:val="21"/>
              </w:rPr>
              <w:t>境外资产占 公司净资产 的比重</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3" w:right="102"/>
              <w:jc w:val="both"/>
              <w:rPr>
                <w:rFonts w:ascii="宋体" w:hAnsi="宋体" w:cs="宋体" w:eastAsia="宋体" w:hint="default"/>
                <w:sz w:val="21"/>
                <w:szCs w:val="21"/>
              </w:rPr>
            </w:pPr>
            <w:r>
              <w:rPr>
                <w:rFonts w:ascii="宋体" w:hAnsi="宋体" w:cs="宋体" w:eastAsia="宋体" w:hint="default"/>
                <w:sz w:val="21"/>
                <w:szCs w:val="21"/>
              </w:rPr>
              <w:t>是否 存在 重大 减值 风险</w:t>
            </w:r>
          </w:p>
        </w:tc>
      </w:tr>
      <w:tr>
        <w:trPr>
          <w:trHeight w:val="1962" w:hRule="exact"/>
        </w:trPr>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59" w:lineRule="auto"/>
              <w:ind w:left="22" w:right="2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RFT</w:t>
            </w:r>
            <w:r>
              <w:rPr>
                <w:rFonts w:ascii="宋体" w:hAnsi="宋体" w:cs="宋体" w:eastAsia="宋体" w:hint="default"/>
                <w:spacing w:val="-2"/>
                <w:sz w:val="21"/>
                <w:szCs w:val="21"/>
              </w:rPr>
              <w:t>（参股</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6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2" w:right="0"/>
              <w:jc w:val="left"/>
              <w:rPr>
                <w:rFonts w:ascii="Times New Roman" w:hAnsi="Times New Roman" w:cs="Times New Roman" w:eastAsia="Times New Roman" w:hint="default"/>
                <w:sz w:val="21"/>
                <w:szCs w:val="21"/>
              </w:rPr>
            </w:pPr>
            <w:r>
              <w:rPr>
                <w:rFonts w:ascii="Times New Roman"/>
                <w:sz w:val="21"/>
              </w:rPr>
              <w:t>6,286,8</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85.17</w:t>
            </w:r>
          </w:p>
        </w:tc>
        <w:tc>
          <w:tcPr>
            <w:tcW w:w="9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澳大利亚</w:t>
            </w:r>
          </w:p>
        </w:tc>
        <w:tc>
          <w:tcPr>
            <w:tcW w:w="22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9"/>
                <w:sz w:val="21"/>
                <w:szCs w:val="21"/>
              </w:rPr>
              <w:t>经营范围：开关电源整流</w:t>
            </w:r>
            <w:r>
              <w:rPr>
                <w:rFonts w:ascii="宋体" w:hAnsi="宋体" w:cs="宋体" w:eastAsia="宋体" w:hint="default"/>
                <w:sz w:val="21"/>
                <w:szCs w:val="21"/>
              </w:rPr>
              <w:t> </w:t>
            </w:r>
            <w:r>
              <w:rPr>
                <w:rFonts w:ascii="宋体" w:hAnsi="宋体" w:cs="宋体" w:eastAsia="宋体" w:hint="default"/>
                <w:spacing w:val="-10"/>
                <w:sz w:val="21"/>
                <w:szCs w:val="21"/>
              </w:rPr>
              <w:t>模块、监控系统、电池管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理系统、不间断电源系统</w:t>
            </w:r>
            <w:r>
              <w:rPr>
                <w:rFonts w:ascii="宋体" w:hAnsi="宋体" w:cs="宋体" w:eastAsia="宋体" w:hint="default"/>
                <w:sz w:val="21"/>
                <w:szCs w:val="21"/>
              </w:rPr>
              <w:t> 等的技术开发以及技术 </w:t>
            </w:r>
            <w:r>
              <w:rPr>
                <w:rFonts w:ascii="宋体" w:hAnsi="宋体" w:cs="宋体" w:eastAsia="宋体" w:hint="default"/>
                <w:spacing w:val="-10"/>
                <w:sz w:val="21"/>
                <w:szCs w:val="21"/>
              </w:rPr>
              <w:t>转让，相关产品设计、制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造、销售及售后服务。</w:t>
            </w:r>
          </w:p>
        </w:tc>
        <w:tc>
          <w:tcPr>
            <w:tcW w:w="113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2" w:right="0"/>
              <w:jc w:val="left"/>
              <w:rPr>
                <w:rFonts w:ascii="Times New Roman" w:hAnsi="Times New Roman" w:cs="Times New Roman" w:eastAsia="Times New Roman" w:hint="default"/>
                <w:sz w:val="21"/>
                <w:szCs w:val="21"/>
              </w:rPr>
            </w:pPr>
            <w:r>
              <w:rPr>
                <w:rFonts w:ascii="Times New Roman"/>
                <w:sz w:val="21"/>
              </w:rPr>
              <w:t>2,886,208.</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57" w:right="0"/>
              <w:jc w:val="left"/>
              <w:rPr>
                <w:rFonts w:ascii="Times New Roman" w:hAnsi="Times New Roman" w:cs="Times New Roman" w:eastAsia="Times New Roman" w:hint="default"/>
                <w:sz w:val="21"/>
                <w:szCs w:val="21"/>
              </w:rPr>
            </w:pPr>
            <w:r>
              <w:rPr>
                <w:rFonts w:ascii="Times New Roman"/>
                <w:sz w:val="21"/>
              </w:rPr>
              <w:t>0.91%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74"/>
        <w:gridCol w:w="8485"/>
      </w:tblGrid>
      <w:tr>
        <w:trPr>
          <w:trHeight w:val="1338" w:hRule="exact"/>
        </w:trPr>
        <w:tc>
          <w:tcPr>
            <w:tcW w:w="107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89"/>
              <w:jc w:val="left"/>
              <w:rPr>
                <w:rFonts w:ascii="宋体" w:hAnsi="宋体" w:cs="宋体" w:eastAsia="宋体" w:hint="default"/>
                <w:sz w:val="21"/>
                <w:szCs w:val="21"/>
              </w:rPr>
            </w:pPr>
            <w:r>
              <w:rPr>
                <w:rFonts w:ascii="宋体" w:hAnsi="宋体" w:cs="宋体" w:eastAsia="宋体" w:hint="default"/>
                <w:sz w:val="21"/>
                <w:szCs w:val="21"/>
              </w:rPr>
              <w:t>其他情况 说明</w:t>
            </w:r>
          </w:p>
        </w:tc>
        <w:tc>
          <w:tcPr>
            <w:tcW w:w="8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64" w:lineRule="auto" w:before="26"/>
              <w:ind w:left="11" w:right="10"/>
              <w:jc w:val="both"/>
              <w:rPr>
                <w:rFonts w:ascii="宋体" w:hAnsi="宋体" w:cs="宋体" w:eastAsia="宋体" w:hint="default"/>
                <w:sz w:val="21"/>
                <w:szCs w:val="21"/>
              </w:rPr>
            </w:pPr>
            <w:r>
              <w:rPr>
                <w:rFonts w:ascii="宋体" w:hAnsi="宋体" w:cs="宋体" w:eastAsia="宋体" w:hint="default"/>
                <w:sz w:val="21"/>
                <w:szCs w:val="21"/>
              </w:rPr>
              <w:t>公司投资</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RFT</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的目的是利用其所拥有的世界领先的高压直流电源技术和产品资源，双方共同 </w:t>
            </w:r>
            <w:r>
              <w:rPr>
                <w:rFonts w:ascii="宋体" w:hAnsi="宋体" w:cs="宋体" w:eastAsia="宋体" w:hint="default"/>
                <w:spacing w:val="-3"/>
                <w:sz w:val="21"/>
                <w:szCs w:val="21"/>
              </w:rPr>
              <w:t>拓展该产品中国市场，公司仅为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RFT</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的股东之一。本公司对</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RFT</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不具有控制权，不具有重大</w:t>
            </w:r>
            <w:r>
              <w:rPr>
                <w:rFonts w:ascii="宋体" w:hAnsi="宋体" w:cs="宋体" w:eastAsia="宋体" w:hint="default"/>
                <w:sz w:val="21"/>
                <w:szCs w:val="21"/>
              </w:rPr>
              <w:t> 影响，按相关法律及会计准则规定，其财务报表不纳入本公司的合并报表范围，其经营成果 对公司的财务状况和经营成果没有直接影响。</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26"/>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10"/>
        <w:rPr>
          <w:rFonts w:ascii="宋体" w:hAnsi="宋体" w:cs="宋体" w:eastAsia="宋体" w:hint="default"/>
          <w:b/>
          <w:bCs/>
          <w:sz w:val="28"/>
          <w:szCs w:val="28"/>
        </w:rPr>
      </w:pPr>
    </w:p>
    <w:p>
      <w:pPr>
        <w:spacing w:line="357" w:lineRule="auto" w:before="0"/>
        <w:ind w:left="1616" w:right="5473" w:hanging="3"/>
        <w:jc w:val="left"/>
        <w:rPr>
          <w:rFonts w:ascii="宋体" w:hAnsi="宋体" w:cs="宋体" w:eastAsia="宋体" w:hint="default"/>
          <w:sz w:val="24"/>
          <w:szCs w:val="24"/>
        </w:rPr>
      </w:pPr>
      <w:r>
        <w:rPr>
          <w:rFonts w:ascii="宋体" w:hAnsi="宋体" w:cs="宋体" w:eastAsia="宋体" w:hint="default"/>
          <w:sz w:val="24"/>
          <w:szCs w:val="24"/>
        </w:rPr>
        <w:t>公司的核心竞争力主要体现在以下几个方面： </w:t>
      </w:r>
      <w:r>
        <w:rPr>
          <w:rFonts w:ascii="宋体" w:hAnsi="宋体" w:cs="宋体" w:eastAsia="宋体" w:hint="default"/>
          <w:b/>
          <w:bCs/>
          <w:sz w:val="24"/>
          <w:szCs w:val="24"/>
        </w:rPr>
        <w:t>1</w:t>
      </w:r>
      <w:r>
        <w:rPr>
          <w:rFonts w:ascii="宋体" w:hAnsi="宋体" w:cs="宋体" w:eastAsia="宋体" w:hint="default"/>
          <w:b/>
          <w:bCs/>
          <w:sz w:val="24"/>
          <w:szCs w:val="24"/>
        </w:rPr>
        <w:t>、经营管理优势</w:t>
      </w:r>
      <w:r>
        <w:rPr>
          <w:rFonts w:ascii="宋体" w:hAnsi="宋体" w:cs="宋体" w:eastAsia="宋体" w:hint="default"/>
          <w:sz w:val="24"/>
          <w:szCs w:val="24"/>
        </w:rPr>
      </w:r>
    </w:p>
    <w:p>
      <w:pPr>
        <w:pStyle w:val="BodyText"/>
        <w:spacing w:line="357" w:lineRule="auto" w:before="36"/>
        <w:ind w:right="1129" w:firstLine="480"/>
        <w:jc w:val="both"/>
      </w:pPr>
      <w:r>
        <w:rPr/>
        <w:t>打造经营管理竞争力取得市场优势是公司核心经营理念。公司将成为优秀上市公司定为 发展战略目标，并制定了组织和管理建设规划。经过多年的努力，持续的改进，公司已经构</w:t>
      </w:r>
      <w:r>
        <w:rPr>
          <w:spacing w:val="-115"/>
        </w:rPr>
        <w:t> </w:t>
      </w:r>
      <w:r>
        <w:rPr>
          <w:spacing w:val="-115"/>
        </w:rPr>
      </w:r>
      <w:r>
        <w:rPr/>
        <w:t>建了完善的现代企业管理体系</w:t>
      </w:r>
      <w:r>
        <w:rPr>
          <w:rFonts w:ascii="宋体" w:hAnsi="宋体" w:cs="宋体" w:eastAsia="宋体" w:hint="default"/>
        </w:rPr>
        <w:t>,</w:t>
      </w:r>
      <w:r>
        <w:rPr/>
        <w:t>并且按照上市公司要求规范运作</w:t>
      </w:r>
      <w:r>
        <w:rPr>
          <w:rFonts w:ascii="宋体" w:hAnsi="宋体" w:cs="宋体" w:eastAsia="宋体" w:hint="default"/>
        </w:rPr>
        <w:t>,</w:t>
      </w:r>
      <w:r>
        <w:rPr/>
        <w:t>具有了与并购公司协同发展</w:t>
      </w:r>
      <w:r>
        <w:rPr>
          <w:spacing w:val="-109"/>
        </w:rPr>
        <w:t> </w:t>
      </w:r>
      <w:r>
        <w:rPr>
          <w:spacing w:val="-109"/>
        </w:rPr>
      </w:r>
      <w:r>
        <w:rPr/>
        <w:t>的管理能力和经验。同时，公司已建立并完善了集团管理架构，制定了以目标为导向的组织</w:t>
      </w:r>
      <w:r>
        <w:rPr>
          <w:spacing w:val="-110"/>
        </w:rPr>
        <w:t> </w:t>
      </w:r>
      <w:r>
        <w:rPr>
          <w:spacing w:val="-110"/>
        </w:rPr>
      </w:r>
      <w:r>
        <w:rPr/>
        <w:t>建设理念，导入了卓越绩效管理，以建立高效业务标准和质量持续改进为抓手，不断提升公 司经营管理能力；公司还不断加大对员工的培训投入，努力打造管理最好的经营团队，为公</w:t>
      </w:r>
      <w:r>
        <w:rPr>
          <w:spacing w:val="-106"/>
        </w:rPr>
        <w:t> </w:t>
      </w:r>
      <w:r>
        <w:rPr>
          <w:spacing w:val="-106"/>
        </w:rPr>
      </w:r>
      <w:r>
        <w:rPr/>
        <w:t>司持续发展夯实基础，为公司持续提升经营管理能力奠定了良好的基础。</w:t>
      </w:r>
    </w:p>
    <w:p>
      <w:pPr>
        <w:pStyle w:val="BodyText"/>
        <w:spacing w:line="357" w:lineRule="auto" w:before="36"/>
        <w:ind w:left="1613" w:right="1033" w:firstLine="2"/>
        <w:jc w:val="left"/>
      </w:pPr>
      <w:r>
        <w:rPr>
          <w:rFonts w:ascii="宋体" w:hAnsi="宋体" w:cs="宋体" w:eastAsia="宋体" w:hint="default"/>
          <w:b/>
          <w:bCs/>
        </w:rPr>
        <w:t>2</w:t>
      </w:r>
      <w:r>
        <w:rPr>
          <w:rFonts w:ascii="宋体" w:hAnsi="宋体" w:cs="宋体" w:eastAsia="宋体" w:hint="default"/>
          <w:b/>
          <w:bCs/>
        </w:rPr>
        <w:t>、研发优势</w:t>
      </w:r>
      <w:r>
        <w:rPr>
          <w:rFonts w:ascii="宋体" w:hAnsi="宋体" w:cs="宋体" w:eastAsia="宋体" w:hint="default"/>
          <w:b/>
          <w:bCs/>
          <w:w w:val="99"/>
        </w:rPr>
        <w:t> </w:t>
      </w:r>
      <w:r>
        <w:rPr/>
        <w:t>技术和产品是企业发展根本，公司将构建技术和产品优势确定为核心竞争力建设和公司</w:t>
      </w:r>
    </w:p>
    <w:p>
      <w:pPr>
        <w:pStyle w:val="BodyText"/>
        <w:spacing w:line="357" w:lineRule="auto" w:before="36"/>
        <w:ind w:right="1129"/>
        <w:jc w:val="both"/>
      </w:pPr>
      <w:r>
        <w:rPr/>
        <w:t>研发战略目标。经过多年的不懈努力，公司拥有了专业齐全、技术全面、经验丰富、忠诚度</w:t>
      </w:r>
      <w:r>
        <w:rPr>
          <w:spacing w:val="-116"/>
        </w:rPr>
        <w:t> </w:t>
      </w:r>
      <w:r>
        <w:rPr>
          <w:spacing w:val="-116"/>
        </w:rPr>
      </w:r>
      <w:r>
        <w:rPr/>
        <w:t>高、业绩显著以及创新能力强的研发团队，配备了软硬件处于行业领先水平、齐备的研发设 施设备，建立健全了研发管理体系及一系列激励措施，保证了公司各项产品、技术、工艺改 进以及新产品、新工艺、新技术开发的研究开发计划顺利实施，依米康和亿金环保已经获得</w:t>
      </w:r>
      <w:r>
        <w:rPr>
          <w:spacing w:val="-108"/>
        </w:rPr>
        <w:t> </w:t>
      </w:r>
      <w:r>
        <w:rPr>
          <w:spacing w:val="-108"/>
        </w:rPr>
      </w:r>
      <w:r>
        <w:rPr/>
        <w:t>“省级技术中心”认证。公司制定了提升自主研发能力规划以及技术引进规划，不断提升研</w:t>
      </w:r>
      <w:r>
        <w:rPr/>
        <w:t> 发能力，提高企业竞争优势；树立了“经营当下、关注未来”的研发理念，确保公司产品和</w:t>
      </w:r>
      <w:r>
        <w:rPr>
          <w:spacing w:val="-112"/>
        </w:rPr>
        <w:t> </w:t>
      </w:r>
      <w:r>
        <w:rPr>
          <w:spacing w:val="-112"/>
        </w:rPr>
      </w:r>
      <w:r>
        <w:rPr/>
        <w:t>解决方案不仅限于满足当下用户需求，加大投入开发未来市场所需求的技术和产品，为公司</w:t>
      </w:r>
      <w:r>
        <w:rPr>
          <w:spacing w:val="-106"/>
        </w:rPr>
        <w:t> </w:t>
      </w:r>
      <w:r>
        <w:rPr>
          <w:spacing w:val="-106"/>
        </w:rPr>
      </w:r>
      <w:r>
        <w:rPr/>
        <w:t>持续发展奠定基础。</w:t>
      </w:r>
    </w:p>
    <w:p>
      <w:pPr>
        <w:pStyle w:val="BodyText"/>
        <w:spacing w:line="357" w:lineRule="auto" w:before="36"/>
        <w:ind w:left="1613" w:right="1033" w:firstLine="2"/>
        <w:jc w:val="left"/>
      </w:pPr>
      <w:r>
        <w:rPr>
          <w:rFonts w:ascii="宋体" w:hAnsi="宋体" w:cs="宋体" w:eastAsia="宋体" w:hint="default"/>
          <w:b/>
          <w:bCs/>
        </w:rPr>
        <w:t>3</w:t>
      </w:r>
      <w:r>
        <w:rPr>
          <w:rFonts w:ascii="宋体" w:hAnsi="宋体" w:cs="宋体" w:eastAsia="宋体" w:hint="default"/>
          <w:b/>
          <w:bCs/>
        </w:rPr>
        <w:t>、产品优势</w:t>
      </w:r>
      <w:r>
        <w:rPr>
          <w:rFonts w:ascii="宋体" w:hAnsi="宋体" w:cs="宋体" w:eastAsia="宋体" w:hint="default"/>
          <w:b/>
          <w:bCs/>
          <w:w w:val="99"/>
        </w:rPr>
        <w:t> </w:t>
      </w:r>
      <w:r>
        <w:rPr/>
        <w:t>公司已拥有信息、医疗、环保治理领域的核心产品，包括精密空调、净化空调、高压直</w:t>
      </w:r>
    </w:p>
    <w:p>
      <w:pPr>
        <w:pStyle w:val="BodyText"/>
        <w:spacing w:line="357" w:lineRule="auto" w:before="36"/>
        <w:ind w:right="1133"/>
        <w:jc w:val="both"/>
      </w:pPr>
      <w:r>
        <w:rPr/>
        <w:t>流电源系统、智能监控管理系统以及除尘、脱硫、脱硝等全系列自主研发产品。公司产品以 用户需求为导向，产品实现智能化且种类和型号齐全；不仅可为用户提供规模定制化生产，</w:t>
      </w:r>
      <w:r>
        <w:rPr>
          <w:spacing w:val="-110"/>
        </w:rPr>
        <w:t> </w:t>
      </w:r>
      <w:r>
        <w:rPr>
          <w:spacing w:val="-110"/>
        </w:rPr>
      </w:r>
      <w:r>
        <w:rPr/>
        <w:t>还能为用户提供设备一体化解决方案，尤其在产品节能方面具有行业领先的优势。公司产品</w:t>
      </w:r>
    </w:p>
    <w:p>
      <w:pPr>
        <w:spacing w:after="0" w:line="357" w:lineRule="auto"/>
        <w:jc w:val="both"/>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right="1132"/>
        <w:jc w:val="both"/>
      </w:pPr>
      <w:r>
        <w:rPr/>
        <w:t>质量优质、可靠，连续多年中标运营商和中央政府集采；</w:t>
      </w:r>
      <w:r>
        <w:rPr>
          <w:rFonts w:ascii="宋体" w:hAnsi="宋体" w:cs="宋体" w:eastAsia="宋体" w:hint="default"/>
        </w:rPr>
        <w:t>2015</w:t>
      </w:r>
      <w:r>
        <w:rPr>
          <w:rFonts w:ascii="宋体" w:hAnsi="宋体" w:cs="宋体" w:eastAsia="宋体" w:hint="default"/>
          <w:spacing w:val="-81"/>
        </w:rPr>
        <w:t> </w:t>
      </w:r>
      <w:r>
        <w:rPr/>
        <w:t>年入围中国银行，成为中国银 行首选国内品牌。在国家“中国制造</w:t>
      </w:r>
      <w:r>
        <w:rPr>
          <w:spacing w:val="-81"/>
        </w:rPr>
        <w:t> </w:t>
      </w:r>
      <w:r>
        <w:rPr>
          <w:rFonts w:ascii="宋体" w:hAnsi="宋体" w:cs="宋体" w:eastAsia="宋体" w:hint="default"/>
        </w:rPr>
        <w:t>2025</w:t>
      </w:r>
      <w:r>
        <w:rPr/>
        <w:t>”推动下，公司正积极规划基于互联网支撑智能化 定制产品生产方式，确保公司产品和服务满足未来用户需求。</w:t>
      </w:r>
    </w:p>
    <w:p>
      <w:pPr>
        <w:pStyle w:val="BodyText"/>
        <w:spacing w:line="357" w:lineRule="auto" w:before="36"/>
        <w:ind w:left="1613" w:right="1033" w:firstLine="2"/>
        <w:jc w:val="left"/>
      </w:pPr>
      <w:r>
        <w:rPr>
          <w:rFonts w:ascii="宋体" w:hAnsi="宋体" w:cs="宋体" w:eastAsia="宋体" w:hint="default"/>
          <w:b/>
          <w:bCs/>
        </w:rPr>
        <w:t>4</w:t>
      </w:r>
      <w:r>
        <w:rPr>
          <w:rFonts w:ascii="宋体" w:hAnsi="宋体" w:cs="宋体" w:eastAsia="宋体" w:hint="default"/>
          <w:b/>
          <w:bCs/>
        </w:rPr>
        <w:t>、品牌优势</w:t>
      </w:r>
      <w:r>
        <w:rPr>
          <w:rFonts w:ascii="宋体" w:hAnsi="宋体" w:cs="宋体" w:eastAsia="宋体" w:hint="default"/>
          <w:b/>
          <w:bCs/>
          <w:w w:val="99"/>
        </w:rPr>
        <w:t> </w:t>
      </w:r>
      <w:r>
        <w:rPr/>
        <w:t>公司是国内同类企业中唯一一家上市公司，已拥有较好的品牌美誉度，也为公司排除了</w:t>
      </w:r>
    </w:p>
    <w:p>
      <w:pPr>
        <w:pStyle w:val="BodyText"/>
        <w:spacing w:line="357" w:lineRule="auto" w:before="36"/>
        <w:ind w:right="1129"/>
        <w:jc w:val="both"/>
      </w:pPr>
      <w:r>
        <w:rPr/>
        <w:t>相关行业品牌壁垒。报告期内，公司继续秉承“品牌经营”理念，大用户数量持续增加，已</w:t>
      </w:r>
      <w:r>
        <w:rPr>
          <w:spacing w:val="-108"/>
        </w:rPr>
        <w:t> </w:t>
      </w:r>
      <w:r>
        <w:rPr>
          <w:spacing w:val="-108"/>
        </w:rPr>
      </w:r>
      <w:r>
        <w:rPr/>
        <w:t>经形成了较好的品牌影响力；目前，公司制订了“冠军品牌’规划，以进一步巩固和提升公</w:t>
      </w:r>
      <w:r>
        <w:rPr>
          <w:spacing w:val="-101"/>
        </w:rPr>
        <w:t> </w:t>
      </w:r>
      <w:r>
        <w:rPr>
          <w:spacing w:val="-101"/>
        </w:rPr>
      </w:r>
      <w:r>
        <w:rPr/>
        <w:t>司的品牌优势。</w:t>
      </w:r>
    </w:p>
    <w:p>
      <w:pPr>
        <w:pStyle w:val="BodyText"/>
        <w:spacing w:line="357" w:lineRule="auto" w:before="36"/>
        <w:ind w:left="1613" w:right="1033" w:firstLine="2"/>
        <w:jc w:val="left"/>
      </w:pPr>
      <w:r>
        <w:rPr>
          <w:rFonts w:ascii="宋体" w:hAnsi="宋体" w:cs="宋体" w:eastAsia="宋体" w:hint="default"/>
          <w:b/>
          <w:bCs/>
        </w:rPr>
        <w:t>5</w:t>
      </w:r>
      <w:r>
        <w:rPr>
          <w:rFonts w:ascii="宋体" w:hAnsi="宋体" w:cs="宋体" w:eastAsia="宋体" w:hint="default"/>
          <w:b/>
          <w:bCs/>
        </w:rPr>
        <w:t>、服务优势</w:t>
      </w:r>
      <w:r>
        <w:rPr>
          <w:rFonts w:ascii="宋体" w:hAnsi="宋体" w:cs="宋体" w:eastAsia="宋体" w:hint="default"/>
          <w:b/>
          <w:bCs/>
          <w:w w:val="99"/>
        </w:rPr>
        <w:t> </w:t>
      </w:r>
      <w:r>
        <w:rPr/>
        <w:t>公司始终坚持“以用户需求为导向”的服务战略，持续打造服务优势。报告期内，公司</w:t>
      </w:r>
    </w:p>
    <w:p>
      <w:pPr>
        <w:pStyle w:val="BodyText"/>
        <w:spacing w:line="357" w:lineRule="auto" w:before="36"/>
        <w:ind w:right="1131"/>
        <w:jc w:val="both"/>
      </w:pPr>
      <w:r>
        <w:rPr/>
        <w:t>持续加强营销服务网络建设，已经构建了覆盖全国主要城市的营销服务网络，可为用户提供</w:t>
      </w:r>
      <w:r>
        <w:rPr>
          <w:spacing w:val="-108"/>
        </w:rPr>
        <w:t> </w:t>
      </w:r>
      <w:r>
        <w:rPr>
          <w:spacing w:val="-108"/>
        </w:rPr>
      </w:r>
      <w:r>
        <w:rPr>
          <w:rFonts w:ascii="宋体" w:hAnsi="宋体" w:cs="宋体" w:eastAsia="宋体" w:hint="default"/>
        </w:rPr>
        <w:t>7X24</w:t>
      </w:r>
      <w:r>
        <w:rPr>
          <w:rFonts w:ascii="宋体" w:hAnsi="宋体" w:cs="宋体" w:eastAsia="宋体" w:hint="default"/>
          <w:spacing w:val="-60"/>
        </w:rPr>
        <w:t> </w:t>
      </w:r>
      <w:r>
        <w:rPr/>
        <w:t>小时快捷服务，大大提升了客户服务能力，确保实现“用户满意”的服务承诺。</w:t>
      </w:r>
    </w:p>
    <w:p>
      <w:pPr>
        <w:pStyle w:val="BodyText"/>
        <w:spacing w:line="357" w:lineRule="auto" w:before="36"/>
        <w:ind w:left="1613" w:right="994" w:firstLine="2"/>
        <w:jc w:val="left"/>
      </w:pPr>
      <w:r>
        <w:rPr>
          <w:rFonts w:ascii="宋体" w:hAnsi="宋体" w:cs="宋体" w:eastAsia="宋体" w:hint="default"/>
          <w:b/>
          <w:bCs/>
        </w:rPr>
        <w:t>6</w:t>
      </w:r>
      <w:r>
        <w:rPr>
          <w:rFonts w:ascii="宋体" w:hAnsi="宋体" w:cs="宋体" w:eastAsia="宋体" w:hint="default"/>
          <w:b/>
          <w:bCs/>
        </w:rPr>
        <w:t>、稳定的客户</w:t>
      </w:r>
      <w:r>
        <w:rPr>
          <w:rFonts w:ascii="宋体" w:hAnsi="宋体" w:cs="宋体" w:eastAsia="宋体" w:hint="default"/>
          <w:b/>
          <w:bCs/>
          <w:w w:val="99"/>
        </w:rPr>
        <w:t> </w:t>
      </w:r>
      <w:r>
        <w:rPr>
          <w:spacing w:val="-3"/>
        </w:rPr>
        <w:t>公司所处行业的用户具有粘性较强的特点，公司凭借领先的技术优势、可靠的产品质量、</w:t>
      </w:r>
    </w:p>
    <w:p>
      <w:pPr>
        <w:pStyle w:val="BodyText"/>
        <w:spacing w:line="357" w:lineRule="auto" w:before="36"/>
        <w:ind w:right="1129"/>
        <w:jc w:val="both"/>
      </w:pPr>
      <w:r>
        <w:rPr/>
        <w:t>专业的工程服务以及无忧的售后服务，赢得了广大用户的信赖。公司已与国内通信、医疗、</w:t>
      </w:r>
      <w:r>
        <w:rPr>
          <w:spacing w:val="-110"/>
        </w:rPr>
        <w:t> </w:t>
      </w:r>
      <w:r>
        <w:rPr>
          <w:spacing w:val="-110"/>
        </w:rPr>
      </w:r>
      <w:r>
        <w:rPr/>
        <w:t>金融、交通、能源、知名企业等行业、领域的龙头企业及政府部门建立了长期、稳定的合作 关系。报告期内，公司在稳固原有客户资源的基础上，在军队、金融、电力、数据中心等行</w:t>
      </w:r>
      <w:r>
        <w:rPr>
          <w:spacing w:val="-108"/>
        </w:rPr>
        <w:t> </w:t>
      </w:r>
      <w:r>
        <w:rPr>
          <w:spacing w:val="-108"/>
        </w:rPr>
      </w:r>
      <w:r>
        <w:rPr/>
        <w:t>业的新客户资源开拓工作中取得了较大的进展。</w:t>
      </w:r>
    </w:p>
    <w:p>
      <w:pPr>
        <w:pStyle w:val="Heading3"/>
        <w:spacing w:line="240" w:lineRule="auto" w:before="36"/>
        <w:ind w:left="1616" w:right="1033"/>
        <w:jc w:val="left"/>
        <w:rPr>
          <w:b w:val="0"/>
          <w:bCs w:val="0"/>
        </w:rPr>
      </w:pPr>
      <w:r>
        <w:rPr>
          <w:rFonts w:ascii="宋体" w:hAnsi="宋体" w:cs="宋体" w:eastAsia="宋体" w:hint="default"/>
        </w:rPr>
        <w:t>7</w:t>
      </w:r>
      <w:r>
        <w:rPr/>
        <w:t>、创新能力优势</w:t>
      </w:r>
      <w:r>
        <w:rPr>
          <w:b w:val="0"/>
          <w:bCs w:val="0"/>
        </w:rPr>
      </w:r>
    </w:p>
    <w:p>
      <w:pPr>
        <w:pStyle w:val="BodyText"/>
        <w:spacing w:line="357" w:lineRule="auto" w:before="154"/>
        <w:ind w:right="994" w:firstLine="480"/>
        <w:jc w:val="left"/>
      </w:pPr>
      <w:r>
        <w:rPr>
          <w:spacing w:val="-7"/>
        </w:rPr>
        <w:t>报告期内，公司持续推动多种形式的创新引领业务活动，共新获得</w:t>
      </w:r>
      <w:r>
        <w:rPr>
          <w:spacing w:val="-60"/>
        </w:rPr>
        <w:t> </w:t>
      </w:r>
      <w:r>
        <w:rPr>
          <w:rFonts w:ascii="宋体" w:hAnsi="宋体" w:cs="宋体" w:eastAsia="宋体" w:hint="default"/>
        </w:rPr>
        <w:t>12</w:t>
      </w:r>
      <w:r>
        <w:rPr>
          <w:rFonts w:ascii="宋体" w:hAnsi="宋体" w:cs="宋体" w:eastAsia="宋体" w:hint="default"/>
          <w:spacing w:val="-60"/>
        </w:rPr>
        <w:t> </w:t>
      </w:r>
      <w:r>
        <w:rPr/>
        <w:t>项实用新型专利权、 </w:t>
      </w:r>
      <w:r>
        <w:rPr>
          <w:rFonts w:ascii="宋体" w:hAnsi="宋体" w:cs="宋体" w:eastAsia="宋体" w:hint="default"/>
        </w:rPr>
        <w:t>3</w:t>
      </w:r>
      <w:r>
        <w:rPr>
          <w:rFonts w:ascii="宋体" w:hAnsi="宋体" w:cs="宋体" w:eastAsia="宋体" w:hint="default"/>
          <w:spacing w:val="-67"/>
        </w:rPr>
        <w:t> </w:t>
      </w:r>
      <w:r>
        <w:rPr/>
        <w:t>项发明专利权、</w:t>
      </w:r>
      <w:r>
        <w:rPr>
          <w:rFonts w:ascii="宋体" w:hAnsi="宋体" w:cs="宋体" w:eastAsia="宋体" w:hint="default"/>
        </w:rPr>
        <w:t>10</w:t>
      </w:r>
      <w:r>
        <w:rPr>
          <w:rFonts w:ascii="宋体" w:hAnsi="宋体" w:cs="宋体" w:eastAsia="宋体" w:hint="default"/>
          <w:spacing w:val="-67"/>
        </w:rPr>
        <w:t> </w:t>
      </w:r>
      <w:r>
        <w:rPr/>
        <w:t>项计算机软件著作权、</w:t>
      </w:r>
      <w:r>
        <w:rPr>
          <w:rFonts w:ascii="宋体" w:hAnsi="宋体" w:cs="宋体" w:eastAsia="宋体" w:hint="default"/>
        </w:rPr>
        <w:t>3</w:t>
      </w:r>
      <w:r>
        <w:rPr>
          <w:rFonts w:ascii="宋体" w:hAnsi="宋体" w:cs="宋体" w:eastAsia="宋体" w:hint="default"/>
          <w:spacing w:val="-67"/>
        </w:rPr>
        <w:t> </w:t>
      </w:r>
      <w:r>
        <w:rPr/>
        <w:t>项软件产品登记证书公司，完成了从产品销售、 工程承包到位用户全面提供整体解决方案服务转型；大大提升了公司业务发展空间和市场竞</w:t>
      </w:r>
      <w:r>
        <w:rPr>
          <w:spacing w:val="-106"/>
        </w:rPr>
        <w:t> </w:t>
      </w:r>
      <w:r>
        <w:rPr>
          <w:spacing w:val="-106"/>
        </w:rPr>
      </w:r>
      <w:r>
        <w:rPr/>
        <w:t>争力，确保公司持续稳定发展。</w:t>
      </w:r>
    </w:p>
    <w:p>
      <w:pPr>
        <w:spacing w:after="0" w:line="357"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right="993"/>
        <w:jc w:val="center"/>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9"/>
        </w:rPr>
        <w:t> </w:t>
      </w:r>
      <w:r>
        <w:rPr/>
        <w:t>管理层讨论与分析</w:t>
      </w:r>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2"/>
          <w:szCs w:val="22"/>
        </w:rPr>
      </w:pPr>
    </w:p>
    <w:p>
      <w:pPr>
        <w:pStyle w:val="Heading3"/>
        <w:tabs>
          <w:tab w:pos="2121" w:val="left" w:leader="none"/>
        </w:tabs>
        <w:spacing w:line="240" w:lineRule="auto" w:before="26"/>
        <w:ind w:left="1439" w:right="1033"/>
        <w:jc w:val="left"/>
        <w:rPr>
          <w:b w:val="0"/>
          <w:bCs w:val="0"/>
        </w:rPr>
      </w:pPr>
      <w:bookmarkStart w:name="一、 概述" w:id="24"/>
      <w:bookmarkEnd w:id="24"/>
      <w:r>
        <w:rPr>
          <w:b w:val="0"/>
          <w:bCs w:val="0"/>
        </w:rPr>
      </w:r>
      <w:r>
        <w:rPr>
          <w:w w:val="95"/>
        </w:rPr>
        <w:t>一、</w:t>
        <w:tab/>
      </w:r>
      <w:r>
        <w:rPr/>
        <w:t>概述</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left="1440" w:right="1033" w:firstLine="480"/>
        <w:jc w:val="left"/>
      </w:pPr>
      <w:r>
        <w:rPr>
          <w:spacing w:val="-3"/>
        </w:rPr>
        <w:t>报告期内，公司对宏观经济形势、公司所处产业和行业的发展趋势、公司主营业务</w:t>
      </w:r>
      <w:r>
        <w:rPr/>
        <w:t> </w:t>
      </w:r>
      <w:r>
        <w:rPr>
          <w:spacing w:val="-3"/>
        </w:rPr>
        <w:t>的市场地位和主要竞争对手情况、公司主要竞争优势和面临的困难及经营风险等内外部</w:t>
      </w:r>
      <w:r>
        <w:rPr>
          <w:spacing w:val="-100"/>
        </w:rPr>
        <w:t> </w:t>
      </w:r>
      <w:r>
        <w:rPr>
          <w:spacing w:val="-100"/>
        </w:rPr>
      </w:r>
      <w:r>
        <w:rPr>
          <w:spacing w:val="-6"/>
        </w:rPr>
        <w:t>经营环境进行了全面、客观分析，明确了公司的发展战略规划为：全力打造信息、医疗、</w:t>
      </w:r>
      <w:r>
        <w:rPr>
          <w:spacing w:val="-102"/>
        </w:rPr>
        <w:t> </w:t>
      </w:r>
      <w:r>
        <w:rPr>
          <w:spacing w:val="-102"/>
        </w:rPr>
      </w:r>
      <w:r>
        <w:rPr>
          <w:spacing w:val="-9"/>
        </w:rPr>
        <w:t>环保三大业务板块；“以用户和市场需求为导向”、“以发展先进技术和产品”为基础，</w:t>
      </w:r>
      <w:r>
        <w:rPr/>
        <w:t> </w:t>
      </w:r>
      <w:r>
        <w:rPr>
          <w:spacing w:val="-6"/>
        </w:rPr>
        <w:t>以“为客户提供综合整体解决方案”为经营模式，通过打造“品牌、专业、人才、资金”</w:t>
      </w:r>
      <w:r>
        <w:rPr>
          <w:spacing w:val="-106"/>
        </w:rPr>
        <w:t> </w:t>
      </w:r>
      <w:r>
        <w:rPr>
          <w:spacing w:val="-106"/>
        </w:rPr>
      </w:r>
      <w:r>
        <w:rPr>
          <w:spacing w:val="-6"/>
        </w:rPr>
        <w:t>优势，形成公司的“领先技术、优质产品、成本优势”核心竞争力，成为“冠军品牌”，</w:t>
      </w:r>
      <w:r>
        <w:rPr>
          <w:spacing w:val="-105"/>
        </w:rPr>
        <w:t> </w:t>
      </w:r>
      <w:r>
        <w:rPr>
          <w:spacing w:val="-105"/>
        </w:rPr>
      </w:r>
      <w:r>
        <w:rPr>
          <w:spacing w:val="-3"/>
        </w:rPr>
        <w:t>实现跨越式发展。同时</w:t>
      </w:r>
      <w:r>
        <w:rPr>
          <w:rFonts w:ascii="宋体" w:hAnsi="宋体" w:cs="宋体" w:eastAsia="宋体" w:hint="default"/>
          <w:spacing w:val="-3"/>
        </w:rPr>
        <w:t>,</w:t>
      </w:r>
      <w:r>
        <w:rPr>
          <w:spacing w:val="-3"/>
        </w:rPr>
        <w:t>积极关注国家新型战略产业发展机遇，秉承创业精神</w:t>
      </w:r>
      <w:r>
        <w:rPr>
          <w:rFonts w:ascii="宋体" w:hAnsi="宋体" w:cs="宋体" w:eastAsia="宋体" w:hint="default"/>
          <w:spacing w:val="-3"/>
        </w:rPr>
        <w:t>,</w:t>
      </w:r>
      <w:r>
        <w:rPr>
          <w:spacing w:val="-3"/>
        </w:rPr>
        <w:t>不断追寻</w:t>
      </w:r>
      <w:r>
        <w:rPr>
          <w:spacing w:val="-97"/>
        </w:rPr>
        <w:t> </w:t>
      </w:r>
      <w:r>
        <w:rPr/>
        <w:t>新的发展机遇，实现持续发展。</w:t>
      </w:r>
      <w:r>
        <w:rPr>
          <w:rFonts w:ascii="宋体" w:hAnsi="宋体" w:cs="宋体" w:eastAsia="宋体" w:hint="default"/>
        </w:rPr>
        <w:t>2015 </w:t>
      </w:r>
      <w:r>
        <w:rPr/>
        <w:t>年，公司的工作重点主要落实在发展规划实施、</w:t>
      </w:r>
      <w:r>
        <w:rPr>
          <w:spacing w:val="-114"/>
        </w:rPr>
        <w:t> </w:t>
      </w:r>
      <w:r>
        <w:rPr>
          <w:spacing w:val="-114"/>
        </w:rPr>
      </w:r>
      <w:r>
        <w:rPr>
          <w:spacing w:val="-3"/>
        </w:rPr>
        <w:t>人力资源、业务平台建设、对外投资、预算与资金五大方面。报告期内，公司的相关工</w:t>
      </w:r>
      <w:r>
        <w:rPr>
          <w:spacing w:val="-106"/>
        </w:rPr>
        <w:t> </w:t>
      </w:r>
      <w:r>
        <w:rPr>
          <w:spacing w:val="-106"/>
        </w:rPr>
      </w:r>
      <w:r>
        <w:rPr/>
        <w:t>作计划得到有效的实施，并取得了较好的成效，具体情况如下：</w:t>
      </w:r>
    </w:p>
    <w:p>
      <w:pPr>
        <w:pStyle w:val="Heading3"/>
        <w:spacing w:line="240" w:lineRule="auto" w:before="36"/>
        <w:ind w:left="1922" w:right="1033"/>
        <w:jc w:val="left"/>
        <w:rPr>
          <w:b w:val="0"/>
          <w:bCs w:val="0"/>
        </w:rPr>
      </w:pPr>
      <w:r>
        <w:rPr>
          <w:rFonts w:ascii="宋体" w:hAnsi="宋体" w:cs="宋体" w:eastAsia="宋体" w:hint="default"/>
        </w:rPr>
        <w:t>1</w:t>
      </w:r>
      <w:r>
        <w:rPr/>
        <w:t>、管理方面</w:t>
      </w:r>
      <w:r>
        <w:rPr>
          <w:b w:val="0"/>
          <w:bCs w:val="0"/>
        </w:rPr>
      </w:r>
    </w:p>
    <w:p>
      <w:pPr>
        <w:pStyle w:val="BodyText"/>
        <w:spacing w:line="357" w:lineRule="auto" w:before="154"/>
        <w:ind w:left="1439" w:right="1033" w:firstLine="480"/>
        <w:jc w:val="left"/>
      </w:pPr>
      <w:r>
        <w:rPr>
          <w:spacing w:val="-3"/>
        </w:rPr>
        <w:t>（</w:t>
      </w:r>
      <w:r>
        <w:rPr>
          <w:rFonts w:ascii="宋体" w:hAnsi="宋体" w:cs="宋体" w:eastAsia="宋体" w:hint="default"/>
          <w:spacing w:val="-3"/>
        </w:rPr>
        <w:t>1</w:t>
      </w:r>
      <w:r>
        <w:rPr>
          <w:spacing w:val="-3"/>
        </w:rPr>
        <w:t>）完善公司的管理体系，加强宣贯和执行，持续提升公司治理水平。报告期内，</w:t>
      </w:r>
      <w:r>
        <w:rPr/>
        <w:t> 公司及子公司根据年初制定的 </w:t>
      </w:r>
      <w:r>
        <w:rPr>
          <w:rFonts w:ascii="宋体" w:hAnsi="宋体" w:cs="宋体" w:eastAsia="宋体" w:hint="default"/>
        </w:rPr>
        <w:t>2015</w:t>
      </w:r>
      <w:r>
        <w:rPr>
          <w:rFonts w:ascii="宋体" w:hAnsi="宋体" w:cs="宋体" w:eastAsia="宋体" w:hint="default"/>
          <w:spacing w:val="-94"/>
        </w:rPr>
        <w:t> </w:t>
      </w:r>
      <w:r>
        <w:rPr/>
        <w:t>年度管理体系完善工作计划，继续通过开展“效率 </w:t>
      </w:r>
      <w:r>
        <w:rPr>
          <w:spacing w:val="-3"/>
        </w:rPr>
        <w:t>工程”和“复盘工程”等管理活动，在对管理体系评估并制定改进计划的基础上，落实</w:t>
      </w:r>
      <w:r>
        <w:rPr>
          <w:spacing w:val="-105"/>
        </w:rPr>
        <w:t> </w:t>
      </w:r>
      <w:r>
        <w:rPr>
          <w:spacing w:val="-105"/>
        </w:rPr>
      </w:r>
      <w:r>
        <w:rPr>
          <w:spacing w:val="-3"/>
        </w:rPr>
        <w:t>各项改进措施，并组织公司各级人员深入学习、理解管理体系要求，加强对各项管理制</w:t>
      </w:r>
      <w:r>
        <w:rPr>
          <w:spacing w:val="-102"/>
        </w:rPr>
        <w:t> </w:t>
      </w:r>
      <w:r>
        <w:rPr>
          <w:spacing w:val="-102"/>
        </w:rPr>
      </w:r>
      <w:r>
        <w:rPr>
          <w:spacing w:val="-3"/>
        </w:rPr>
        <w:t>度日常执行情况检查，及时发现问题并组织整改，有效地提升了公司全体员工的工作意</w:t>
      </w:r>
      <w:r>
        <w:rPr>
          <w:spacing w:val="-100"/>
        </w:rPr>
        <w:t> </w:t>
      </w:r>
      <w:r>
        <w:rPr>
          <w:spacing w:val="-100"/>
        </w:rPr>
      </w:r>
      <w:r>
        <w:rPr/>
        <w:t>识和整体治理水平。</w:t>
      </w:r>
    </w:p>
    <w:p>
      <w:pPr>
        <w:pStyle w:val="BodyText"/>
        <w:spacing w:line="357" w:lineRule="auto" w:before="36"/>
        <w:ind w:left="1439" w:right="1317" w:firstLine="480"/>
        <w:jc w:val="left"/>
      </w:pPr>
      <w:r>
        <w:rPr/>
        <w:t>（</w:t>
      </w:r>
      <w:r>
        <w:rPr>
          <w:rFonts w:ascii="宋体" w:hAnsi="宋体" w:cs="宋体" w:eastAsia="宋体" w:hint="default"/>
        </w:rPr>
        <w:t>2</w:t>
      </w:r>
      <w:r>
        <w:rPr/>
        <w:t>）加强企业文化建设。报告期内，结合公司的发展战略规划，对公司核心价值 </w:t>
      </w:r>
      <w:r>
        <w:rPr>
          <w:spacing w:val="-3"/>
        </w:rPr>
        <w:t>观“立信、精业、兼容、至善”进行了落地式的诠释与定义，同时建立了《新闻运行体</w:t>
      </w:r>
      <w:r>
        <w:rPr>
          <w:spacing w:val="-104"/>
        </w:rPr>
        <w:t> </w:t>
      </w:r>
      <w:r>
        <w:rPr>
          <w:spacing w:val="-104"/>
        </w:rPr>
      </w:r>
      <w:r>
        <w:rPr>
          <w:spacing w:val="-7"/>
        </w:rPr>
        <w:t>系管理机制》，通过公司网站、公司看板、</w:t>
      </w:r>
      <w:r>
        <w:rPr>
          <w:rFonts w:ascii="宋体" w:hAnsi="宋体" w:cs="宋体" w:eastAsia="宋体" w:hint="default"/>
          <w:spacing w:val="-7"/>
        </w:rPr>
        <w:t>OA</w:t>
      </w:r>
      <w:r>
        <w:rPr>
          <w:rFonts w:ascii="宋体" w:hAnsi="宋体" w:cs="宋体" w:eastAsia="宋体" w:hint="default"/>
          <w:spacing w:val="-53"/>
        </w:rPr>
        <w:t> </w:t>
      </w:r>
      <w:r>
        <w:rPr>
          <w:spacing w:val="-2"/>
        </w:rPr>
        <w:t>系统新闻、微信公众平台、工会活动、各</w:t>
      </w:r>
      <w:r>
        <w:rPr>
          <w:spacing w:val="-105"/>
        </w:rPr>
        <w:t> </w:t>
      </w:r>
      <w:r>
        <w:rPr>
          <w:spacing w:val="-105"/>
        </w:rPr>
      </w:r>
      <w:r>
        <w:rPr>
          <w:spacing w:val="-3"/>
        </w:rPr>
        <w:t>种形式的讨论会等多种渠道持续开展公司价值观宣贯活动，鼓励员工恪守职责、信守承</w:t>
      </w:r>
      <w:r>
        <w:rPr>
          <w:spacing w:val="-100"/>
        </w:rPr>
        <w:t> </w:t>
      </w:r>
      <w:r>
        <w:rPr>
          <w:spacing w:val="-100"/>
        </w:rPr>
      </w:r>
      <w:r>
        <w:rPr>
          <w:spacing w:val="-3"/>
        </w:rPr>
        <w:t>诺、敢于担当、敢于创新、兼收并蓄、追求卓越，强化全体员工对公司价值观的深入理</w:t>
      </w:r>
      <w:r>
        <w:rPr>
          <w:spacing w:val="-106"/>
        </w:rPr>
        <w:t> </w:t>
      </w:r>
      <w:r>
        <w:rPr>
          <w:spacing w:val="-106"/>
        </w:rPr>
      </w:r>
      <w:r>
        <w:rPr>
          <w:spacing w:val="3"/>
        </w:rPr>
        <w:t>解与认识，有效地提升了企业文化建设对公司持续发展的促进作用；同时，通过公司</w:t>
      </w:r>
      <w:r>
        <w:rPr>
          <w:spacing w:val="-102"/>
        </w:rPr>
        <w:t> </w:t>
      </w:r>
      <w:r>
        <w:rPr>
          <w:spacing w:val="-102"/>
        </w:rPr>
      </w:r>
      <w:r>
        <w:rPr>
          <w:rFonts w:ascii="宋体" w:hAnsi="宋体" w:cs="宋体" w:eastAsia="宋体" w:hint="default"/>
        </w:rPr>
        <w:t>OA</w:t>
      </w:r>
      <w:r>
        <w:rPr>
          <w:rFonts w:ascii="宋体" w:hAnsi="宋体" w:cs="宋体" w:eastAsia="宋体" w:hint="default"/>
          <w:spacing w:val="1"/>
        </w:rPr>
        <w:t> </w:t>
      </w:r>
      <w:r>
        <w:rPr/>
        <w:t>系统“建议、投诉、交流”平台、公司微信公众平台、微信群、丰富多彩的工会活 </w:t>
      </w:r>
      <w:r>
        <w:rPr>
          <w:spacing w:val="-6"/>
        </w:rPr>
        <w:t>动等渠道，促进员工间的内部交流、分享和关怀，增加了企业凝聚力、提升员工归宿感，</w:t>
      </w:r>
      <w:r>
        <w:rPr>
          <w:spacing w:val="-102"/>
        </w:rPr>
        <w:t> </w:t>
      </w:r>
      <w:r>
        <w:rPr>
          <w:spacing w:val="-102"/>
        </w:rPr>
      </w:r>
      <w:r>
        <w:rPr/>
        <w:t>形成了员工与公司和谐发展的良好氛围。</w:t>
      </w:r>
    </w:p>
    <w:p>
      <w:pPr>
        <w:spacing w:after="0" w:line="357"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4"/>
        <w:ind w:left="1440" w:right="1436" w:firstLine="480"/>
        <w:jc w:val="both"/>
      </w:pPr>
      <w:r>
        <w:rPr/>
        <w:t>（</w:t>
      </w:r>
      <w:r>
        <w:rPr>
          <w:rFonts w:ascii="宋体" w:hAnsi="宋体" w:cs="宋体" w:eastAsia="宋体" w:hint="default"/>
        </w:rPr>
        <w:t>3</w:t>
      </w:r>
      <w:r>
        <w:rPr/>
        <w:t>）加强组织能力建设。报告期内，根据公司经营目标，管理层组织制定了公司 及子公司的 </w:t>
      </w:r>
      <w:r>
        <w:rPr>
          <w:rFonts w:ascii="宋体" w:hAnsi="宋体" w:cs="宋体" w:eastAsia="宋体" w:hint="default"/>
        </w:rPr>
        <w:t>2015</w:t>
      </w:r>
      <w:r>
        <w:rPr>
          <w:rFonts w:ascii="宋体" w:hAnsi="宋体" w:cs="宋体" w:eastAsia="宋体" w:hint="default"/>
          <w:spacing w:val="-94"/>
        </w:rPr>
        <w:t> </w:t>
      </w:r>
      <w:r>
        <w:rPr/>
        <w:t>年度组织能力建设计划，继续推行“三定三优三升”方针，开展了多 </w:t>
      </w:r>
      <w:r>
        <w:rPr>
          <w:spacing w:val="-3"/>
        </w:rPr>
        <w:t>种形式、多层次的组织能力建设活动，包括组织架构优化调整、人事任免、公司发展战</w:t>
      </w:r>
      <w:r>
        <w:rPr>
          <w:spacing w:val="-102"/>
        </w:rPr>
        <w:t> </w:t>
      </w:r>
      <w:r>
        <w:rPr>
          <w:spacing w:val="-102"/>
        </w:rPr>
      </w:r>
      <w:r>
        <w:rPr>
          <w:spacing w:val="-3"/>
        </w:rPr>
        <w:t>略和企业文化宣贯、管理体系优化、薪酬管理体系和绩效考核体系推行以及公司业务人</w:t>
      </w:r>
      <w:r>
        <w:rPr>
          <w:spacing w:val="-100"/>
        </w:rPr>
        <w:t> </w:t>
      </w:r>
      <w:r>
        <w:rPr>
          <w:spacing w:val="-100"/>
        </w:rPr>
      </w:r>
      <w:r>
        <w:rPr>
          <w:spacing w:val="-3"/>
        </w:rPr>
        <w:t>才和管理人才的引进和培养计划实施等工作，以打造高效、精业的管理和专家团队，确</w:t>
      </w:r>
      <w:r>
        <w:rPr>
          <w:spacing w:val="-102"/>
        </w:rPr>
        <w:t> </w:t>
      </w:r>
      <w:r>
        <w:rPr>
          <w:spacing w:val="-102"/>
        </w:rPr>
      </w:r>
      <w:r>
        <w:rPr/>
        <w:t>保公司经营计划的顺利开展。</w:t>
      </w:r>
    </w:p>
    <w:p>
      <w:pPr>
        <w:pStyle w:val="BodyText"/>
        <w:spacing w:line="357" w:lineRule="auto" w:before="36"/>
        <w:ind w:left="1440" w:right="1326" w:firstLine="480"/>
        <w:jc w:val="left"/>
      </w:pPr>
      <w:r>
        <w:rPr/>
        <w:t>（</w:t>
      </w:r>
      <w:r>
        <w:rPr>
          <w:rFonts w:ascii="宋体" w:hAnsi="宋体" w:cs="宋体" w:eastAsia="宋体" w:hint="default"/>
        </w:rPr>
        <w:t>4</w:t>
      </w:r>
      <w:r>
        <w:rPr/>
        <w:t>）加强目标责任制管理。报告期内，公司组织各经营单位确定年度经营指标并 分解到各成本中心、部门、岗位；成立了以公司高级管理人员组成的指标管理委员会， </w:t>
      </w:r>
      <w:r>
        <w:rPr>
          <w:spacing w:val="-3"/>
        </w:rPr>
        <w:t>每月召开指标回顾和定向管理纠错会议，及时对经营绩效指标达成及工作计划实施情况</w:t>
      </w:r>
      <w:r>
        <w:rPr>
          <w:spacing w:val="-100"/>
        </w:rPr>
        <w:t> </w:t>
      </w:r>
      <w:r>
        <w:rPr>
          <w:spacing w:val="-100"/>
        </w:rPr>
      </w:r>
      <w:r>
        <w:rPr/>
        <w:t>进行分析总结并制定改进措施、明确下一阶段的工作计划，对经营过程实施有效管理， 较好地推动了各项经营计划的实施、确保经营目标指标的达成。</w:t>
      </w:r>
    </w:p>
    <w:p>
      <w:pPr>
        <w:pStyle w:val="BodyText"/>
        <w:spacing w:line="357" w:lineRule="auto" w:before="36"/>
        <w:ind w:left="1440" w:right="1317" w:firstLine="480"/>
        <w:jc w:val="left"/>
      </w:pPr>
      <w:r>
        <w:rPr>
          <w:spacing w:val="-3"/>
        </w:rPr>
        <w:t>（</w:t>
      </w:r>
      <w:r>
        <w:rPr>
          <w:rFonts w:ascii="宋体" w:hAnsi="宋体" w:cs="宋体" w:eastAsia="宋体" w:hint="default"/>
          <w:spacing w:val="-3"/>
        </w:rPr>
        <w:t>5</w:t>
      </w:r>
      <w:r>
        <w:rPr>
          <w:spacing w:val="-3"/>
        </w:rPr>
        <w:t>）全面提升财务管理水平。报告期内，公司继续推行全面预算管理，与各部门、</w:t>
      </w:r>
      <w:r>
        <w:rPr/>
        <w:t> 各成本中心、各经营单位制定了与 </w:t>
      </w:r>
      <w:r>
        <w:rPr>
          <w:rFonts w:ascii="宋体" w:hAnsi="宋体" w:cs="宋体" w:eastAsia="宋体" w:hint="default"/>
        </w:rPr>
        <w:t>2015</w:t>
      </w:r>
      <w:r>
        <w:rPr>
          <w:rFonts w:ascii="宋体" w:hAnsi="宋体" w:cs="宋体" w:eastAsia="宋体" w:hint="default"/>
          <w:spacing w:val="-93"/>
        </w:rPr>
        <w:t> </w:t>
      </w:r>
      <w:r>
        <w:rPr/>
        <w:t>年度经营计划相匹配的财务预算，强化财务人 </w:t>
      </w:r>
      <w:r>
        <w:rPr>
          <w:spacing w:val="-3"/>
        </w:rPr>
        <w:t>员参与各经营活动的业务审批、重大经营合同的评估、投资活动的财务分析、月度财务</w:t>
      </w:r>
      <w:r>
        <w:rPr>
          <w:spacing w:val="-102"/>
        </w:rPr>
        <w:t> </w:t>
      </w:r>
      <w:r>
        <w:rPr>
          <w:spacing w:val="-102"/>
        </w:rPr>
      </w:r>
      <w:r>
        <w:rPr>
          <w:spacing w:val="-3"/>
        </w:rPr>
        <w:t>预算执行情况分析等管理措施，切实发挥财务对业务管理、经营决策、风险管控的监督</w:t>
      </w:r>
      <w:r>
        <w:rPr>
          <w:spacing w:val="-102"/>
        </w:rPr>
        <w:t> </w:t>
      </w:r>
      <w:r>
        <w:rPr>
          <w:spacing w:val="-102"/>
        </w:rPr>
      </w:r>
      <w:r>
        <w:rPr>
          <w:spacing w:val="-3"/>
        </w:rPr>
        <w:t>管理职能；继续强化应收账款管理和现金流管理，尤其是对账期较长的应收款的回款和</w:t>
      </w:r>
      <w:r>
        <w:rPr>
          <w:spacing w:val="-100"/>
        </w:rPr>
        <w:t> </w:t>
      </w:r>
      <w:r>
        <w:rPr>
          <w:spacing w:val="-100"/>
        </w:rPr>
      </w:r>
      <w:r>
        <w:rPr>
          <w:spacing w:val="-3"/>
        </w:rPr>
        <w:t>清理工作，采取适当的法律手段追收欠款，对业务部门综合回款率实施严格考核，以改</w:t>
      </w:r>
      <w:r>
        <w:rPr>
          <w:spacing w:val="-102"/>
        </w:rPr>
        <w:t> </w:t>
      </w:r>
      <w:r>
        <w:rPr>
          <w:spacing w:val="-102"/>
        </w:rPr>
      </w:r>
      <w:r>
        <w:rPr>
          <w:spacing w:val="-3"/>
        </w:rPr>
        <w:t>善公司现金流，提高应收账款周转率；同时，多次组织财务专业知识培训及内部经营分</w:t>
      </w:r>
      <w:r>
        <w:rPr>
          <w:spacing w:val="-102"/>
        </w:rPr>
        <w:t> </w:t>
      </w:r>
      <w:r>
        <w:rPr>
          <w:spacing w:val="-102"/>
        </w:rPr>
      </w:r>
      <w:r>
        <w:rPr>
          <w:spacing w:val="-3"/>
        </w:rPr>
        <w:t>析会议等活动，有效地提升了公司财务人员及非财务管理人员的财务知识和财务管理意</w:t>
      </w:r>
      <w:r>
        <w:rPr>
          <w:spacing w:val="-100"/>
        </w:rPr>
        <w:t> </w:t>
      </w:r>
      <w:r>
        <w:rPr>
          <w:spacing w:val="-100"/>
        </w:rPr>
      </w:r>
      <w:r>
        <w:rPr/>
        <w:t>识、水平。</w:t>
      </w:r>
    </w:p>
    <w:p>
      <w:pPr>
        <w:pStyle w:val="BodyText"/>
        <w:spacing w:line="357" w:lineRule="auto" w:before="36"/>
        <w:ind w:left="1440" w:right="1439" w:firstLine="480"/>
        <w:jc w:val="both"/>
      </w:pPr>
      <w:r>
        <w:rPr/>
        <w:t>（</w:t>
      </w:r>
      <w:r>
        <w:rPr>
          <w:rFonts w:ascii="宋体" w:hAnsi="宋体" w:cs="宋体" w:eastAsia="宋体" w:hint="default"/>
        </w:rPr>
        <w:t>6</w:t>
      </w:r>
      <w:r>
        <w:rPr/>
        <w:t>）提升供应链管理效率。报告期内，组织完成了供应商的年度评估工作，改进 </w:t>
      </w:r>
      <w:r>
        <w:rPr>
          <w:spacing w:val="-3"/>
        </w:rPr>
        <w:t>供应商管理制度，并对采购量较大的物料组织供应商招标，与主要供应商确定年度采购</w:t>
      </w:r>
      <w:r>
        <w:rPr>
          <w:spacing w:val="-100"/>
        </w:rPr>
        <w:t> </w:t>
      </w:r>
      <w:r>
        <w:rPr>
          <w:spacing w:val="-100"/>
        </w:rPr>
      </w:r>
      <w:r>
        <w:rPr>
          <w:spacing w:val="-3"/>
        </w:rPr>
        <w:t>框架合作协议；强化了各业务板块尤其是对重点项目和大项目的市场需求预测管理，以</w:t>
      </w:r>
      <w:r>
        <w:rPr>
          <w:spacing w:val="-100"/>
        </w:rPr>
        <w:t> </w:t>
      </w:r>
      <w:r>
        <w:rPr>
          <w:spacing w:val="-100"/>
        </w:rPr>
      </w:r>
      <w:r>
        <w:rPr>
          <w:spacing w:val="-3"/>
        </w:rPr>
        <w:t>提升采购计划的前瞻性、规模性；继续实施采购与技术研发、与制造和工艺、与工程实</w:t>
      </w:r>
      <w:r>
        <w:rPr>
          <w:spacing w:val="-100"/>
        </w:rPr>
        <w:t> </w:t>
      </w:r>
      <w:r>
        <w:rPr>
          <w:spacing w:val="-100"/>
        </w:rPr>
      </w:r>
      <w:r>
        <w:rPr>
          <w:spacing w:val="-3"/>
        </w:rPr>
        <w:t>施、与售后服务等全方位对接，以确保对生产、工程实施、产品和售后服务质量保障的</w:t>
      </w:r>
      <w:r>
        <w:rPr>
          <w:spacing w:val="-102"/>
        </w:rPr>
        <w:t> </w:t>
      </w:r>
      <w:r>
        <w:rPr>
          <w:spacing w:val="-102"/>
        </w:rPr>
      </w:r>
      <w:r>
        <w:rPr>
          <w:spacing w:val="-3"/>
        </w:rPr>
        <w:t>服务效率；针对大项目、重点合同启动了公司与子公司的采购平台共享机制，落实采购</w:t>
      </w:r>
      <w:r>
        <w:rPr>
          <w:spacing w:val="-102"/>
        </w:rPr>
        <w:t> </w:t>
      </w:r>
      <w:r>
        <w:rPr>
          <w:spacing w:val="-102"/>
        </w:rPr>
      </w:r>
      <w:r>
        <w:rPr/>
        <w:t>成本比价机制，以有效控制采购成本、提升供应链管理效率。</w:t>
      </w:r>
    </w:p>
    <w:p>
      <w:pPr>
        <w:pStyle w:val="BodyText"/>
        <w:spacing w:line="240" w:lineRule="auto" w:before="36"/>
        <w:ind w:left="1920" w:right="1033"/>
        <w:jc w:val="left"/>
      </w:pPr>
      <w:r>
        <w:rPr/>
        <w:t>（</w:t>
      </w:r>
      <w:r>
        <w:rPr>
          <w:rFonts w:ascii="宋体" w:hAnsi="宋体" w:cs="宋体" w:eastAsia="宋体" w:hint="default"/>
        </w:rPr>
        <w:t>7</w:t>
      </w:r>
      <w:r>
        <w:rPr/>
        <w:t>）全面提升市场营销能力</w:t>
      </w:r>
    </w:p>
    <w:p>
      <w:pPr>
        <w:pStyle w:val="BodyText"/>
        <w:spacing w:line="357" w:lineRule="auto" w:before="154"/>
        <w:ind w:left="1440" w:right="1421" w:firstLine="480"/>
        <w:jc w:val="left"/>
      </w:pPr>
      <w:r>
        <w:rPr>
          <w:rFonts w:ascii="宋体" w:hAnsi="宋体" w:cs="宋体" w:eastAsia="宋体" w:hint="default"/>
          <w:spacing w:val="-6"/>
        </w:rPr>
        <w:t>1</w:t>
      </w:r>
      <w:r>
        <w:rPr>
          <w:spacing w:val="-6"/>
        </w:rPr>
        <w:t>）品牌建设方面。报告期内，制定了</w:t>
      </w:r>
      <w:r>
        <w:rPr>
          <w:spacing w:val="-58"/>
        </w:rPr>
        <w:t> </w:t>
      </w:r>
      <w:r>
        <w:rPr>
          <w:rFonts w:ascii="宋体" w:hAnsi="宋体" w:cs="宋体" w:eastAsia="宋体" w:hint="default"/>
        </w:rPr>
        <w:t>2015</w:t>
      </w:r>
      <w:r>
        <w:rPr>
          <w:rFonts w:ascii="宋体" w:hAnsi="宋体" w:cs="宋体" w:eastAsia="宋体" w:hint="default"/>
          <w:spacing w:val="-58"/>
        </w:rPr>
        <w:t> </w:t>
      </w:r>
      <w:r>
        <w:rPr/>
        <w:t>年度整合公司及子公司资源的品牌推广 计划，持续推进了公司微信服务号、微信订阅号、微博、</w:t>
      </w:r>
      <w:r>
        <w:rPr>
          <w:rFonts w:ascii="宋体" w:hAnsi="宋体" w:cs="宋体" w:eastAsia="宋体" w:hint="default"/>
        </w:rPr>
        <w:t>SEO</w:t>
      </w:r>
      <w:r>
        <w:rPr>
          <w:rFonts w:ascii="宋体" w:hAnsi="宋体" w:cs="宋体" w:eastAsia="宋体" w:hint="default"/>
          <w:spacing w:val="-95"/>
        </w:rPr>
        <w:t> </w:t>
      </w:r>
      <w:r>
        <w:rPr/>
        <w:t>等平台的全面升级及优化</w:t>
      </w:r>
    </w:p>
    <w:p>
      <w:pPr>
        <w:spacing w:after="0" w:line="357" w:lineRule="auto"/>
        <w:jc w:val="left"/>
        <w:sectPr>
          <w:footerReference w:type="default" r:id="rId18"/>
          <w:pgSz w:w="11910" w:h="16840"/>
          <w:pgMar w:footer="1363" w:header="747" w:top="1060" w:bottom="1560" w:left="0" w:right="0"/>
          <w:pgNumType w:start="19"/>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4"/>
        <w:ind w:left="1440" w:right="1033"/>
        <w:jc w:val="left"/>
      </w:pPr>
      <w:r>
        <w:rPr>
          <w:spacing w:val="3"/>
        </w:rPr>
        <w:t>通信产业报、名企排行网、赛迪、新浪、百度、</w:t>
      </w:r>
      <w:r>
        <w:rPr>
          <w:rFonts w:ascii="宋体" w:hAnsi="宋体" w:cs="宋体" w:eastAsia="宋体" w:hint="default"/>
          <w:spacing w:val="3"/>
        </w:rPr>
        <w:t>C114</w:t>
      </w:r>
      <w:r>
        <w:rPr>
          <w:spacing w:val="3"/>
        </w:rPr>
        <w:t>、中国采购与招标网、中国 </w:t>
      </w:r>
      <w:r>
        <w:rPr>
          <w:rFonts w:ascii="宋体" w:hAnsi="宋体" w:cs="宋体" w:eastAsia="宋体" w:hint="default"/>
        </w:rPr>
        <w:t>IDC</w:t>
      </w:r>
      <w:r>
        <w:rPr>
          <w:rFonts w:ascii="宋体" w:hAnsi="宋体" w:cs="宋体" w:eastAsia="宋体" w:hint="default"/>
          <w:spacing w:val="-104"/>
        </w:rPr>
        <w:t> </w:t>
      </w:r>
      <w:r>
        <w:rPr/>
        <w:t>圈等多层次媒体保持良好的合作，与中国制冷空调工业协会、中国数据中心产业联盟、 中国节能协会、中国电源学会、中国通信工业协会、中国环境保护产业协会会员单位、 </w:t>
      </w:r>
      <w:r>
        <w:rPr>
          <w:spacing w:val="-3"/>
        </w:rPr>
        <w:t>江苏省环境保护产业协会、中国环保机械行业协会等单位保持良好的沟通，新近成为陕</w:t>
      </w:r>
      <w:r>
        <w:rPr>
          <w:spacing w:val="-99"/>
        </w:rPr>
        <w:t> </w:t>
      </w:r>
      <w:r>
        <w:rPr>
          <w:spacing w:val="-99"/>
        </w:rPr>
      </w:r>
      <w:r>
        <w:rPr>
          <w:spacing w:val="-3"/>
        </w:rPr>
        <w:t>西省软件行业协会团体会员、陕西省安全防范产品行业协会会员，扩大了公司品牌推广</w:t>
      </w:r>
      <w:r>
        <w:rPr>
          <w:spacing w:val="-99"/>
        </w:rPr>
        <w:t> </w:t>
      </w:r>
      <w:r>
        <w:rPr>
          <w:spacing w:val="-99"/>
        </w:rPr>
      </w:r>
      <w:r>
        <w:rPr>
          <w:spacing w:val="-3"/>
        </w:rPr>
        <w:t>渠道、强化了公司品牌宣传工作；参与编辑出版了《数据中心基础设施规划设计存在的</w:t>
      </w:r>
      <w:r>
        <w:rPr>
          <w:spacing w:val="-101"/>
        </w:rPr>
        <w:t> </w:t>
      </w:r>
      <w:r>
        <w:rPr>
          <w:spacing w:val="-101"/>
        </w:rPr>
      </w:r>
      <w:r>
        <w:rPr>
          <w:spacing w:val="-6"/>
        </w:rPr>
        <w:t>问题》，参加了第十届全国政府采购集采年会、美国制冷展、第八届中国数据中心大会、</w:t>
      </w:r>
      <w:r>
        <w:rPr>
          <w:spacing w:val="-101"/>
        </w:rPr>
        <w:t> </w:t>
      </w:r>
      <w:r>
        <w:rPr>
          <w:spacing w:val="-101"/>
        </w:rPr>
      </w:r>
      <w:r>
        <w:rPr>
          <w:spacing w:val="-3"/>
        </w:rPr>
        <w:t>中国石油协会主办的第四届全国油气储运科技创新与信息化技术交流大会，并推介了公</w:t>
      </w:r>
      <w:r>
        <w:rPr>
          <w:spacing w:val="-100"/>
        </w:rPr>
        <w:t> </w:t>
      </w:r>
      <w:r>
        <w:rPr>
          <w:spacing w:val="-100"/>
        </w:rPr>
      </w:r>
      <w:r>
        <w:rPr>
          <w:spacing w:val="-3"/>
        </w:rPr>
        <w:t>司针对石油储运行业的高效节能整体解决方案、分享了公司在能源行业的优秀案例，同</w:t>
      </w:r>
      <w:r>
        <w:rPr>
          <w:spacing w:val="-100"/>
        </w:rPr>
        <w:t> </w:t>
      </w:r>
      <w:r>
        <w:rPr>
          <w:spacing w:val="-100"/>
        </w:rPr>
      </w:r>
      <w:r>
        <w:rPr/>
        <w:t>时，在山东、河南举办了依米康产品推介会，等市场活动，并荣获“</w:t>
      </w:r>
      <w:r>
        <w:rPr>
          <w:rFonts w:ascii="宋体" w:hAnsi="宋体" w:cs="宋体" w:eastAsia="宋体" w:hint="default"/>
        </w:rPr>
        <w:t>2014 </w:t>
      </w:r>
      <w:r>
        <w:rPr/>
        <w:t>年度全国政</w:t>
      </w:r>
      <w:r>
        <w:rPr>
          <w:spacing w:val="-115"/>
        </w:rPr>
        <w:t> </w:t>
      </w:r>
      <w:r>
        <w:rPr>
          <w:spacing w:val="-7"/>
        </w:rPr>
        <w:t>府采购机房空调首选节能品牌”、“</w:t>
      </w:r>
      <w:r>
        <w:rPr>
          <w:rFonts w:ascii="宋体" w:hAnsi="宋体" w:cs="宋体" w:eastAsia="宋体" w:hint="default"/>
          <w:spacing w:val="-7"/>
        </w:rPr>
        <w:t>2015</w:t>
      </w:r>
      <w:r>
        <w:rPr>
          <w:rFonts w:ascii="宋体" w:hAnsi="宋体" w:cs="宋体" w:eastAsia="宋体" w:hint="default"/>
          <w:spacing w:val="14"/>
        </w:rPr>
        <w:t> </w:t>
      </w:r>
      <w:r>
        <w:rPr/>
        <w:t>年度中国云计算数据中心优秀节能品牌奖”、</w:t>
      </w:r>
      <w:r>
        <w:rPr>
          <w:spacing w:val="-118"/>
        </w:rPr>
        <w:t> </w:t>
      </w:r>
      <w:r>
        <w:rPr>
          <w:spacing w:val="-118"/>
        </w:rPr>
      </w:r>
      <w:r>
        <w:rPr/>
        <w:t>“</w:t>
      </w:r>
      <w:r>
        <w:rPr>
          <w:rFonts w:ascii="宋体" w:hAnsi="宋体" w:cs="宋体" w:eastAsia="宋体" w:hint="default"/>
        </w:rPr>
        <w:t>2015 </w:t>
      </w:r>
      <w:r>
        <w:rPr>
          <w:spacing w:val="-14"/>
        </w:rPr>
        <w:t>年度中国数据中心自主创新产品奖”、“四川省中小企业协会副会长单位”、“成</w:t>
      </w:r>
      <w:r>
        <w:rPr>
          <w:spacing w:val="-92"/>
        </w:rPr>
        <w:t> </w:t>
      </w:r>
      <w:r>
        <w:rPr>
          <w:spacing w:val="-92"/>
        </w:rPr>
      </w:r>
      <w:r>
        <w:rPr>
          <w:spacing w:val="-4"/>
        </w:rPr>
        <w:t>都市名优产品供需企业联盟副会长单位”，公司荣获成都企业联合会、成都市工业经济</w:t>
      </w:r>
      <w:r>
        <w:rPr>
          <w:spacing w:val="-84"/>
        </w:rPr>
        <w:t> </w:t>
      </w:r>
      <w:r>
        <w:rPr>
          <w:spacing w:val="-84"/>
        </w:rPr>
      </w:r>
      <w:r>
        <w:rPr/>
        <w:t>联合会颁发的“</w:t>
      </w:r>
      <w:r>
        <w:rPr>
          <w:rFonts w:ascii="宋体" w:hAnsi="宋体" w:cs="宋体" w:eastAsia="宋体" w:hint="default"/>
        </w:rPr>
        <w:t>2015 </w:t>
      </w:r>
      <w:r>
        <w:rPr/>
        <w:t>年成都民营百强企业”，在完善品牌基础建设工作的同时进一步</w:t>
      </w:r>
      <w:r>
        <w:rPr>
          <w:spacing w:val="-115"/>
        </w:rPr>
        <w:t> </w:t>
      </w:r>
      <w:r>
        <w:rPr>
          <w:spacing w:val="-115"/>
        </w:rPr>
      </w:r>
      <w:r>
        <w:rPr/>
        <w:t>提升了公司的品牌知名度和影响力。</w:t>
      </w:r>
    </w:p>
    <w:p>
      <w:pPr>
        <w:pStyle w:val="BodyText"/>
        <w:spacing w:line="357" w:lineRule="auto" w:before="36"/>
        <w:ind w:left="1439" w:right="1318" w:firstLine="480"/>
        <w:jc w:val="left"/>
      </w:pPr>
      <w:r>
        <w:rPr>
          <w:rFonts w:ascii="宋体" w:hAnsi="宋体" w:cs="宋体" w:eastAsia="宋体" w:hint="default"/>
        </w:rPr>
        <w:t>2</w:t>
      </w:r>
      <w:r>
        <w:rPr/>
        <w:t>）营销能力建设、持续扩大经营规模方面。报告期内，公司继续加强营销、售后 </w:t>
      </w:r>
      <w:r>
        <w:rPr>
          <w:spacing w:val="-3"/>
        </w:rPr>
        <w:t>人才的引进、培养和管理，推动营销管理、售后服务管理等制度的执行；完善了公司及</w:t>
      </w:r>
      <w:r>
        <w:rPr>
          <w:spacing w:val="-102"/>
        </w:rPr>
        <w:t> </w:t>
      </w:r>
      <w:r>
        <w:rPr>
          <w:spacing w:val="-102"/>
        </w:rPr>
      </w:r>
      <w:r>
        <w:rPr>
          <w:spacing w:val="-6"/>
        </w:rPr>
        <w:t>子公司之间技术、产品、资质、客户资源等的整合机制以提升协同效应；积极拓展能源、</w:t>
      </w:r>
      <w:r>
        <w:rPr>
          <w:spacing w:val="-101"/>
        </w:rPr>
        <w:t> </w:t>
      </w:r>
      <w:r>
        <w:rPr>
          <w:spacing w:val="-101"/>
        </w:rPr>
      </w:r>
      <w:r>
        <w:rPr>
          <w:spacing w:val="-3"/>
        </w:rPr>
        <w:t>教育、金融、公安等新行业客户资源，强化与信息化基础设施建设、智慧城市建设、环</w:t>
      </w:r>
      <w:r>
        <w:rPr>
          <w:spacing w:val="-104"/>
        </w:rPr>
        <w:t> </w:t>
      </w:r>
      <w:r>
        <w:rPr>
          <w:spacing w:val="-104"/>
        </w:rPr>
      </w:r>
      <w:r>
        <w:rPr>
          <w:spacing w:val="-3"/>
        </w:rPr>
        <w:t>保等领域的大型企业、国内外知名企业全面、深度合作的商务洽谈，以持续扩大公司经</w:t>
      </w:r>
      <w:r>
        <w:rPr>
          <w:spacing w:val="-102"/>
        </w:rPr>
        <w:t> </w:t>
      </w:r>
      <w:r>
        <w:rPr>
          <w:spacing w:val="-102"/>
        </w:rPr>
      </w:r>
      <w:r>
        <w:rPr/>
        <w:t>营规模。公司精密恒温恒湿空调成功入围“中共中央直属机关 </w:t>
      </w:r>
      <w:r>
        <w:rPr>
          <w:rFonts w:ascii="宋体" w:hAnsi="宋体" w:cs="宋体" w:eastAsia="宋体" w:hint="default"/>
        </w:rPr>
        <w:t>2015</w:t>
      </w:r>
      <w:r>
        <w:rPr>
          <w:rFonts w:ascii="宋体" w:hAnsi="宋体" w:cs="宋体" w:eastAsia="宋体" w:hint="default"/>
          <w:spacing w:val="-94"/>
        </w:rPr>
        <w:t> </w:t>
      </w:r>
      <w:r>
        <w:rPr/>
        <w:t>年度电器产品定点 采购供应商”，成功中标“</w:t>
      </w:r>
      <w:r>
        <w:rPr>
          <w:rFonts w:ascii="宋体" w:hAnsi="宋体" w:cs="宋体" w:eastAsia="宋体" w:hint="default"/>
        </w:rPr>
        <w:t>2015-2016</w:t>
      </w:r>
      <w:r>
        <w:rPr>
          <w:rFonts w:ascii="宋体" w:hAnsi="宋体" w:cs="宋体" w:eastAsia="宋体" w:hint="default"/>
          <w:spacing w:val="-75"/>
        </w:rPr>
        <w:t> </w:t>
      </w:r>
      <w:r>
        <w:rPr/>
        <w:t>年度中央国家机关空调协议供货采购项目”、上</w:t>
      </w:r>
      <w:r>
        <w:rPr>
          <w:spacing w:val="-8"/>
        </w:rPr>
        <w:t> </w:t>
      </w:r>
      <w:r>
        <w:rPr/>
        <w:t>海周浦</w:t>
      </w:r>
      <w:r>
        <w:rPr>
          <w:spacing w:val="-59"/>
        </w:rPr>
        <w:t> </w:t>
      </w:r>
      <w:r>
        <w:rPr>
          <w:rFonts w:ascii="宋体" w:hAnsi="宋体" w:cs="宋体" w:eastAsia="宋体" w:hint="default"/>
        </w:rPr>
        <w:t>IDC</w:t>
      </w:r>
      <w:r>
        <w:rPr>
          <w:rFonts w:ascii="宋体" w:hAnsi="宋体" w:cs="宋体" w:eastAsia="宋体" w:hint="default"/>
          <w:spacing w:val="-59"/>
        </w:rPr>
        <w:t> </w:t>
      </w:r>
      <w:r>
        <w:rPr>
          <w:spacing w:val="-3"/>
        </w:rPr>
        <w:t>项目、曲靖市博物馆项目等，积极介入工业污水处理、污泥无害化处理、城</w:t>
      </w:r>
      <w:r>
        <w:rPr>
          <w:spacing w:val="-118"/>
        </w:rPr>
        <w:t> </w:t>
      </w:r>
      <w:r>
        <w:rPr>
          <w:spacing w:val="-118"/>
        </w:rPr>
      </w:r>
      <w:r>
        <w:rPr>
          <w:spacing w:val="-3"/>
        </w:rPr>
        <w:t>市生活污水处理等项目，大项目总承包业务取得重大突破，营销订单总量同比实现较大</w:t>
      </w:r>
      <w:r>
        <w:rPr>
          <w:spacing w:val="-100"/>
        </w:rPr>
        <w:t> </w:t>
      </w:r>
      <w:r>
        <w:rPr>
          <w:spacing w:val="-100"/>
        </w:rPr>
      </w:r>
      <w:r>
        <w:rPr/>
        <w:t>增长。</w:t>
      </w:r>
    </w:p>
    <w:p>
      <w:pPr>
        <w:pStyle w:val="BodyText"/>
        <w:spacing w:line="357" w:lineRule="auto" w:before="36"/>
        <w:ind w:left="1440" w:right="1436" w:firstLine="480"/>
        <w:jc w:val="both"/>
      </w:pPr>
      <w:r>
        <w:rPr>
          <w:rFonts w:ascii="宋体" w:hAnsi="宋体" w:cs="宋体" w:eastAsia="宋体" w:hint="default"/>
        </w:rPr>
        <w:t>3</w:t>
      </w:r>
      <w:r>
        <w:rPr/>
        <w:t>）发展创新业务方面。报告期内，公司制定并实施了择机开展融资租赁、医疗建 设工程项目；积极介入智慧城市建设业务的 </w:t>
      </w:r>
      <w:r>
        <w:rPr>
          <w:rFonts w:ascii="宋体" w:hAnsi="宋体" w:cs="宋体" w:eastAsia="宋体" w:hint="default"/>
        </w:rPr>
        <w:t>2015</w:t>
      </w:r>
      <w:r>
        <w:rPr>
          <w:rFonts w:ascii="宋体" w:hAnsi="宋体" w:cs="宋体" w:eastAsia="宋体" w:hint="default"/>
          <w:spacing w:val="-93"/>
        </w:rPr>
        <w:t> </w:t>
      </w:r>
      <w:r>
        <w:rPr/>
        <w:t>年度创新业务计划，建立了与智慧城 </w:t>
      </w:r>
      <w:r>
        <w:rPr>
          <w:spacing w:val="-3"/>
        </w:rPr>
        <w:t>市与产业互联网建设的领先企业的合作渠道，为切实开展智慧城市建设业务奠定了良好</w:t>
      </w:r>
      <w:r>
        <w:rPr>
          <w:spacing w:val="-100"/>
        </w:rPr>
        <w:t> </w:t>
      </w:r>
      <w:r>
        <w:rPr>
          <w:spacing w:val="-100"/>
        </w:rPr>
      </w:r>
      <w:r>
        <w:rPr>
          <w:spacing w:val="-4"/>
        </w:rPr>
        <w:t>的基础；与国外环保机构交流水处理、垃圾气化等技术，参与多项环保 </w:t>
      </w:r>
      <w:r>
        <w:rPr>
          <w:rFonts w:ascii="宋体" w:hAnsi="宋体" w:cs="宋体" w:eastAsia="宋体" w:hint="default"/>
        </w:rPr>
        <w:t>PPP</w:t>
      </w:r>
      <w:r>
        <w:rPr>
          <w:rFonts w:ascii="宋体" w:hAnsi="宋体" w:cs="宋体" w:eastAsia="宋体" w:hint="default"/>
          <w:spacing w:val="-89"/>
        </w:rPr>
        <w:t> </w:t>
      </w:r>
      <w:r>
        <w:rPr/>
        <w:t>项目的前期 </w:t>
      </w:r>
      <w:r>
        <w:rPr>
          <w:spacing w:val="-3"/>
        </w:rPr>
        <w:t>项目谈判，积极部署介入垃圾处理、污泥处理和水处理等环保新业务；积极参与大项目</w:t>
      </w:r>
    </w:p>
    <w:p>
      <w:pPr>
        <w:spacing w:after="0" w:line="357" w:lineRule="auto"/>
        <w:jc w:val="both"/>
        <w:sectPr>
          <w:footerReference w:type="default" r:id="rId19"/>
          <w:pgSz w:w="11910" w:h="16840"/>
          <w:pgMar w:footer="1363" w:header="747" w:top="1060" w:bottom="1560" w:left="0" w:right="0"/>
          <w:pgNumType w:start="20"/>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4"/>
        <w:ind w:left="1440" w:right="1437"/>
        <w:jc w:val="both"/>
      </w:pPr>
      <w:r>
        <w:rPr/>
        <w:t>对互联网</w:t>
      </w:r>
      <w:r>
        <w:rPr>
          <w:rFonts w:ascii="宋体" w:hAnsi="宋体" w:cs="宋体" w:eastAsia="宋体" w:hint="default"/>
        </w:rPr>
        <w:t>+</w:t>
      </w:r>
      <w:r>
        <w:rPr/>
        <w:t>、大数据、工业 </w:t>
      </w:r>
      <w:r>
        <w:rPr>
          <w:rFonts w:ascii="宋体" w:hAnsi="宋体" w:cs="宋体" w:eastAsia="宋体" w:hint="default"/>
        </w:rPr>
        <w:t>4.0</w:t>
      </w:r>
      <w:r>
        <w:rPr>
          <w:rFonts w:ascii="宋体" w:hAnsi="宋体" w:cs="宋体" w:eastAsia="宋体" w:hint="default"/>
          <w:spacing w:val="-94"/>
        </w:rPr>
        <w:t> </w:t>
      </w:r>
      <w:r>
        <w:rPr/>
        <w:t>等政策性文件及相关行业的研究，研究制定公司的相关 </w:t>
      </w:r>
      <w:r>
        <w:rPr>
          <w:spacing w:val="-3"/>
        </w:rPr>
        <w:t>创新行动计划；上述创新业务的开展为公司持续发展和盈利、实现公司经营目标奠定了</w:t>
      </w:r>
      <w:r>
        <w:rPr>
          <w:spacing w:val="-101"/>
        </w:rPr>
        <w:t> </w:t>
      </w:r>
      <w:r>
        <w:rPr>
          <w:spacing w:val="-101"/>
        </w:rPr>
      </w:r>
      <w:r>
        <w:rPr/>
        <w:t>坚实基础。</w:t>
      </w:r>
    </w:p>
    <w:p>
      <w:pPr>
        <w:spacing w:line="297" w:lineRule="auto" w:before="36"/>
        <w:ind w:left="2040" w:right="1033" w:hanging="118"/>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、人力资源管理方面</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报告期内，根据公司的发展战略规划，公司制定并实施了以打造人力资源核心竞</w:t>
      </w:r>
    </w:p>
    <w:p>
      <w:pPr>
        <w:pStyle w:val="BodyText"/>
        <w:spacing w:line="357" w:lineRule="auto" w:before="95"/>
        <w:ind w:left="1440" w:right="1437"/>
        <w:jc w:val="both"/>
      </w:pPr>
      <w:r>
        <w:rPr>
          <w:spacing w:val="-3"/>
        </w:rPr>
        <w:t>争力为目标的年度人力资源工作计划；调整完善了公司及子公司的组织架构及人力资源</w:t>
      </w:r>
      <w:r>
        <w:rPr>
          <w:spacing w:val="-99"/>
        </w:rPr>
        <w:t> </w:t>
      </w:r>
      <w:r>
        <w:rPr>
          <w:spacing w:val="-99"/>
        </w:rPr>
      </w:r>
      <w:r>
        <w:rPr>
          <w:spacing w:val="-3"/>
        </w:rPr>
        <w:t>配置，加强了人力资源管理制度宣贯和执行情况检查，落实了岗位晋升制度、分步实施</w:t>
      </w:r>
      <w:r>
        <w:rPr>
          <w:spacing w:val="-102"/>
        </w:rPr>
        <w:t> </w:t>
      </w:r>
      <w:r>
        <w:rPr>
          <w:spacing w:val="-102"/>
        </w:rPr>
      </w:r>
      <w:r>
        <w:rPr>
          <w:spacing w:val="-3"/>
        </w:rPr>
        <w:t>了关键人才培养计划，强化了内外部员工培训管理；实施了优化后的薪酬管理办法，落</w:t>
      </w:r>
      <w:r>
        <w:rPr>
          <w:spacing w:val="-102"/>
        </w:rPr>
        <w:t> </w:t>
      </w:r>
      <w:r>
        <w:rPr>
          <w:spacing w:val="-102"/>
        </w:rPr>
      </w:r>
      <w:r>
        <w:rPr>
          <w:spacing w:val="-3"/>
        </w:rPr>
        <w:t>实了活力曲线绩效考核体系；同时，继续推动公司人才引进工作。上述管理活动充分了</w:t>
      </w:r>
      <w:r>
        <w:rPr>
          <w:spacing w:val="-102"/>
        </w:rPr>
        <w:t> </w:t>
      </w:r>
      <w:r>
        <w:rPr>
          <w:spacing w:val="-102"/>
        </w:rPr>
      </w:r>
      <w:r>
        <w:rPr>
          <w:spacing w:val="-3"/>
        </w:rPr>
        <w:t>调动员工的积极性、主动性、创新性，为打造一支充满激情且知识和专业结构合理、人</w:t>
      </w:r>
      <w:r>
        <w:rPr>
          <w:spacing w:val="-101"/>
        </w:rPr>
        <w:t> </w:t>
      </w:r>
      <w:r>
        <w:rPr>
          <w:spacing w:val="-101"/>
        </w:rPr>
      </w:r>
      <w:r>
        <w:rPr/>
        <w:t>才齐备、职业化、专业化、国际化的员工队伍奠定良好的基础。</w:t>
      </w:r>
    </w:p>
    <w:p>
      <w:pPr>
        <w:pStyle w:val="Heading3"/>
        <w:spacing w:line="240" w:lineRule="auto" w:before="114"/>
        <w:ind w:left="1922" w:right="1033"/>
        <w:jc w:val="left"/>
        <w:rPr>
          <w:b w:val="0"/>
          <w:bCs w:val="0"/>
        </w:rPr>
      </w:pPr>
      <w:r>
        <w:rPr>
          <w:rFonts w:ascii="宋体" w:hAnsi="宋体" w:cs="宋体" w:eastAsia="宋体" w:hint="default"/>
        </w:rPr>
        <w:t>3</w:t>
      </w:r>
      <w:r>
        <w:rPr/>
        <w:t>、业务平台建设方面</w:t>
      </w:r>
      <w:r>
        <w:rPr>
          <w:b w:val="0"/>
          <w:bCs w:val="0"/>
        </w:rPr>
      </w:r>
    </w:p>
    <w:p>
      <w:pPr>
        <w:pStyle w:val="BodyText"/>
        <w:spacing w:line="357" w:lineRule="auto" w:before="154"/>
        <w:ind w:left="1920" w:right="1308"/>
        <w:jc w:val="left"/>
      </w:pPr>
      <w:r>
        <w:rPr/>
        <w:t>（</w:t>
      </w:r>
      <w:r>
        <w:rPr>
          <w:rFonts w:ascii="宋体" w:hAnsi="宋体" w:cs="宋体" w:eastAsia="宋体" w:hint="default"/>
        </w:rPr>
        <w:t>1</w:t>
      </w:r>
      <w:r>
        <w:rPr/>
        <w:t>）业务创新及业务范围拓展方面 </w:t>
      </w:r>
      <w:r>
        <w:rPr>
          <w:spacing w:val="-6"/>
        </w:rPr>
        <w:t>报告期内，公司坚持“开展创新业务、扩大经营规模、提升经营效益”的经营方针，</w:t>
      </w:r>
    </w:p>
    <w:p>
      <w:pPr>
        <w:pStyle w:val="BodyText"/>
        <w:spacing w:line="357" w:lineRule="auto" w:before="36"/>
        <w:ind w:left="1440" w:right="1033"/>
        <w:jc w:val="left"/>
      </w:pPr>
      <w:r>
        <w:rPr>
          <w:spacing w:val="-3"/>
        </w:rPr>
        <w:t>制定并实施了创新业务市场开发计划、营销平台建设规划、经营效益提升方案，建立并</w:t>
      </w:r>
      <w:r>
        <w:rPr>
          <w:spacing w:val="-100"/>
        </w:rPr>
        <w:t> </w:t>
      </w:r>
      <w:r>
        <w:rPr>
          <w:spacing w:val="-100"/>
        </w:rPr>
      </w:r>
      <w:r>
        <w:rPr>
          <w:spacing w:val="-3"/>
        </w:rPr>
        <w:t>完善了公司与子公司之间技术、产品、资质、客户资源等的整合机制以充分发挥协同效</w:t>
      </w:r>
      <w:r>
        <w:rPr>
          <w:spacing w:val="-102"/>
        </w:rPr>
        <w:t> </w:t>
      </w:r>
      <w:r>
        <w:rPr>
          <w:spacing w:val="-102"/>
        </w:rPr>
      </w:r>
      <w:r>
        <w:rPr>
          <w:spacing w:val="-5"/>
        </w:rPr>
        <w:t>应；积极介入医疗、环保治理领域的</w:t>
      </w:r>
      <w:r>
        <w:rPr>
          <w:spacing w:val="-65"/>
        </w:rPr>
        <w:t> </w:t>
      </w:r>
      <w:r>
        <w:rPr>
          <w:rFonts w:ascii="宋体" w:hAnsi="宋体" w:cs="宋体" w:eastAsia="宋体" w:hint="default"/>
        </w:rPr>
        <w:t>PPP</w:t>
      </w:r>
      <w:r>
        <w:rPr>
          <w:rFonts w:ascii="宋体" w:hAnsi="宋体" w:cs="宋体" w:eastAsia="宋体" w:hint="default"/>
          <w:spacing w:val="-65"/>
        </w:rPr>
        <w:t> </w:t>
      </w:r>
      <w:r>
        <w:rPr/>
        <w:t>新业务模式，积极参与大项目工程总承包市场 竞争，积极介入智慧城市建设的信息化基础设施建设相关业务以及垃圾处理、水处理、 </w:t>
      </w:r>
      <w:r>
        <w:rPr>
          <w:spacing w:val="-6"/>
        </w:rPr>
        <w:t>污泥处理等环保新业务；开展了对大数据、移动健康医疗等战略新兴业务的调查、研究。</w:t>
      </w:r>
    </w:p>
    <w:p>
      <w:pPr>
        <w:pStyle w:val="BodyText"/>
        <w:spacing w:line="357" w:lineRule="auto" w:before="36"/>
        <w:ind w:left="1920" w:right="6486"/>
        <w:jc w:val="left"/>
      </w:pPr>
      <w:r>
        <w:rPr/>
        <w:t>（</w:t>
      </w:r>
      <w:r>
        <w:rPr>
          <w:rFonts w:ascii="宋体" w:hAnsi="宋体" w:cs="宋体" w:eastAsia="宋体" w:hint="default"/>
        </w:rPr>
        <w:t>2</w:t>
      </w:r>
      <w:r>
        <w:rPr/>
        <w:t>）技术和产品提升和创新方面 </w:t>
      </w:r>
      <w:r>
        <w:rPr>
          <w:rFonts w:ascii="宋体" w:hAnsi="宋体" w:cs="宋体" w:eastAsia="宋体" w:hint="default"/>
        </w:rPr>
        <w:t>1</w:t>
      </w:r>
      <w:r>
        <w:rPr/>
        <w:t>）提升研发技术能力方面</w:t>
      </w:r>
    </w:p>
    <w:p>
      <w:pPr>
        <w:pStyle w:val="BodyText"/>
        <w:spacing w:line="357" w:lineRule="auto" w:before="36"/>
        <w:ind w:left="1440" w:right="1443" w:firstLine="480"/>
        <w:jc w:val="both"/>
      </w:pPr>
      <w:r>
        <w:rPr>
          <w:spacing w:val="-4"/>
        </w:rPr>
        <w:t>公司坚持“技术和产品领先战略”，制定了“人无我有，人有我强，人强我新”的</w:t>
      </w:r>
      <w:r>
        <w:rPr/>
        <w:t> 产品战略。具体工作如下：</w:t>
      </w:r>
    </w:p>
    <w:p>
      <w:pPr>
        <w:pStyle w:val="BodyText"/>
        <w:spacing w:line="357" w:lineRule="auto" w:before="36"/>
        <w:ind w:left="1440" w:right="1436" w:firstLine="480"/>
        <w:jc w:val="both"/>
      </w:pPr>
      <w:r>
        <w:rPr>
          <w:rFonts w:ascii="宋体" w:hAnsi="宋体" w:cs="宋体" w:eastAsia="宋体" w:hint="default"/>
          <w:spacing w:val="-3"/>
        </w:rPr>
        <w:t>a.</w:t>
      </w:r>
      <w:r>
        <w:rPr>
          <w:spacing w:val="-3"/>
        </w:rPr>
        <w:t>加强技术研发投入。报告期内，公司结合公司和子公司的年度经营目标，制定并</w:t>
      </w:r>
      <w:r>
        <w:rPr/>
        <w:t> </w:t>
      </w:r>
      <w:r>
        <w:rPr>
          <w:spacing w:val="-3"/>
        </w:rPr>
        <w:t>实施了现有技术升级和产品优化，开展了前瞻性及领先性的新产品、新技术开发的工作</w:t>
      </w:r>
      <w:r>
        <w:rPr>
          <w:spacing w:val="-100"/>
        </w:rPr>
        <w:t> </w:t>
      </w:r>
      <w:r>
        <w:rPr>
          <w:spacing w:val="-100"/>
        </w:rPr>
      </w:r>
      <w:r>
        <w:rPr/>
        <w:t>计划，完成了模块化及系列化节能空调、除尘器</w:t>
      </w:r>
      <w:r>
        <w:rPr>
          <w:rFonts w:ascii="宋体" w:hAnsi="宋体" w:cs="宋体" w:eastAsia="宋体" w:hint="default"/>
        </w:rPr>
        <w:t>/</w:t>
      </w:r>
      <w:r>
        <w:rPr/>
        <w:t>脱硫脱硝一体化装置、极管式湿式电</w:t>
      </w:r>
      <w:r>
        <w:rPr>
          <w:spacing w:val="-111"/>
        </w:rPr>
        <w:t> </w:t>
      </w:r>
      <w:r>
        <w:rPr>
          <w:spacing w:val="-111"/>
        </w:rPr>
      </w:r>
      <w:r>
        <w:rPr/>
        <w:t>除尘器的项目应用、袋笼涂装生产线改造、智能监控 </w:t>
      </w:r>
      <w:r>
        <w:rPr>
          <w:rFonts w:ascii="宋体" w:hAnsi="宋体" w:cs="宋体" w:eastAsia="宋体" w:hint="default"/>
        </w:rPr>
        <w:t>DCIM</w:t>
      </w:r>
      <w:r>
        <w:rPr>
          <w:rFonts w:ascii="宋体" w:hAnsi="宋体" w:cs="宋体" w:eastAsia="宋体" w:hint="default"/>
          <w:spacing w:val="-94"/>
        </w:rPr>
        <w:t> </w:t>
      </w:r>
      <w:r>
        <w:rPr/>
        <w:t>系统、智能家居整体解决方 </w:t>
      </w:r>
      <w:r>
        <w:rPr>
          <w:spacing w:val="-3"/>
        </w:rPr>
        <w:t>案等的技术研发工作，有效地提升了公司所涉足业务领域的产品及服务的技术水平，拓</w:t>
      </w:r>
      <w:r>
        <w:rPr>
          <w:spacing w:val="-100"/>
        </w:rPr>
        <w:t> </w:t>
      </w:r>
      <w:r>
        <w:rPr>
          <w:spacing w:val="-100"/>
        </w:rPr>
      </w:r>
      <w:r>
        <w:rPr/>
        <w:t>展了公司产品的种类和市场，增强了公司的核心竞争力和市场竞争优势。</w:t>
      </w:r>
    </w:p>
    <w:p>
      <w:pPr>
        <w:pStyle w:val="BodyText"/>
        <w:spacing w:line="240" w:lineRule="auto" w:before="36"/>
        <w:ind w:left="1920" w:right="1033"/>
        <w:jc w:val="left"/>
      </w:pPr>
      <w:r>
        <w:rPr>
          <w:rFonts w:ascii="宋体" w:hAnsi="宋体" w:cs="宋体" w:eastAsia="宋体" w:hint="default"/>
          <w:spacing w:val="-3"/>
        </w:rPr>
        <w:t>b.</w:t>
      </w:r>
      <w:r>
        <w:rPr>
          <w:spacing w:val="-3"/>
        </w:rPr>
        <w:t>技术团队管理。报告期内，完善了研发工作管理及激励制度，启动并有效推动了</w:t>
      </w:r>
    </w:p>
    <w:p>
      <w:pPr>
        <w:spacing w:after="0" w:line="240" w:lineRule="auto"/>
        <w:jc w:val="left"/>
        <w:sectPr>
          <w:footerReference w:type="default" r:id="rId20"/>
          <w:pgSz w:w="11910" w:h="16840"/>
          <w:pgMar w:footer="1372" w:header="747" w:top="1060" w:bottom="1560" w:left="0" w:right="0"/>
          <w:pgNumType w:start="21"/>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4"/>
        <w:ind w:left="1440" w:right="1033"/>
        <w:jc w:val="left"/>
      </w:pPr>
      <w:r>
        <w:rPr>
          <w:spacing w:val="-3"/>
        </w:rPr>
        <w:t>合作计划，推行“互联网思维”的工作模式，鼓励业务创新，以打造一支多层次、专业</w:t>
      </w:r>
      <w:r>
        <w:rPr>
          <w:spacing w:val="-104"/>
        </w:rPr>
        <w:t> </w:t>
      </w:r>
      <w:r>
        <w:rPr>
          <w:spacing w:val="-104"/>
        </w:rPr>
      </w:r>
      <w:r>
        <w:rPr/>
        <w:t>齐全、知识全面、经验丰富、创新务实、勤勉尽职的研发团队。</w:t>
      </w:r>
    </w:p>
    <w:p>
      <w:pPr>
        <w:pStyle w:val="BodyText"/>
        <w:spacing w:line="357" w:lineRule="auto" w:before="36"/>
        <w:ind w:left="1439" w:right="1436" w:firstLine="480"/>
        <w:jc w:val="both"/>
      </w:pPr>
      <w:r>
        <w:rPr>
          <w:rFonts w:ascii="宋体" w:hAnsi="宋体" w:cs="宋体" w:eastAsia="宋体" w:hint="default"/>
          <w:spacing w:val="-3"/>
        </w:rPr>
        <w:t>c.</w:t>
      </w:r>
      <w:r>
        <w:rPr>
          <w:spacing w:val="-3"/>
        </w:rPr>
        <w:t>强化无形资产管理。报告期内，明确了无形资产管理要求和工作计划，完善了无</w:t>
      </w:r>
      <w:r>
        <w:rPr/>
        <w:t> </w:t>
      </w:r>
      <w:r>
        <w:rPr>
          <w:spacing w:val="-3"/>
        </w:rPr>
        <w:t>形资产管理制度，构建了具有激励及创新机制的知识产权管理体系。报告期内，公司新</w:t>
      </w:r>
      <w:r>
        <w:rPr>
          <w:spacing w:val="-101"/>
        </w:rPr>
        <w:t> </w:t>
      </w:r>
      <w:r>
        <w:rPr>
          <w:spacing w:val="-101"/>
        </w:rPr>
      </w:r>
      <w:r>
        <w:rPr/>
        <w:t>获得</w:t>
      </w:r>
      <w:r>
        <w:rPr>
          <w:spacing w:val="-43"/>
        </w:rPr>
        <w:t> </w:t>
      </w:r>
      <w:r>
        <w:rPr>
          <w:rFonts w:ascii="宋体" w:hAnsi="宋体" w:cs="宋体" w:eastAsia="宋体" w:hint="default"/>
        </w:rPr>
        <w:t>12</w:t>
      </w:r>
      <w:r>
        <w:rPr>
          <w:rFonts w:ascii="宋体" w:hAnsi="宋体" w:cs="宋体" w:eastAsia="宋体" w:hint="default"/>
          <w:spacing w:val="-44"/>
        </w:rPr>
        <w:t> </w:t>
      </w:r>
      <w:r>
        <w:rPr/>
        <w:t>项实用新型专利权、</w:t>
      </w:r>
      <w:r>
        <w:rPr>
          <w:rFonts w:ascii="宋体" w:hAnsi="宋体" w:cs="宋体" w:eastAsia="宋体" w:hint="default"/>
        </w:rPr>
        <w:t>3</w:t>
      </w:r>
      <w:r>
        <w:rPr>
          <w:rFonts w:ascii="宋体" w:hAnsi="宋体" w:cs="宋体" w:eastAsia="宋体" w:hint="default"/>
          <w:spacing w:val="-44"/>
        </w:rPr>
        <w:t> </w:t>
      </w:r>
      <w:r>
        <w:rPr/>
        <w:t>项发明专利权、</w:t>
      </w:r>
      <w:r>
        <w:rPr>
          <w:rFonts w:ascii="宋体" w:hAnsi="宋体" w:cs="宋体" w:eastAsia="宋体" w:hint="default"/>
        </w:rPr>
        <w:t>10</w:t>
      </w:r>
      <w:r>
        <w:rPr>
          <w:rFonts w:ascii="宋体" w:hAnsi="宋体" w:cs="宋体" w:eastAsia="宋体" w:hint="default"/>
          <w:spacing w:val="-44"/>
        </w:rPr>
        <w:t> </w:t>
      </w:r>
      <w:r>
        <w:rPr/>
        <w:t>项计算机软件著作权、</w:t>
      </w:r>
      <w:r>
        <w:rPr>
          <w:rFonts w:ascii="宋体" w:hAnsi="宋体" w:cs="宋体" w:eastAsia="宋体" w:hint="default"/>
        </w:rPr>
        <w:t>3</w:t>
      </w:r>
      <w:r>
        <w:rPr>
          <w:rFonts w:ascii="宋体" w:hAnsi="宋体" w:cs="宋体" w:eastAsia="宋体" w:hint="default"/>
          <w:spacing w:val="-44"/>
        </w:rPr>
        <w:t> </w:t>
      </w:r>
      <w:r>
        <w:rPr/>
        <w:t>项软件产品 登记证书；公司根据经营的实际情况终止 </w:t>
      </w:r>
      <w:r>
        <w:rPr>
          <w:rFonts w:ascii="宋体" w:hAnsi="宋体" w:cs="宋体" w:eastAsia="宋体" w:hint="default"/>
        </w:rPr>
        <w:t>21</w:t>
      </w:r>
      <w:r>
        <w:rPr>
          <w:rFonts w:ascii="宋体" w:hAnsi="宋体" w:cs="宋体" w:eastAsia="宋体" w:hint="default"/>
          <w:spacing w:val="-93"/>
        </w:rPr>
        <w:t> </w:t>
      </w:r>
      <w:r>
        <w:rPr/>
        <w:t>项实用新型专利权；公司控股子公司深圳 龙控通过</w:t>
      </w:r>
      <w:r>
        <w:rPr>
          <w:spacing w:val="-71"/>
        </w:rPr>
        <w:t> </w:t>
      </w:r>
      <w:r>
        <w:rPr>
          <w:rFonts w:ascii="宋体" w:hAnsi="宋体" w:cs="宋体" w:eastAsia="宋体" w:hint="default"/>
        </w:rPr>
        <w:t>ISO27001</w:t>
      </w:r>
      <w:r>
        <w:rPr>
          <w:rFonts w:ascii="宋体" w:hAnsi="宋体" w:cs="宋体" w:eastAsia="宋体" w:hint="default"/>
          <w:spacing w:val="-71"/>
        </w:rPr>
        <w:t> </w:t>
      </w:r>
      <w:r>
        <w:rPr/>
        <w:t>信息安全管理体系认证、</w:t>
      </w:r>
      <w:r>
        <w:rPr>
          <w:rFonts w:ascii="宋体" w:hAnsi="宋体" w:cs="宋体" w:eastAsia="宋体" w:hint="default"/>
        </w:rPr>
        <w:t>CMMI</w:t>
      </w:r>
      <w:r>
        <w:rPr>
          <w:rFonts w:ascii="宋体" w:hAnsi="宋体" w:cs="宋体" w:eastAsia="宋体" w:hint="default"/>
          <w:spacing w:val="-71"/>
        </w:rPr>
        <w:t> </w:t>
      </w:r>
      <w:r>
        <w:rPr/>
        <w:t>认证，其全资子公司通过双软企业认 </w:t>
      </w:r>
      <w:r>
        <w:rPr>
          <w:spacing w:val="-4"/>
        </w:rPr>
        <w:t>证；公司控股子公司西安华西取得消防设施工程专业承包一级资质及 </w:t>
      </w:r>
      <w:r>
        <w:rPr>
          <w:rFonts w:ascii="宋体" w:hAnsi="宋体" w:cs="宋体" w:eastAsia="宋体" w:hint="default"/>
        </w:rPr>
        <w:t>ISCCC</w:t>
      </w:r>
      <w:r>
        <w:rPr>
          <w:rFonts w:ascii="宋体" w:hAnsi="宋体" w:cs="宋体" w:eastAsia="宋体" w:hint="default"/>
          <w:spacing w:val="-91"/>
        </w:rPr>
        <w:t> </w:t>
      </w:r>
      <w:r>
        <w:rPr/>
        <w:t>信息安全集 成服务一级资质；以上工作计划的实施有效提升了公司市场竞争能力。</w:t>
      </w:r>
    </w:p>
    <w:p>
      <w:pPr>
        <w:pStyle w:val="BodyText"/>
        <w:spacing w:line="357" w:lineRule="auto" w:before="36"/>
        <w:ind w:left="1920" w:right="1434"/>
        <w:jc w:val="left"/>
      </w:pPr>
      <w:r>
        <w:rPr>
          <w:rFonts w:ascii="宋体" w:hAnsi="宋体" w:cs="宋体" w:eastAsia="宋体" w:hint="default"/>
        </w:rPr>
        <w:t>2</w:t>
      </w:r>
      <w:r>
        <w:rPr/>
        <w:t>）产品平台建设 </w:t>
      </w:r>
      <w:r>
        <w:rPr>
          <w:spacing w:val="-3"/>
        </w:rPr>
        <w:t>报告期内，制定并实施了公司及分子公司的产品平台建设年度计划，包括信息数据</w:t>
      </w:r>
    </w:p>
    <w:p>
      <w:pPr>
        <w:pStyle w:val="BodyText"/>
        <w:spacing w:line="357" w:lineRule="auto" w:before="36"/>
        <w:ind w:left="1440" w:right="1326"/>
        <w:jc w:val="left"/>
      </w:pPr>
      <w:r>
        <w:rPr>
          <w:spacing w:val="-3"/>
        </w:rPr>
        <w:t>领域、健康医疗领域、环保治理领域，目前已完成先进节能空调产品、系统智能管理和</w:t>
      </w:r>
      <w:r>
        <w:rPr>
          <w:spacing w:val="-103"/>
        </w:rPr>
        <w:t> </w:t>
      </w:r>
      <w:r>
        <w:rPr>
          <w:spacing w:val="-103"/>
        </w:rPr>
      </w:r>
      <w:r>
        <w:rPr>
          <w:spacing w:val="-3"/>
        </w:rPr>
        <w:t>能源管理、智能医院解决方案、手术室核心指标快速检查系统、极管式湿式电除尘器和</w:t>
      </w:r>
      <w:r>
        <w:rPr>
          <w:spacing w:val="-102"/>
        </w:rPr>
        <w:t> </w:t>
      </w:r>
      <w:r>
        <w:rPr>
          <w:spacing w:val="-102"/>
        </w:rPr>
      </w:r>
      <w:r>
        <w:rPr/>
        <w:t>极管式湿式电除尘器等产品平台建设，并全面开展联盟合作，以公司优势产品为核心， </w:t>
      </w:r>
      <w:r>
        <w:rPr>
          <w:spacing w:val="-3"/>
        </w:rPr>
        <w:t>整合行业优势企业产品，构建公司一体化产品服务解决方案，较好地提升公司的市场竞</w:t>
      </w:r>
      <w:r>
        <w:rPr>
          <w:spacing w:val="-100"/>
        </w:rPr>
        <w:t> </w:t>
      </w:r>
      <w:r>
        <w:rPr>
          <w:spacing w:val="-100"/>
        </w:rPr>
      </w:r>
      <w:r>
        <w:rPr/>
        <w:t>争力。</w:t>
      </w:r>
    </w:p>
    <w:p>
      <w:pPr>
        <w:pStyle w:val="BodyText"/>
        <w:spacing w:line="357" w:lineRule="auto" w:before="36"/>
        <w:ind w:left="1920" w:right="1326" w:firstLine="2"/>
        <w:jc w:val="left"/>
      </w:pPr>
      <w:r>
        <w:rPr>
          <w:rFonts w:ascii="宋体" w:hAnsi="宋体" w:cs="宋体" w:eastAsia="宋体" w:hint="default"/>
          <w:b/>
          <w:bCs/>
        </w:rPr>
        <w:t>4</w:t>
      </w:r>
      <w:r>
        <w:rPr>
          <w:rFonts w:ascii="宋体" w:hAnsi="宋体" w:cs="宋体" w:eastAsia="宋体" w:hint="default"/>
          <w:b/>
          <w:bCs/>
        </w:rPr>
        <w:t>、对外投资方面</w:t>
      </w:r>
      <w:r>
        <w:rPr>
          <w:rFonts w:ascii="宋体" w:hAnsi="宋体" w:cs="宋体" w:eastAsia="宋体" w:hint="default"/>
          <w:b/>
          <w:bCs/>
          <w:w w:val="99"/>
        </w:rPr>
        <w:t> </w:t>
      </w:r>
      <w:r>
        <w:rPr/>
        <w:t>报告期内，公司以维护股东利益与促进公司战略规划实施为出发点，以开拓市场、</w:t>
      </w:r>
    </w:p>
    <w:p>
      <w:pPr>
        <w:pStyle w:val="BodyText"/>
        <w:spacing w:line="357" w:lineRule="auto" w:before="36"/>
        <w:ind w:left="1440" w:right="1033"/>
        <w:jc w:val="left"/>
      </w:pPr>
      <w:r>
        <w:rPr>
          <w:spacing w:val="-3"/>
        </w:rPr>
        <w:t>扩大生产规模确保公司持续、健康发展为目的，经科学论证、谨慎决策开展了以下对外</w:t>
      </w:r>
      <w:r>
        <w:rPr>
          <w:spacing w:val="-102"/>
        </w:rPr>
        <w:t> </w:t>
      </w:r>
      <w:r>
        <w:rPr>
          <w:spacing w:val="-102"/>
        </w:rPr>
      </w:r>
      <w:r>
        <w:rPr/>
        <w:t>投资活动：</w:t>
      </w:r>
    </w:p>
    <w:p>
      <w:pPr>
        <w:pStyle w:val="BodyText"/>
        <w:spacing w:line="357" w:lineRule="auto" w:before="36"/>
        <w:ind w:left="1920" w:right="1033"/>
        <w:jc w:val="left"/>
      </w:pPr>
      <w:r>
        <w:rPr/>
        <w:t>（</w:t>
      </w:r>
      <w:r>
        <w:rPr>
          <w:rFonts w:ascii="宋体" w:hAnsi="宋体" w:cs="宋体" w:eastAsia="宋体" w:hint="default"/>
        </w:rPr>
        <w:t>1</w:t>
      </w:r>
      <w:r>
        <w:rPr/>
        <w:t>）对江苏亿金环保的增资 </w:t>
      </w:r>
      <w:r>
        <w:rPr>
          <w:rFonts w:ascii="宋体" w:hAnsi="宋体" w:cs="宋体" w:eastAsia="宋体" w:hint="default"/>
          <w:spacing w:val="-3"/>
        </w:rPr>
        <w:t>1</w:t>
      </w:r>
      <w:r>
        <w:rPr>
          <w:spacing w:val="-3"/>
        </w:rPr>
        <w:t>）</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月公司根据江苏亿金重组方案的约定，将本次重大资产重组的配套募集</w:t>
      </w:r>
    </w:p>
    <w:p>
      <w:pPr>
        <w:pStyle w:val="BodyText"/>
        <w:spacing w:line="357" w:lineRule="auto" w:before="36"/>
        <w:ind w:left="1440" w:right="1436"/>
        <w:jc w:val="both"/>
      </w:pPr>
      <w:r>
        <w:rPr/>
        <w:t>资金</w:t>
      </w:r>
      <w:r>
        <w:rPr>
          <w:rFonts w:ascii="宋体" w:hAnsi="宋体" w:cs="宋体" w:eastAsia="宋体" w:hint="default"/>
        </w:rPr>
        <w:t>4151.036602</w:t>
      </w:r>
      <w:r>
        <w:rPr/>
        <w:t>万元单方面向江苏亿金增资，新增</w:t>
      </w:r>
      <w:r>
        <w:rPr>
          <w:rFonts w:ascii="宋体" w:hAnsi="宋体" w:cs="宋体" w:eastAsia="宋体" w:hint="default"/>
        </w:rPr>
        <w:t>914</w:t>
      </w:r>
      <w:r>
        <w:rPr/>
        <w:t>万股股权，持股数量从</w:t>
      </w:r>
      <w:r>
        <w:rPr>
          <w:rFonts w:ascii="宋体" w:hAnsi="宋体" w:cs="宋体" w:eastAsia="宋体" w:hint="default"/>
        </w:rPr>
        <w:t>3174.70</w:t>
      </w:r>
      <w:r>
        <w:rPr>
          <w:rFonts w:ascii="宋体" w:hAnsi="宋体" w:cs="宋体" w:eastAsia="宋体" w:hint="default"/>
          <w:spacing w:val="-114"/>
        </w:rPr>
        <w:t> </w:t>
      </w:r>
      <w:r>
        <w:rPr/>
        <w:t>万股增加到</w:t>
      </w:r>
      <w:r>
        <w:rPr>
          <w:rFonts w:ascii="宋体" w:hAnsi="宋体" w:cs="宋体" w:eastAsia="宋体" w:hint="default"/>
        </w:rPr>
        <w:t>4088.70</w:t>
      </w:r>
      <w:r>
        <w:rPr/>
        <w:t>万股，持股比例从</w:t>
      </w:r>
      <w:r>
        <w:rPr>
          <w:rFonts w:ascii="宋体" w:hAnsi="宋体" w:cs="宋体" w:eastAsia="宋体" w:hint="default"/>
        </w:rPr>
        <w:t>53%</w:t>
      </w:r>
      <w:r>
        <w:rPr/>
        <w:t>增至</w:t>
      </w:r>
      <w:r>
        <w:rPr>
          <w:rFonts w:ascii="宋体" w:hAnsi="宋体" w:cs="宋体" w:eastAsia="宋体" w:hint="default"/>
        </w:rPr>
        <w:t>59.222%</w:t>
      </w:r>
      <w:r>
        <w:rPr/>
        <w:t>，江苏亿金的注册资本将由人民</w:t>
      </w:r>
      <w:r>
        <w:rPr>
          <w:spacing w:val="-110"/>
        </w:rPr>
        <w:t> </w:t>
      </w:r>
      <w:r>
        <w:rPr>
          <w:spacing w:val="-110"/>
        </w:rPr>
      </w:r>
      <w:r>
        <w:rPr/>
        <w:t>币</w:t>
      </w:r>
      <w:r>
        <w:rPr>
          <w:rFonts w:ascii="宋体" w:hAnsi="宋体" w:cs="宋体" w:eastAsia="宋体" w:hint="default"/>
        </w:rPr>
        <w:t>5,990</w:t>
      </w:r>
      <w:r>
        <w:rPr/>
        <w:t>万元增至</w:t>
      </w:r>
      <w:r>
        <w:rPr>
          <w:rFonts w:ascii="宋体" w:hAnsi="宋体" w:cs="宋体" w:eastAsia="宋体" w:hint="default"/>
        </w:rPr>
        <w:t>6,904</w:t>
      </w:r>
      <w:r>
        <w:rPr/>
        <w:t>万元。</w:t>
      </w:r>
    </w:p>
    <w:p>
      <w:pPr>
        <w:pStyle w:val="BodyText"/>
        <w:spacing w:line="357" w:lineRule="auto" w:before="36"/>
        <w:ind w:left="1439" w:right="1436" w:firstLine="480"/>
        <w:jc w:val="both"/>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71"/>
        </w:rPr>
        <w:t> </w:t>
      </w:r>
      <w:r>
        <w:rPr/>
        <w:t>年</w:t>
      </w:r>
      <w:r>
        <w:rPr>
          <w:spacing w:val="-71"/>
        </w:rPr>
        <w:t> </w:t>
      </w:r>
      <w:r>
        <w:rPr>
          <w:rFonts w:ascii="宋体" w:hAnsi="宋体" w:cs="宋体" w:eastAsia="宋体" w:hint="default"/>
        </w:rPr>
        <w:t>2</w:t>
      </w:r>
      <w:r>
        <w:rPr>
          <w:rFonts w:ascii="宋体" w:hAnsi="宋体" w:cs="宋体" w:eastAsia="宋体" w:hint="default"/>
          <w:spacing w:val="-71"/>
        </w:rPr>
        <w:t> </w:t>
      </w:r>
      <w:r>
        <w:rPr/>
        <w:t>月完成了对控股子公司江苏亿金环保科技有限公司（以下简称“江苏 </w:t>
      </w:r>
      <w:r>
        <w:rPr>
          <w:spacing w:val="-4"/>
        </w:rPr>
        <w:t>亿金”或“亿金环保”）增资的对外投资活动，以进一步提升江苏亿金的市场竞争力，</w:t>
      </w:r>
      <w:r>
        <w:rPr>
          <w:spacing w:val="-88"/>
        </w:rPr>
        <w:t> </w:t>
      </w:r>
      <w:r>
        <w:rPr>
          <w:spacing w:val="-88"/>
        </w:rPr>
      </w:r>
      <w:r>
        <w:rPr/>
        <w:t>推动其生产经营活动的顺利开展。经</w:t>
      </w:r>
      <w:r>
        <w:rPr>
          <w:spacing w:val="-56"/>
        </w:rPr>
        <w:t> </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rPr>
        <w:t>4</w:t>
      </w:r>
      <w:r>
        <w:rPr>
          <w:rFonts w:ascii="宋体" w:hAnsi="宋体" w:cs="宋体" w:eastAsia="宋体" w:hint="default"/>
          <w:spacing w:val="-57"/>
        </w:rPr>
        <w:t> </w:t>
      </w:r>
      <w:r>
        <w:rPr/>
        <w:t>日召开的第二届董事会第二十二次 </w:t>
      </w:r>
      <w:r>
        <w:rPr>
          <w:spacing w:val="-4"/>
        </w:rPr>
        <w:t>会议审议通过《关于使用自有资金增资江苏亿金环保科技有限公司的议案》，同意公司</w:t>
      </w:r>
      <w:r>
        <w:rPr>
          <w:spacing w:val="-88"/>
        </w:rPr>
        <w:t> </w:t>
      </w:r>
      <w:r>
        <w:rPr>
          <w:spacing w:val="-88"/>
        </w:rPr>
      </w:r>
      <w:r>
        <w:rPr/>
        <w:t>使用自有资金</w:t>
      </w:r>
      <w:r>
        <w:rPr>
          <w:spacing w:val="-54"/>
        </w:rPr>
        <w:t> </w:t>
      </w:r>
      <w:r>
        <w:rPr>
          <w:rFonts w:ascii="宋体" w:hAnsi="宋体" w:cs="宋体" w:eastAsia="宋体" w:hint="default"/>
        </w:rPr>
        <w:t>1,833.50</w:t>
      </w:r>
      <w:r>
        <w:rPr>
          <w:rFonts w:ascii="宋体" w:hAnsi="宋体" w:cs="宋体" w:eastAsia="宋体" w:hint="default"/>
          <w:spacing w:val="-54"/>
        </w:rPr>
        <w:t> </w:t>
      </w:r>
      <w:r>
        <w:rPr/>
        <w:t>万元与江苏亿金其他主要股东共同出资人民币</w:t>
      </w:r>
      <w:r>
        <w:rPr>
          <w:spacing w:val="-54"/>
        </w:rPr>
        <w:t> </w:t>
      </w:r>
      <w:r>
        <w:rPr>
          <w:rFonts w:ascii="宋体" w:hAnsi="宋体" w:cs="宋体" w:eastAsia="宋体" w:hint="default"/>
        </w:rPr>
        <w:t>3,096</w:t>
      </w:r>
      <w:r>
        <w:rPr>
          <w:rFonts w:ascii="宋体" w:hAnsi="宋体" w:cs="宋体" w:eastAsia="宋体" w:hint="default"/>
          <w:spacing w:val="-54"/>
        </w:rPr>
        <w:t> </w:t>
      </w:r>
      <w:r>
        <w:rPr/>
        <w:t>万元对公</w:t>
      </w:r>
    </w:p>
    <w:p>
      <w:pPr>
        <w:spacing w:after="0" w:line="357" w:lineRule="auto"/>
        <w:jc w:val="both"/>
        <w:sectPr>
          <w:footerReference w:type="default" r:id="rId21"/>
          <w:pgSz w:w="11910" w:h="16840"/>
          <w:pgMar w:footer="1372" w:header="747" w:top="1060" w:bottom="1560" w:left="0" w:right="0"/>
          <w:pgNumType w:start="22"/>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4"/>
        <w:ind w:left="1440" w:right="1436"/>
        <w:jc w:val="both"/>
      </w:pPr>
      <w:r>
        <w:rPr/>
        <w:t>万元增至</w:t>
      </w:r>
      <w:r>
        <w:rPr>
          <w:spacing w:val="-57"/>
        </w:rPr>
        <w:t> </w:t>
      </w:r>
      <w:r>
        <w:rPr>
          <w:rFonts w:ascii="宋体" w:hAnsi="宋体" w:cs="宋体" w:eastAsia="宋体" w:hint="default"/>
        </w:rPr>
        <w:t>10,000</w:t>
      </w:r>
      <w:r>
        <w:rPr>
          <w:rFonts w:ascii="宋体" w:hAnsi="宋体" w:cs="宋体" w:eastAsia="宋体" w:hint="default"/>
          <w:spacing w:val="-57"/>
        </w:rPr>
        <w:t> </w:t>
      </w:r>
      <w:r>
        <w:rPr>
          <w:spacing w:val="-3"/>
        </w:rPr>
        <w:t>万元；其中公司对江苏亿金的出资总额增加到</w:t>
      </w:r>
      <w:r>
        <w:rPr>
          <w:spacing w:val="-57"/>
        </w:rPr>
        <w:t> </w:t>
      </w:r>
      <w:r>
        <w:rPr>
          <w:rFonts w:ascii="宋体" w:hAnsi="宋体" w:cs="宋体" w:eastAsia="宋体" w:hint="default"/>
        </w:rPr>
        <w:t>5,922.20</w:t>
      </w:r>
      <w:r>
        <w:rPr>
          <w:rFonts w:ascii="宋体" w:hAnsi="宋体" w:cs="宋体" w:eastAsia="宋体" w:hint="default"/>
          <w:spacing w:val="-57"/>
        </w:rPr>
        <w:t> </w:t>
      </w:r>
      <w:r>
        <w:rPr>
          <w:spacing w:val="-8"/>
        </w:rPr>
        <w:t>万元，持股比</w:t>
      </w:r>
      <w:r>
        <w:rPr/>
        <w:t> 例仍为</w:t>
      </w:r>
      <w:r>
        <w:rPr>
          <w:spacing w:val="-56"/>
        </w:rPr>
        <w:t> </w:t>
      </w:r>
      <w:r>
        <w:rPr>
          <w:rFonts w:ascii="宋体" w:hAnsi="宋体" w:cs="宋体" w:eastAsia="宋体" w:hint="default"/>
        </w:rPr>
        <w:t>59.222%</w:t>
      </w:r>
      <w:r>
        <w:rPr/>
        <w:t>。</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8"/>
        </w:rPr>
        <w:t> </w:t>
      </w:r>
      <w:r>
        <w:rPr/>
        <w:t>月</w:t>
      </w:r>
      <w:r>
        <w:rPr>
          <w:spacing w:val="-57"/>
        </w:rPr>
        <w:t> </w:t>
      </w:r>
      <w:r>
        <w:rPr>
          <w:rFonts w:ascii="宋体" w:hAnsi="宋体" w:cs="宋体" w:eastAsia="宋体" w:hint="default"/>
        </w:rPr>
        <w:t>11</w:t>
      </w:r>
      <w:r>
        <w:rPr>
          <w:rFonts w:ascii="宋体" w:hAnsi="宋体" w:cs="宋体" w:eastAsia="宋体" w:hint="default"/>
          <w:spacing w:val="-56"/>
        </w:rPr>
        <w:t> </w:t>
      </w:r>
      <w:r>
        <w:rPr/>
        <w:t>日，已完成江苏亿金本次增资事项的工商变更手续， </w:t>
      </w:r>
      <w:r>
        <w:rPr>
          <w:spacing w:val="-5"/>
        </w:rPr>
        <w:t>取得无锡市江阴工商行政管理局换发的《企业法人营业执照》。</w:t>
      </w:r>
    </w:p>
    <w:p>
      <w:pPr>
        <w:pStyle w:val="BodyText"/>
        <w:spacing w:line="357" w:lineRule="auto" w:before="36"/>
        <w:ind w:left="1920" w:right="1033"/>
        <w:jc w:val="left"/>
      </w:pPr>
      <w:r>
        <w:rPr/>
        <w:t>（</w:t>
      </w:r>
      <w:r>
        <w:rPr>
          <w:rFonts w:ascii="宋体" w:hAnsi="宋体" w:cs="宋体" w:eastAsia="宋体" w:hint="default"/>
        </w:rPr>
        <w:t>2</w:t>
      </w:r>
      <w:r>
        <w:rPr/>
        <w:t>）参股上海国富光启 </w:t>
      </w:r>
      <w:r>
        <w:rPr>
          <w:spacing w:val="-4"/>
        </w:rPr>
        <w:t>实施了对上海国富光启云计算科技股份有限公司（以下简称“上海国富光启”）增</w:t>
      </w:r>
    </w:p>
    <w:p>
      <w:pPr>
        <w:pStyle w:val="BodyText"/>
        <w:spacing w:line="357" w:lineRule="auto" w:before="36"/>
        <w:ind w:left="1440" w:right="1437"/>
        <w:jc w:val="both"/>
      </w:pPr>
      <w:r>
        <w:rPr>
          <w:spacing w:val="-3"/>
        </w:rPr>
        <w:t>资的投资活动，以进一步拓展公司精密环境产品及工程市场，扩大生产经营规模，提高</w:t>
      </w:r>
      <w:r>
        <w:rPr>
          <w:spacing w:val="-102"/>
        </w:rPr>
        <w:t> </w:t>
      </w:r>
      <w:r>
        <w:rPr>
          <w:spacing w:val="-102"/>
        </w:rPr>
      </w:r>
      <w:r>
        <w:rPr/>
        <w:t>公司的市场竞争力和盈利能力。经</w:t>
      </w:r>
      <w:r>
        <w:rPr>
          <w:spacing w:val="-56"/>
        </w:rPr>
        <w:t> </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rPr>
        <w:t>4</w:t>
      </w:r>
      <w:r>
        <w:rPr>
          <w:rFonts w:ascii="宋体" w:hAnsi="宋体" w:cs="宋体" w:eastAsia="宋体" w:hint="default"/>
          <w:spacing w:val="-57"/>
        </w:rPr>
        <w:t> </w:t>
      </w:r>
      <w:r>
        <w:rPr/>
        <w:t>日召开的第二届董事会第二十二次会 </w:t>
      </w:r>
      <w:r>
        <w:rPr>
          <w:spacing w:val="-3"/>
        </w:rPr>
        <w:t>议审议通过《关于使用自有资金对上海国富光启云计算科技股份有限公司进行增资的议</w:t>
      </w:r>
      <w:r>
        <w:rPr>
          <w:spacing w:val="-100"/>
        </w:rPr>
        <w:t> </w:t>
      </w:r>
      <w:r>
        <w:rPr>
          <w:spacing w:val="-100"/>
        </w:rPr>
      </w:r>
      <w:r>
        <w:rPr>
          <w:spacing w:val="-10"/>
        </w:rPr>
        <w:t>案》，同意公司使用自有资金</w:t>
      </w:r>
      <w:r>
        <w:rPr>
          <w:spacing w:val="-52"/>
        </w:rPr>
        <w:t> </w:t>
      </w:r>
      <w:r>
        <w:rPr>
          <w:rFonts w:ascii="宋体" w:hAnsi="宋体" w:cs="宋体" w:eastAsia="宋体" w:hint="default"/>
        </w:rPr>
        <w:t>900</w:t>
      </w:r>
      <w:r>
        <w:rPr>
          <w:rFonts w:ascii="宋体" w:hAnsi="宋体" w:cs="宋体" w:eastAsia="宋体" w:hint="default"/>
          <w:spacing w:val="-51"/>
        </w:rPr>
        <w:t> </w:t>
      </w:r>
      <w:r>
        <w:rPr/>
        <w:t>万元与其他</w:t>
      </w:r>
      <w:r>
        <w:rPr>
          <w:spacing w:val="-52"/>
        </w:rPr>
        <w:t> </w:t>
      </w:r>
      <w:r>
        <w:rPr>
          <w:rFonts w:ascii="宋体" w:hAnsi="宋体" w:cs="宋体" w:eastAsia="宋体" w:hint="default"/>
        </w:rPr>
        <w:t>3</w:t>
      </w:r>
      <w:r>
        <w:rPr>
          <w:rFonts w:ascii="宋体" w:hAnsi="宋体" w:cs="宋体" w:eastAsia="宋体" w:hint="default"/>
          <w:spacing w:val="-52"/>
        </w:rPr>
        <w:t> </w:t>
      </w:r>
      <w:r>
        <w:rPr/>
        <w:t>方共同对上海国富光启进行增资，增资</w:t>
      </w:r>
    </w:p>
    <w:p>
      <w:pPr>
        <w:pStyle w:val="BodyText"/>
        <w:spacing w:line="357" w:lineRule="auto" w:before="36"/>
        <w:ind w:left="1439" w:right="1316"/>
        <w:jc w:val="both"/>
      </w:pPr>
      <w:r>
        <w:rPr/>
        <w:t>完成后上海国富光启的注册资本将由人民币</w:t>
      </w:r>
      <w:r>
        <w:rPr>
          <w:spacing w:val="-60"/>
        </w:rPr>
        <w:t> </w:t>
      </w:r>
      <w:r>
        <w:rPr>
          <w:rFonts w:ascii="宋体" w:hAnsi="宋体" w:cs="宋体" w:eastAsia="宋体" w:hint="default"/>
        </w:rPr>
        <w:t>8,600</w:t>
      </w:r>
      <w:r>
        <w:rPr>
          <w:rFonts w:ascii="宋体" w:hAnsi="宋体" w:cs="宋体" w:eastAsia="宋体" w:hint="default"/>
          <w:spacing w:val="-60"/>
        </w:rPr>
        <w:t> </w:t>
      </w:r>
      <w:r>
        <w:rPr/>
        <w:t>万元增至</w:t>
      </w:r>
      <w:r>
        <w:rPr>
          <w:spacing w:val="-60"/>
        </w:rPr>
        <w:t> </w:t>
      </w:r>
      <w:r>
        <w:rPr>
          <w:rFonts w:ascii="宋体" w:hAnsi="宋体" w:cs="宋体" w:eastAsia="宋体" w:hint="default"/>
        </w:rPr>
        <w:t>8,780</w:t>
      </w:r>
      <w:r>
        <w:rPr>
          <w:rFonts w:ascii="宋体" w:hAnsi="宋体" w:cs="宋体" w:eastAsia="宋体" w:hint="default"/>
          <w:spacing w:val="-60"/>
        </w:rPr>
        <w:t> </w:t>
      </w:r>
      <w:r>
        <w:rPr>
          <w:spacing w:val="-11"/>
        </w:rPr>
        <w:t>万元，其中公司持股</w:t>
      </w:r>
      <w:r>
        <w:rPr/>
        <w:t> 数量为</w:t>
      </w:r>
      <w:r>
        <w:rPr>
          <w:spacing w:val="-67"/>
        </w:rPr>
        <w:t> </w:t>
      </w:r>
      <w:r>
        <w:rPr>
          <w:rFonts w:ascii="宋体" w:hAnsi="宋体" w:cs="宋体" w:eastAsia="宋体" w:hint="default"/>
        </w:rPr>
        <w:t>60</w:t>
      </w:r>
      <w:r>
        <w:rPr>
          <w:rFonts w:ascii="宋体" w:hAnsi="宋体" w:cs="宋体" w:eastAsia="宋体" w:hint="default"/>
          <w:spacing w:val="-67"/>
        </w:rPr>
        <w:t> </w:t>
      </w:r>
      <w:r>
        <w:rPr/>
        <w:t>万股，持股比例为</w:t>
      </w:r>
      <w:r>
        <w:rPr>
          <w:spacing w:val="-67"/>
        </w:rPr>
        <w:t> </w:t>
      </w:r>
      <w:r>
        <w:rPr>
          <w:rFonts w:ascii="宋体" w:hAnsi="宋体" w:cs="宋体" w:eastAsia="宋体" w:hint="default"/>
        </w:rPr>
        <w:t>0.683%</w:t>
      </w:r>
      <w:r>
        <w:rPr/>
        <w:t>。上海国富光启已在上海股权托管交易中心、工商 </w:t>
      </w:r>
      <w:r>
        <w:rPr>
          <w:spacing w:val="-3"/>
        </w:rPr>
        <w:t>行政管理部门办理相关资产登记手续，并于</w:t>
      </w:r>
      <w:r>
        <w:rPr>
          <w:spacing w:val="-58"/>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27</w:t>
      </w:r>
      <w:r>
        <w:rPr>
          <w:rFonts w:ascii="宋体" w:hAnsi="宋体" w:cs="宋体" w:eastAsia="宋体" w:hint="default"/>
          <w:spacing w:val="-58"/>
        </w:rPr>
        <w:t> </w:t>
      </w:r>
      <w:r>
        <w:rPr>
          <w:spacing w:val="-13"/>
        </w:rPr>
        <w:t>日获得换发的《营业执照》，</w:t>
      </w:r>
    </w:p>
    <w:p>
      <w:pPr>
        <w:pStyle w:val="BodyText"/>
        <w:spacing w:line="240" w:lineRule="auto" w:before="36"/>
        <w:ind w:left="1440" w:right="0"/>
        <w:jc w:val="both"/>
      </w:pPr>
      <w:r>
        <w:rPr/>
        <w:t>其注册资本从</w:t>
      </w:r>
      <w:r>
        <w:rPr>
          <w:spacing w:val="-60"/>
        </w:rPr>
        <w:t> </w:t>
      </w:r>
      <w:r>
        <w:rPr>
          <w:rFonts w:ascii="宋体" w:hAnsi="宋体" w:cs="宋体" w:eastAsia="宋体" w:hint="default"/>
        </w:rPr>
        <w:t>8,600</w:t>
      </w:r>
      <w:r>
        <w:rPr>
          <w:rFonts w:ascii="宋体" w:hAnsi="宋体" w:cs="宋体" w:eastAsia="宋体" w:hint="default"/>
          <w:spacing w:val="-60"/>
        </w:rPr>
        <w:t> </w:t>
      </w:r>
      <w:r>
        <w:rPr/>
        <w:t>万元增至</w:t>
      </w:r>
      <w:r>
        <w:rPr>
          <w:spacing w:val="-60"/>
        </w:rPr>
        <w:t> </w:t>
      </w:r>
      <w:r>
        <w:rPr>
          <w:rFonts w:ascii="宋体" w:hAnsi="宋体" w:cs="宋体" w:eastAsia="宋体" w:hint="default"/>
        </w:rPr>
        <w:t>8,780</w:t>
      </w:r>
      <w:r>
        <w:rPr>
          <w:rFonts w:ascii="宋体" w:hAnsi="宋体" w:cs="宋体" w:eastAsia="宋体" w:hint="default"/>
          <w:spacing w:val="-60"/>
        </w:rPr>
        <w:t> </w:t>
      </w:r>
      <w:r>
        <w:rPr/>
        <w:t>万元。</w:t>
      </w:r>
    </w:p>
    <w:p>
      <w:pPr>
        <w:pStyle w:val="BodyText"/>
        <w:spacing w:line="357" w:lineRule="auto" w:before="154"/>
        <w:ind w:left="1920" w:right="1434"/>
        <w:jc w:val="left"/>
      </w:pPr>
      <w:r>
        <w:rPr/>
        <w:t>（</w:t>
      </w:r>
      <w:r>
        <w:rPr>
          <w:rFonts w:ascii="宋体" w:hAnsi="宋体" w:cs="宋体" w:eastAsia="宋体" w:hint="default"/>
        </w:rPr>
        <w:t>3</w:t>
      </w:r>
      <w:r>
        <w:rPr/>
        <w:t>）参股设立康为嘉 </w:t>
      </w:r>
      <w:r>
        <w:rPr>
          <w:spacing w:val="-3"/>
        </w:rPr>
        <w:t>实施了参股设立合资公司的投资活动，以充分利用各投资方在信息化基础建设领域</w:t>
      </w:r>
    </w:p>
    <w:p>
      <w:pPr>
        <w:pStyle w:val="BodyText"/>
        <w:spacing w:line="357" w:lineRule="auto" w:before="36"/>
        <w:ind w:left="1440" w:right="1437"/>
        <w:jc w:val="both"/>
      </w:pPr>
      <w:r>
        <w:rPr>
          <w:spacing w:val="-3"/>
        </w:rPr>
        <w:t>资源、技术、市场的优势，共筑战略发展平台，力争成为该领域具有竞争力的综合服务</w:t>
      </w:r>
      <w:r>
        <w:rPr>
          <w:spacing w:val="-102"/>
        </w:rPr>
        <w:t> </w:t>
      </w:r>
      <w:r>
        <w:rPr>
          <w:spacing w:val="-102"/>
        </w:rPr>
      </w:r>
      <w:r>
        <w:rPr>
          <w:spacing w:val="-16"/>
        </w:rPr>
        <w:t>商。经</w:t>
      </w:r>
      <w:r>
        <w:rPr>
          <w:spacing w:val="-68"/>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2</w:t>
      </w:r>
      <w:r>
        <w:rPr>
          <w:rFonts w:ascii="宋体" w:hAnsi="宋体" w:cs="宋体" w:eastAsia="宋体" w:hint="default"/>
          <w:spacing w:val="-68"/>
        </w:rPr>
        <w:t> </w:t>
      </w:r>
      <w:r>
        <w:rPr/>
        <w:t>月</w:t>
      </w:r>
      <w:r>
        <w:rPr>
          <w:spacing w:val="-68"/>
        </w:rPr>
        <w:t> </w:t>
      </w:r>
      <w:r>
        <w:rPr>
          <w:rFonts w:ascii="宋体" w:hAnsi="宋体" w:cs="宋体" w:eastAsia="宋体" w:hint="default"/>
        </w:rPr>
        <w:t>12</w:t>
      </w:r>
      <w:r>
        <w:rPr>
          <w:rFonts w:ascii="宋体" w:hAnsi="宋体" w:cs="宋体" w:eastAsia="宋体" w:hint="default"/>
          <w:spacing w:val="-68"/>
        </w:rPr>
        <w:t> </w:t>
      </w:r>
      <w:r>
        <w:rPr/>
        <w:t>日召开的第二届董事会第二十三次会议审议通过《关于使用自有</w:t>
      </w:r>
    </w:p>
    <w:p>
      <w:pPr>
        <w:pStyle w:val="BodyText"/>
        <w:spacing w:line="240" w:lineRule="auto" w:before="36"/>
        <w:ind w:left="1440" w:right="0"/>
        <w:jc w:val="both"/>
      </w:pPr>
      <w:r>
        <w:rPr/>
        <w:t>资金设立参股公司的议案</w:t>
      </w:r>
      <w:r>
        <w:rPr>
          <w:spacing w:val="-120"/>
        </w:rPr>
        <w:t>》</w:t>
      </w:r>
      <w:r>
        <w:rPr/>
        <w:t>，同意公司使用自有资金</w:t>
      </w:r>
      <w:r>
        <w:rPr>
          <w:spacing w:val="-46"/>
        </w:rPr>
        <w:t> </w:t>
      </w:r>
      <w:r>
        <w:rPr>
          <w:rFonts w:ascii="宋体" w:hAnsi="宋体" w:cs="宋体" w:eastAsia="宋体" w:hint="default"/>
        </w:rPr>
        <w:t>300</w:t>
      </w:r>
      <w:r>
        <w:rPr>
          <w:rFonts w:ascii="宋体" w:hAnsi="宋体" w:cs="宋体" w:eastAsia="宋体" w:hint="default"/>
          <w:spacing w:val="-47"/>
        </w:rPr>
        <w:t> </w:t>
      </w:r>
      <w:r>
        <w:rPr/>
        <w:t>万元与李志先生、深圳高鸿盛</w:t>
      </w:r>
    </w:p>
    <w:p>
      <w:pPr>
        <w:pStyle w:val="BodyText"/>
        <w:spacing w:line="240" w:lineRule="auto" w:before="154"/>
        <w:ind w:left="1440" w:right="0"/>
        <w:jc w:val="both"/>
      </w:pPr>
      <w:r>
        <w:rPr/>
        <w:t>投资咨询有限公司共同投资</w:t>
      </w:r>
      <w:r>
        <w:rPr>
          <w:spacing w:val="-50"/>
        </w:rPr>
        <w:t> </w:t>
      </w:r>
      <w:r>
        <w:rPr>
          <w:rFonts w:ascii="宋体" w:hAnsi="宋体" w:cs="宋体" w:eastAsia="宋体" w:hint="default"/>
        </w:rPr>
        <w:t>1,000</w:t>
      </w:r>
      <w:r>
        <w:rPr>
          <w:rFonts w:ascii="宋体" w:hAnsi="宋体" w:cs="宋体" w:eastAsia="宋体" w:hint="default"/>
          <w:spacing w:val="-50"/>
        </w:rPr>
        <w:t> </w:t>
      </w:r>
      <w:r>
        <w:rPr>
          <w:spacing w:val="-5"/>
        </w:rPr>
        <w:t>万元在四川成都设立合资公司，其中依米康以自有资</w:t>
      </w:r>
    </w:p>
    <w:p>
      <w:pPr>
        <w:pStyle w:val="BodyText"/>
        <w:spacing w:line="357" w:lineRule="auto" w:before="154"/>
        <w:ind w:left="1440" w:right="1306"/>
        <w:jc w:val="left"/>
      </w:pPr>
      <w:r>
        <w:rPr/>
        <w:t>金出资人民币</w:t>
      </w:r>
      <w:r>
        <w:rPr>
          <w:spacing w:val="-59"/>
        </w:rPr>
        <w:t> </w:t>
      </w:r>
      <w:r>
        <w:rPr>
          <w:rFonts w:ascii="宋体" w:hAnsi="宋体" w:cs="宋体" w:eastAsia="宋体" w:hint="default"/>
        </w:rPr>
        <w:t>300</w:t>
      </w:r>
      <w:r>
        <w:rPr>
          <w:rFonts w:ascii="宋体" w:hAnsi="宋体" w:cs="宋体" w:eastAsia="宋体" w:hint="default"/>
          <w:spacing w:val="-59"/>
        </w:rPr>
        <w:t> </w:t>
      </w:r>
      <w:r>
        <w:rPr>
          <w:spacing w:val="-4"/>
        </w:rPr>
        <w:t>万元，占出资比例</w:t>
      </w:r>
      <w:r>
        <w:rPr>
          <w:spacing w:val="-59"/>
        </w:rPr>
        <w:t> </w:t>
      </w:r>
      <w:r>
        <w:rPr>
          <w:rFonts w:ascii="宋体" w:hAnsi="宋体" w:cs="宋体" w:eastAsia="宋体" w:hint="default"/>
          <w:spacing w:val="-4"/>
        </w:rPr>
        <w:t>30%</w:t>
      </w:r>
      <w:r>
        <w:rPr>
          <w:spacing w:val="-4"/>
        </w:rPr>
        <w:t>，为合资公司的参股股东。</w:t>
      </w:r>
      <w:r>
        <w:rPr>
          <w:rFonts w:ascii="宋体" w:hAnsi="宋体" w:cs="宋体" w:eastAsia="宋体" w:hint="default"/>
          <w:spacing w:val="-4"/>
        </w:rPr>
        <w:t>2015</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27</w:t>
      </w:r>
      <w:r>
        <w:rPr>
          <w:rFonts w:ascii="宋体" w:hAnsi="宋体" w:cs="宋体" w:eastAsia="宋体" w:hint="default"/>
          <w:spacing w:val="-59"/>
        </w:rPr>
        <w:t> </w:t>
      </w:r>
      <w:r>
        <w:rPr/>
        <w:t>日， </w:t>
      </w:r>
      <w:r>
        <w:rPr>
          <w:spacing w:val="-3"/>
        </w:rPr>
        <w:t>四川康为嘉已完成工商注册登记手续，取得成都市工商行政管理局核发的《企业法人营</w:t>
      </w:r>
      <w:r>
        <w:rPr>
          <w:spacing w:val="-100"/>
        </w:rPr>
        <w:t> </w:t>
      </w:r>
      <w:r>
        <w:rPr>
          <w:spacing w:val="-100"/>
        </w:rPr>
      </w:r>
      <w:r>
        <w:rPr>
          <w:spacing w:val="-5"/>
        </w:rPr>
        <w:t>业执照》；截止本报告披露日，各方还未完成注册资本出资。</w:t>
      </w:r>
    </w:p>
    <w:p>
      <w:pPr>
        <w:pStyle w:val="BodyText"/>
        <w:spacing w:line="240" w:lineRule="auto" w:before="36"/>
        <w:ind w:left="1920" w:right="1033"/>
        <w:jc w:val="left"/>
      </w:pPr>
      <w:r>
        <w:rPr/>
        <w:t>（</w:t>
      </w:r>
      <w:r>
        <w:rPr>
          <w:rFonts w:ascii="宋体" w:hAnsi="宋体" w:cs="宋体" w:eastAsia="宋体" w:hint="default"/>
        </w:rPr>
        <w:t>4</w:t>
      </w:r>
      <w:r>
        <w:rPr/>
        <w:t>）增资西安华西</w:t>
      </w:r>
    </w:p>
    <w:p>
      <w:pPr>
        <w:pStyle w:val="BodyText"/>
        <w:spacing w:line="357" w:lineRule="auto" w:before="154"/>
        <w:ind w:left="1440" w:right="1437" w:firstLine="480"/>
        <w:jc w:val="both"/>
      </w:pPr>
      <w:r>
        <w:rPr>
          <w:rFonts w:ascii="宋体" w:hAnsi="宋体" w:cs="宋体" w:eastAsia="宋体" w:hint="default"/>
        </w:rPr>
        <w:t>2015</w:t>
      </w:r>
      <w:r>
        <w:rPr>
          <w:rFonts w:ascii="宋体" w:hAnsi="宋体" w:cs="宋体" w:eastAsia="宋体" w:hint="default"/>
          <w:spacing w:val="-67"/>
        </w:rPr>
        <w:t> </w:t>
      </w:r>
      <w:r>
        <w:rPr/>
        <w:t>年</w:t>
      </w:r>
      <w:r>
        <w:rPr>
          <w:spacing w:val="-67"/>
        </w:rPr>
        <w:t> </w:t>
      </w:r>
      <w:r>
        <w:rPr>
          <w:rFonts w:ascii="宋体" w:hAnsi="宋体" w:cs="宋体" w:eastAsia="宋体" w:hint="default"/>
        </w:rPr>
        <w:t>10</w:t>
      </w:r>
      <w:r>
        <w:rPr>
          <w:rFonts w:ascii="宋体" w:hAnsi="宋体" w:cs="宋体" w:eastAsia="宋体" w:hint="default"/>
          <w:spacing w:val="-67"/>
        </w:rPr>
        <w:t> </w:t>
      </w:r>
      <w:r>
        <w:rPr/>
        <w:t>月公司使用超募资金</w:t>
      </w:r>
      <w:r>
        <w:rPr>
          <w:spacing w:val="-67"/>
        </w:rPr>
        <w:t> </w:t>
      </w:r>
      <w:r>
        <w:rPr>
          <w:rFonts w:ascii="宋体" w:hAnsi="宋体" w:cs="宋体" w:eastAsia="宋体" w:hint="default"/>
        </w:rPr>
        <w:t>1041.82</w:t>
      </w:r>
      <w:r>
        <w:rPr>
          <w:rFonts w:ascii="宋体" w:hAnsi="宋体" w:cs="宋体" w:eastAsia="宋体" w:hint="default"/>
          <w:spacing w:val="-67"/>
        </w:rPr>
        <w:t> </w:t>
      </w:r>
      <w:r>
        <w:rPr/>
        <w:t>万元与高峰、郭倩、深圳市前海汇金天源 </w:t>
      </w:r>
      <w:r>
        <w:rPr>
          <w:spacing w:val="-3"/>
        </w:rPr>
        <w:t>数字技术股份有限公司和上海乐长长投资有限公司对西安华西进行第二期增资，增资后</w:t>
      </w:r>
      <w:r>
        <w:rPr>
          <w:spacing w:val="-100"/>
        </w:rPr>
        <w:t> </w:t>
      </w:r>
      <w:r>
        <w:rPr>
          <w:spacing w:val="-100"/>
        </w:rPr>
      </w:r>
      <w:r>
        <w:rPr/>
        <w:t>西安华西股本从</w:t>
      </w:r>
      <w:r>
        <w:rPr>
          <w:spacing w:val="-60"/>
        </w:rPr>
        <w:t> </w:t>
      </w:r>
      <w:r>
        <w:rPr>
          <w:rFonts w:ascii="宋体" w:hAnsi="宋体" w:cs="宋体" w:eastAsia="宋体" w:hint="default"/>
        </w:rPr>
        <w:t>3,010</w:t>
      </w:r>
      <w:r>
        <w:rPr>
          <w:rFonts w:ascii="宋体" w:hAnsi="宋体" w:cs="宋体" w:eastAsia="宋体" w:hint="default"/>
          <w:spacing w:val="-60"/>
        </w:rPr>
        <w:t> </w:t>
      </w:r>
      <w:r>
        <w:rPr/>
        <w:t>万元增至</w:t>
      </w:r>
      <w:r>
        <w:rPr>
          <w:spacing w:val="-60"/>
        </w:rPr>
        <w:t> </w:t>
      </w:r>
      <w:r>
        <w:rPr>
          <w:rFonts w:ascii="宋体" w:hAnsi="宋体" w:cs="宋体" w:eastAsia="宋体" w:hint="default"/>
        </w:rPr>
        <w:t>5,050</w:t>
      </w:r>
      <w:r>
        <w:rPr>
          <w:rFonts w:ascii="宋体" w:hAnsi="宋体" w:cs="宋体" w:eastAsia="宋体" w:hint="default"/>
          <w:spacing w:val="-60"/>
        </w:rPr>
        <w:t> </w:t>
      </w:r>
      <w:r>
        <w:rPr/>
        <w:t>万元，公司持股比例仍为</w:t>
      </w:r>
      <w:r>
        <w:rPr>
          <w:spacing w:val="-60"/>
        </w:rPr>
        <w:t> </w:t>
      </w:r>
      <w:r>
        <w:rPr>
          <w:rFonts w:ascii="宋体" w:hAnsi="宋体" w:cs="宋体" w:eastAsia="宋体" w:hint="default"/>
        </w:rPr>
        <w:t>51.07%</w:t>
      </w:r>
      <w:r>
        <w:rPr/>
        <w:t>。</w:t>
      </w:r>
    </w:p>
    <w:p>
      <w:pPr>
        <w:pStyle w:val="BodyText"/>
        <w:spacing w:line="240" w:lineRule="auto" w:before="36"/>
        <w:ind w:left="1920" w:right="1033"/>
        <w:jc w:val="left"/>
      </w:pPr>
      <w:r>
        <w:rPr/>
        <w:t>（</w:t>
      </w:r>
      <w:r>
        <w:rPr>
          <w:rFonts w:ascii="宋体" w:hAnsi="宋体" w:cs="宋体" w:eastAsia="宋体" w:hint="default"/>
        </w:rPr>
        <w:t>5</w:t>
      </w:r>
      <w:r>
        <w:rPr/>
        <w:t>）收购深圳龙控事项</w:t>
      </w:r>
    </w:p>
    <w:p>
      <w:pPr>
        <w:pStyle w:val="BodyText"/>
        <w:spacing w:line="357" w:lineRule="auto" w:before="154"/>
        <w:ind w:left="1440" w:right="1436" w:firstLine="480"/>
        <w:jc w:val="both"/>
      </w:pPr>
      <w:r>
        <w:rPr/>
        <w:t>报告期内，公司于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月启动拟发行股份及现金支付方式购买公司控股子公 司深圳市龙控智能技术有限公司</w:t>
      </w:r>
      <w:r>
        <w:rPr>
          <w:spacing w:val="-90"/>
        </w:rPr>
        <w:t> </w:t>
      </w:r>
      <w:r>
        <w:rPr>
          <w:rFonts w:ascii="宋体" w:hAnsi="宋体" w:cs="宋体" w:eastAsia="宋体" w:hint="default"/>
        </w:rPr>
        <w:t>49%</w:t>
      </w:r>
      <w:r>
        <w:rPr/>
        <w:t>股份并募集配套资金的重大投资活动，后因双方在 </w:t>
      </w:r>
      <w:r>
        <w:rPr>
          <w:spacing w:val="-3"/>
        </w:rPr>
        <w:t>部分重组条款上无法达成一致意见，经双方慎重考虑，最终于决定终止本次重大资产重</w:t>
      </w:r>
      <w:r>
        <w:rPr>
          <w:spacing w:val="-100"/>
        </w:rPr>
        <w:t> </w:t>
      </w:r>
      <w:r>
        <w:rPr>
          <w:spacing w:val="-100"/>
        </w:rPr>
      </w:r>
      <w:r>
        <w:rPr>
          <w:spacing w:val="-4"/>
        </w:rPr>
        <w:t>组。具体情况请参见公司于</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14</w:t>
      </w:r>
      <w:r>
        <w:rPr>
          <w:rFonts w:ascii="宋体" w:hAnsi="宋体" w:cs="宋体" w:eastAsia="宋体" w:hint="default"/>
          <w:spacing w:val="-59"/>
        </w:rPr>
        <w:t> </w:t>
      </w:r>
      <w:r>
        <w:rPr>
          <w:spacing w:val="-3"/>
        </w:rPr>
        <w:t>日在巨潮资讯网披露的《关于终止筹划重大</w:t>
      </w:r>
    </w:p>
    <w:p>
      <w:pPr>
        <w:spacing w:after="0" w:line="357" w:lineRule="auto"/>
        <w:jc w:val="both"/>
        <w:sectPr>
          <w:footerReference w:type="default" r:id="rId22"/>
          <w:pgSz w:w="11910" w:h="16840"/>
          <w:pgMar w:footer="979" w:header="747" w:top="1060" w:bottom="1160" w:left="0" w:right="0"/>
          <w:pgNumType w:start="23"/>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4"/>
        <w:ind w:left="1440" w:right="0"/>
        <w:jc w:val="both"/>
      </w:pPr>
      <w:r>
        <w:rPr/>
        <w:t>资产重组暨股票复牌的公告》（公告编号：</w:t>
      </w:r>
      <w:r>
        <w:rPr>
          <w:rFonts w:ascii="宋体" w:hAnsi="宋体" w:cs="宋体" w:eastAsia="宋体" w:hint="default"/>
        </w:rPr>
        <w:t>2015-073</w:t>
      </w:r>
      <w:r>
        <w:rPr/>
        <w:t>）。</w:t>
      </w:r>
    </w:p>
    <w:p>
      <w:pPr>
        <w:pStyle w:val="BodyText"/>
        <w:spacing w:line="240" w:lineRule="auto" w:before="154"/>
        <w:ind w:left="1920" w:right="1033"/>
        <w:jc w:val="left"/>
      </w:pPr>
      <w:r>
        <w:rPr/>
        <w:t>（</w:t>
      </w:r>
      <w:r>
        <w:rPr>
          <w:rFonts w:ascii="宋体" w:hAnsi="宋体" w:cs="宋体" w:eastAsia="宋体" w:hint="default"/>
        </w:rPr>
        <w:t>6</w:t>
      </w:r>
      <w:r>
        <w:rPr/>
        <w:t>）投资建设“依米康绿色环境产业基地项目”</w:t>
      </w:r>
    </w:p>
    <w:p>
      <w:pPr>
        <w:pStyle w:val="BodyText"/>
        <w:spacing w:line="240" w:lineRule="auto" w:before="154"/>
        <w:ind w:left="1920" w:right="1033"/>
        <w:jc w:val="left"/>
      </w:pPr>
      <w:r>
        <w:rPr>
          <w:rFonts w:ascii="宋体" w:hAnsi="宋体" w:cs="宋体" w:eastAsia="宋体" w:hint="default"/>
        </w:rPr>
        <w:t>2015</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2"/>
        </w:rPr>
        <w:t> </w:t>
      </w:r>
      <w:r>
        <w:rPr/>
        <w:t>月</w:t>
      </w:r>
      <w:r>
        <w:rPr>
          <w:spacing w:val="-44"/>
        </w:rPr>
        <w:t> </w:t>
      </w:r>
      <w:r>
        <w:rPr>
          <w:rFonts w:ascii="宋体" w:hAnsi="宋体" w:cs="宋体" w:eastAsia="宋体" w:hint="default"/>
        </w:rPr>
        <w:t>24</w:t>
      </w:r>
      <w:r>
        <w:rPr>
          <w:rFonts w:ascii="宋体" w:hAnsi="宋体" w:cs="宋体" w:eastAsia="宋体" w:hint="default"/>
          <w:spacing w:val="-44"/>
        </w:rPr>
        <w:t> </w:t>
      </w:r>
      <w:r>
        <w:rPr/>
        <w:t>日，公司召开第三届董事会第四次会议审议通过《关于投资建设</w:t>
      </w:r>
    </w:p>
    <w:p>
      <w:pPr>
        <w:pStyle w:val="BodyText"/>
        <w:spacing w:line="240" w:lineRule="auto" w:before="154"/>
        <w:ind w:left="1440" w:right="0"/>
        <w:jc w:val="both"/>
      </w:pPr>
      <w:r>
        <w:rPr>
          <w:spacing w:val="-4"/>
        </w:rPr>
        <w:t>“依米康绿色环境产业基地项目”的议案》，该议案经公司于</w:t>
      </w:r>
      <w:r>
        <w:rPr>
          <w:spacing w:val="-58"/>
        </w:rPr>
        <w:t> </w:t>
      </w:r>
      <w:r>
        <w:rPr>
          <w:rFonts w:ascii="宋体" w:hAnsi="宋体" w:cs="宋体" w:eastAsia="宋体" w:hint="default"/>
        </w:rPr>
        <w:t>2016</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14</w:t>
      </w:r>
      <w:r>
        <w:rPr>
          <w:rFonts w:ascii="宋体" w:hAnsi="宋体" w:cs="宋体" w:eastAsia="宋体" w:hint="default"/>
          <w:spacing w:val="-58"/>
        </w:rPr>
        <w:t> </w:t>
      </w:r>
      <w:r>
        <w:rPr/>
        <w:t>日召开的</w:t>
      </w:r>
    </w:p>
    <w:p>
      <w:pPr>
        <w:pStyle w:val="BodyText"/>
        <w:spacing w:line="357" w:lineRule="auto" w:before="154"/>
        <w:ind w:left="1920" w:right="1434" w:hanging="481"/>
        <w:jc w:val="left"/>
      </w:pPr>
      <w:r>
        <w:rPr>
          <w:rFonts w:ascii="宋体" w:hAnsi="宋体" w:cs="宋体" w:eastAsia="宋体" w:hint="default"/>
        </w:rPr>
        <w:t>2016</w:t>
      </w:r>
      <w:r>
        <w:rPr>
          <w:rFonts w:ascii="宋体" w:hAnsi="宋体" w:cs="宋体" w:eastAsia="宋体" w:hint="default"/>
          <w:spacing w:val="-60"/>
        </w:rPr>
        <w:t> </w:t>
      </w:r>
      <w:r>
        <w:rPr/>
        <w:t>年第</w:t>
      </w:r>
      <w:r>
        <w:rPr>
          <w:spacing w:val="-60"/>
        </w:rPr>
        <w:t> </w:t>
      </w:r>
      <w:r>
        <w:rPr>
          <w:rFonts w:ascii="宋体" w:hAnsi="宋体" w:cs="宋体" w:eastAsia="宋体" w:hint="default"/>
        </w:rPr>
        <w:t>1</w:t>
      </w:r>
      <w:r>
        <w:rPr>
          <w:rFonts w:ascii="宋体" w:hAnsi="宋体" w:cs="宋体" w:eastAsia="宋体" w:hint="default"/>
          <w:spacing w:val="-60"/>
        </w:rPr>
        <w:t> </w:t>
      </w:r>
      <w:r>
        <w:rPr/>
        <w:t>次临时股东大会审议通过。 </w:t>
      </w:r>
      <w:r>
        <w:rPr>
          <w:spacing w:val="-3"/>
        </w:rPr>
        <w:t>为了实现公司的战略发展规划，抓住国家信息化建设的良好市场机遇、实现跨越式</w:t>
      </w:r>
    </w:p>
    <w:p>
      <w:pPr>
        <w:pStyle w:val="BodyText"/>
        <w:spacing w:line="357" w:lineRule="auto" w:before="36"/>
        <w:ind w:left="1439" w:right="1317"/>
        <w:jc w:val="left"/>
      </w:pPr>
      <w:r>
        <w:rPr/>
        <w:t>发展，公司拟在成都高新区西部园区投资建设</w:t>
      </w:r>
      <w:r>
        <w:rPr>
          <w:spacing w:val="-90"/>
        </w:rPr>
        <w:t> </w:t>
      </w:r>
      <w:r>
        <w:rPr/>
        <w:t>“依米康绿色精密环境产业基地项目”，</w:t>
      </w:r>
      <w:r>
        <w:rPr/>
        <w:t> </w:t>
      </w:r>
      <w:r>
        <w:rPr>
          <w:spacing w:val="-3"/>
        </w:rPr>
        <w:t>本项目拟建设成为集生产、测试、物资采购和仓储于一体的现代化绿色产业基地，对公</w:t>
      </w:r>
      <w:r>
        <w:rPr>
          <w:spacing w:val="-102"/>
        </w:rPr>
        <w:t> </w:t>
      </w:r>
      <w:r>
        <w:rPr>
          <w:spacing w:val="-102"/>
        </w:rPr>
      </w:r>
      <w:r>
        <w:rPr>
          <w:spacing w:val="-3"/>
        </w:rPr>
        <w:t>司原有精密空调生产线进行整合、升级、改造成为绿色精密空调制造中心，并新建智能</w:t>
      </w:r>
      <w:r>
        <w:rPr>
          <w:spacing w:val="-102"/>
        </w:rPr>
        <w:t> </w:t>
      </w:r>
      <w:r>
        <w:rPr>
          <w:spacing w:val="-102"/>
        </w:rPr>
      </w:r>
      <w:r>
        <w:rPr/>
        <w:t>电源产品制造中心、智能监控产品制造中心。具体情况请参见公司于</w:t>
      </w:r>
      <w:r>
        <w:rPr>
          <w:spacing w:val="-43"/>
        </w:rPr>
        <w:t> </w:t>
      </w:r>
      <w:r>
        <w:rPr>
          <w:rFonts w:ascii="宋体" w:hAnsi="宋体" w:cs="宋体" w:eastAsia="宋体" w:hint="default"/>
        </w:rPr>
        <w:t>2015</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25 </w:t>
      </w:r>
      <w:r>
        <w:rPr>
          <w:spacing w:val="-3"/>
        </w:rPr>
        <w:t>日在巨潮资讯网披露的《关于投资建设依米康绿色精密环境产业基地项目的公告》（公</w:t>
      </w:r>
      <w:r>
        <w:rPr>
          <w:spacing w:val="-101"/>
        </w:rPr>
        <w:t> </w:t>
      </w:r>
      <w:r>
        <w:rPr>
          <w:spacing w:val="-101"/>
        </w:rPr>
      </w:r>
      <w:r>
        <w:rPr/>
        <w:t>告编号：</w:t>
      </w:r>
      <w:r>
        <w:rPr>
          <w:rFonts w:ascii="宋体" w:hAnsi="宋体" w:cs="宋体" w:eastAsia="宋体" w:hint="default"/>
        </w:rPr>
        <w:t>2015-112</w:t>
      </w:r>
      <w:r>
        <w:rPr/>
        <w:t>）。</w:t>
      </w:r>
    </w:p>
    <w:p>
      <w:pPr>
        <w:pStyle w:val="BodyText"/>
        <w:spacing w:line="357" w:lineRule="auto" w:before="36"/>
        <w:ind w:left="1920" w:right="1033"/>
        <w:jc w:val="left"/>
      </w:pPr>
      <w:r>
        <w:rPr/>
        <w:t>（</w:t>
      </w:r>
      <w:r>
        <w:rPr>
          <w:rFonts w:ascii="宋体" w:hAnsi="宋体" w:cs="宋体" w:eastAsia="宋体" w:hint="default"/>
        </w:rPr>
        <w:t>7</w:t>
      </w:r>
      <w:r>
        <w:rPr/>
        <w:t>）收购北京资采事项 </w:t>
      </w:r>
      <w:r>
        <w:rPr>
          <w:spacing w:val="3"/>
        </w:rPr>
        <w:t>公司在对大数据产业政策和市场情况进行充分研究论证、调查分析的基础上，于</w:t>
      </w:r>
    </w:p>
    <w:p>
      <w:pPr>
        <w:pStyle w:val="BodyText"/>
        <w:spacing w:line="357" w:lineRule="auto" w:before="36"/>
        <w:ind w:left="1440" w:right="1434"/>
        <w:jc w:val="both"/>
      </w:pPr>
      <w:r>
        <w:rPr>
          <w:rFonts w:ascii="宋体" w:hAnsi="宋体" w:cs="宋体" w:eastAsia="宋体" w:hint="default"/>
        </w:rPr>
        <w:t>2015 </w:t>
      </w:r>
      <w:r>
        <w:rPr/>
        <w:t>年 </w:t>
      </w:r>
      <w:r>
        <w:rPr>
          <w:rFonts w:ascii="宋体" w:hAnsi="宋体" w:cs="宋体" w:eastAsia="宋体" w:hint="default"/>
        </w:rPr>
        <w:t>10</w:t>
      </w:r>
      <w:r>
        <w:rPr>
          <w:rFonts w:ascii="宋体" w:hAnsi="宋体" w:cs="宋体" w:eastAsia="宋体" w:hint="default"/>
          <w:spacing w:val="-84"/>
        </w:rPr>
        <w:t> </w:t>
      </w:r>
      <w:r>
        <w:rPr>
          <w:spacing w:val="-4"/>
        </w:rPr>
        <w:t>月启动对北京资采信息技术有限公司（以下简称“北京资采”）的股权收购</w:t>
      </w:r>
      <w:r>
        <w:rPr/>
        <w:t> </w:t>
      </w:r>
      <w:r>
        <w:rPr>
          <w:spacing w:val="-3"/>
        </w:rPr>
        <w:t>事项，组织投资团队进行了全面的尽职调查，并与标的公司实际控制人就股权转让条款</w:t>
      </w:r>
      <w:r>
        <w:rPr>
          <w:spacing w:val="-102"/>
        </w:rPr>
        <w:t> </w:t>
      </w:r>
      <w:r>
        <w:rPr>
          <w:spacing w:val="-102"/>
        </w:rPr>
      </w:r>
      <w:r>
        <w:rPr>
          <w:spacing w:val="-3"/>
        </w:rPr>
        <w:t>和未来发展战略、经营计划、管理模式等方面进行深入磋商，该项投资活动有利于快速</w:t>
      </w:r>
      <w:r>
        <w:rPr>
          <w:spacing w:val="-101"/>
        </w:rPr>
        <w:t> </w:t>
      </w:r>
      <w:r>
        <w:rPr>
          <w:spacing w:val="-101"/>
        </w:rPr>
      </w:r>
      <w:r>
        <w:rPr>
          <w:spacing w:val="-3"/>
        </w:rPr>
        <w:t>延伸公司的产业链并增加服务种类（包括通信、医疗健康、金融、交通、能源等领域的</w:t>
      </w:r>
      <w:r>
        <w:rPr>
          <w:spacing w:val="-106"/>
        </w:rPr>
        <w:t> </w:t>
      </w:r>
      <w:r>
        <w:rPr>
          <w:spacing w:val="-106"/>
        </w:rPr>
      </w:r>
      <w:r>
        <w:rPr>
          <w:spacing w:val="-3"/>
        </w:rPr>
        <w:t>大数据挖掘与应用产品和服务输出、大数据系统化平台解决方案输出、大数据技术能力</w:t>
      </w:r>
      <w:r>
        <w:rPr>
          <w:spacing w:val="-100"/>
        </w:rPr>
        <w:t> </w:t>
      </w:r>
      <w:r>
        <w:rPr>
          <w:spacing w:val="-100"/>
        </w:rPr>
      </w:r>
      <w:r>
        <w:rPr>
          <w:spacing w:val="-3"/>
        </w:rPr>
        <w:t>输出、大数据运营能力输出），抢占相关行业的大数据服务市场先机，提高公司的市场</w:t>
      </w:r>
      <w:r>
        <w:rPr>
          <w:spacing w:val="-116"/>
        </w:rPr>
        <w:t> </w:t>
      </w:r>
      <w:r>
        <w:rPr>
          <w:spacing w:val="-116"/>
        </w:rPr>
      </w:r>
      <w:r>
        <w:rPr/>
        <w:t>价值和企业影响力，确保公司持续、稳定、健康发展。</w:t>
      </w:r>
    </w:p>
    <w:p>
      <w:pPr>
        <w:spacing w:line="297" w:lineRule="auto" w:before="36"/>
        <w:ind w:left="1920" w:right="1434"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、预算与资金计划方面</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报告期内，公司及子公司制定并实施了与年度经营计划相匹配的财务预算，并确定</w:t>
      </w:r>
    </w:p>
    <w:p>
      <w:pPr>
        <w:pStyle w:val="BodyText"/>
        <w:spacing w:line="357" w:lineRule="auto" w:before="95"/>
        <w:ind w:left="1440" w:right="1437"/>
        <w:jc w:val="both"/>
      </w:pPr>
      <w:r>
        <w:rPr>
          <w:spacing w:val="-3"/>
        </w:rPr>
        <w:t>了“拟申请总额为</w:t>
      </w:r>
      <w:r>
        <w:rPr>
          <w:rFonts w:ascii="宋体" w:hAnsi="宋体" w:cs="宋体" w:eastAsia="宋体" w:hint="default"/>
          <w:spacing w:val="-3"/>
        </w:rPr>
        <w:t>55,000</w:t>
      </w:r>
      <w:r>
        <w:rPr>
          <w:spacing w:val="-3"/>
        </w:rPr>
        <w:t>万元的银行综合授信以满足日常经营的资金需求计划”。公司</w:t>
      </w:r>
      <w:r>
        <w:rPr>
          <w:spacing w:val="-115"/>
        </w:rPr>
        <w:t> </w:t>
      </w:r>
      <w:r>
        <w:rPr>
          <w:spacing w:val="-115"/>
        </w:rPr>
      </w:r>
      <w:r>
        <w:rPr>
          <w:spacing w:val="-3"/>
        </w:rPr>
        <w:t>继续严格执行全面预算管理，管理层组织各经营单位对年度财务预算执行情况进行月度</w:t>
      </w:r>
      <w:r>
        <w:rPr>
          <w:spacing w:val="-100"/>
        </w:rPr>
        <w:t> </w:t>
      </w:r>
      <w:r>
        <w:rPr>
          <w:spacing w:val="-100"/>
        </w:rPr>
      </w:r>
      <w:r>
        <w:rPr>
          <w:spacing w:val="-3"/>
        </w:rPr>
        <w:t>总结和分析，并结合经营计划达成情况进行了合理调整，在有效控制成本的同时保障公</w:t>
      </w:r>
      <w:r>
        <w:rPr>
          <w:spacing w:val="-100"/>
        </w:rPr>
        <w:t> </w:t>
      </w:r>
      <w:r>
        <w:rPr>
          <w:spacing w:val="-100"/>
        </w:rPr>
      </w:r>
      <w:r>
        <w:rPr>
          <w:spacing w:val="-3"/>
        </w:rPr>
        <w:t>司各经营活动正常开展；同时，强化应收款管理，组织召开月度穿透会议，及时解决收</w:t>
      </w:r>
      <w:r>
        <w:rPr>
          <w:spacing w:val="-102"/>
        </w:rPr>
        <w:t> </w:t>
      </w:r>
      <w:r>
        <w:rPr>
          <w:spacing w:val="-102"/>
        </w:rPr>
      </w:r>
      <w:r>
        <w:rPr>
          <w:spacing w:val="-3"/>
        </w:rPr>
        <w:t>款过程中的各类问题，并通过对业务部门综合回款率的考核，促进应收账款的回收，提</w:t>
      </w:r>
      <w:r>
        <w:rPr>
          <w:spacing w:val="-102"/>
        </w:rPr>
        <w:t> </w:t>
      </w:r>
      <w:r>
        <w:rPr>
          <w:spacing w:val="-102"/>
        </w:rPr>
      </w:r>
      <w:r>
        <w:rPr>
          <w:spacing w:val="-3"/>
        </w:rPr>
        <w:t>升资金利用效率、控制经营风险；另外，结合经营活动的实际资金需求分步实施银行信</w:t>
      </w:r>
      <w:r>
        <w:rPr>
          <w:spacing w:val="-102"/>
        </w:rPr>
        <w:t> </w:t>
      </w:r>
      <w:r>
        <w:rPr>
          <w:spacing w:val="-102"/>
        </w:rPr>
      </w:r>
      <w:r>
        <w:rPr/>
        <w:t>贷计划，截至报告期末公司取得银行授信总额为</w:t>
      </w:r>
      <w:r>
        <w:rPr>
          <w:rFonts w:ascii="宋体" w:hAnsi="宋体" w:cs="宋体" w:eastAsia="宋体" w:hint="default"/>
        </w:rPr>
        <w:t>2.7</w:t>
      </w:r>
      <w:r>
        <w:rPr/>
        <w:t>亿元，有效控制了财务成本。</w:t>
      </w:r>
    </w:p>
    <w:p>
      <w:pPr>
        <w:pStyle w:val="Heading3"/>
        <w:spacing w:line="240" w:lineRule="auto" w:before="35"/>
        <w:ind w:left="1922" w:right="1033"/>
        <w:jc w:val="left"/>
        <w:rPr>
          <w:b w:val="0"/>
          <w:bCs w:val="0"/>
        </w:rPr>
      </w:pPr>
      <w:r>
        <w:rPr>
          <w:rFonts w:ascii="宋体" w:hAnsi="宋体" w:cs="宋体" w:eastAsia="宋体" w:hint="default"/>
        </w:rPr>
        <w:t>6</w:t>
      </w:r>
      <w:r>
        <w:rPr/>
        <w:t>、报告期经营成果</w:t>
      </w:r>
      <w:r>
        <w:rPr>
          <w:b w:val="0"/>
          <w:bCs w:val="0"/>
        </w:rPr>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4"/>
        <w:ind w:left="1440" w:right="1033" w:firstLine="360"/>
        <w:jc w:val="left"/>
      </w:pPr>
      <w:r>
        <w:rPr>
          <w:spacing w:val="-3"/>
        </w:rPr>
        <w:t>（</w:t>
      </w:r>
      <w:r>
        <w:rPr>
          <w:rFonts w:ascii="宋体" w:hAnsi="宋体" w:cs="宋体" w:eastAsia="宋体" w:hint="default"/>
          <w:spacing w:val="-3"/>
        </w:rPr>
        <w:t>1</w:t>
      </w:r>
      <w:r>
        <w:rPr>
          <w:spacing w:val="-3"/>
        </w:rPr>
        <w:t>）报告期内，公司主营业务收入保持稳定增长，实现营业总收入</w:t>
      </w:r>
      <w:r>
        <w:rPr>
          <w:rFonts w:ascii="宋体" w:hAnsi="宋体" w:cs="宋体" w:eastAsia="宋体" w:hint="default"/>
          <w:spacing w:val="-3"/>
        </w:rPr>
        <w:t>87,728.72</w:t>
      </w:r>
      <w:r>
        <w:rPr>
          <w:spacing w:val="-3"/>
        </w:rPr>
        <w:t>万元，</w:t>
      </w:r>
      <w:r>
        <w:rPr/>
        <w:t> 较上年同期增长</w:t>
      </w:r>
      <w:r>
        <w:rPr>
          <w:rFonts w:ascii="宋体" w:hAnsi="宋体" w:cs="宋体" w:eastAsia="宋体" w:hint="default"/>
        </w:rPr>
        <w:t>79.33%</w:t>
      </w:r>
      <w:r>
        <w:rPr/>
        <w:t>；公司实现营业利润</w:t>
      </w:r>
      <w:r>
        <w:rPr>
          <w:rFonts w:ascii="宋体" w:hAnsi="宋体" w:cs="宋体" w:eastAsia="宋体" w:hint="default"/>
        </w:rPr>
        <w:t>2,838.09</w:t>
      </w:r>
      <w:r>
        <w:rPr/>
        <w:t>万元，较上年同期增长</w:t>
      </w:r>
      <w:r>
        <w:rPr>
          <w:rFonts w:ascii="宋体" w:hAnsi="宋体" w:cs="宋体" w:eastAsia="宋体" w:hint="default"/>
        </w:rPr>
        <w:t>4.77%</w:t>
      </w:r>
      <w:r>
        <w:rPr/>
        <w:t>；实</w:t>
      </w:r>
      <w:r>
        <w:rPr>
          <w:spacing w:val="-113"/>
        </w:rPr>
        <w:t> </w:t>
      </w:r>
      <w:r>
        <w:rPr/>
        <w:t>现归属上市公司股东的净利润为</w:t>
      </w:r>
      <w:r>
        <w:rPr>
          <w:rFonts w:ascii="宋体" w:hAnsi="宋体" w:cs="宋体" w:eastAsia="宋体" w:hint="default"/>
        </w:rPr>
        <w:t>1,465.52</w:t>
      </w:r>
      <w:r>
        <w:rPr/>
        <w:t>万元，较上年同期增长</w:t>
      </w:r>
      <w:r>
        <w:rPr>
          <w:rFonts w:ascii="宋体" w:hAnsi="宋体" w:cs="宋体" w:eastAsia="宋体" w:hint="default"/>
        </w:rPr>
        <w:t>31.48%</w:t>
      </w:r>
      <w:r>
        <w:rPr/>
        <w:t>。</w:t>
      </w:r>
    </w:p>
    <w:p>
      <w:pPr>
        <w:pStyle w:val="BodyText"/>
        <w:spacing w:line="357" w:lineRule="auto" w:before="36"/>
        <w:ind w:left="1440" w:right="1033" w:firstLine="360"/>
        <w:jc w:val="left"/>
      </w:pPr>
      <w:r>
        <w:rPr/>
        <w:t>（</w:t>
      </w:r>
      <w:r>
        <w:rPr>
          <w:rFonts w:ascii="宋体" w:hAnsi="宋体" w:cs="宋体" w:eastAsia="宋体" w:hint="default"/>
        </w:rPr>
        <w:t>2</w:t>
      </w:r>
      <w:r>
        <w:rPr/>
        <w:t>）报告期内，公司签订订单</w:t>
      </w:r>
      <w:r>
        <w:rPr>
          <w:rFonts w:ascii="宋体" w:hAnsi="宋体" w:cs="宋体" w:eastAsia="宋体" w:hint="default"/>
        </w:rPr>
        <w:t>111,491.95</w:t>
      </w:r>
      <w:r>
        <w:rPr/>
        <w:t>万元，较去年同期增长</w:t>
      </w:r>
      <w:r>
        <w:rPr>
          <w:rFonts w:ascii="宋体" w:hAnsi="宋体" w:cs="宋体" w:eastAsia="宋体" w:hint="default"/>
        </w:rPr>
        <w:t>99.89</w:t>
      </w:r>
      <w:r>
        <w:rPr>
          <w:rFonts w:ascii="宋体" w:hAnsi="宋体" w:cs="宋体" w:eastAsia="宋体" w:hint="default"/>
          <w:spacing w:val="4"/>
        </w:rPr>
        <w:t> </w:t>
      </w:r>
      <w:r>
        <w:rPr>
          <w:rFonts w:ascii="宋体" w:hAnsi="宋体" w:cs="宋体" w:eastAsia="宋体" w:hint="default"/>
        </w:rPr>
        <w:t>%</w:t>
      </w:r>
      <w:r>
        <w:rPr/>
        <w:t>，由于订 单执行有一定的周期，本报告期营业收入增长比例低于订单增长比例。</w:t>
      </w:r>
    </w:p>
    <w:p>
      <w:pPr>
        <w:spacing w:line="240" w:lineRule="auto" w:before="11"/>
        <w:rPr>
          <w:rFonts w:ascii="宋体" w:hAnsi="宋体" w:cs="宋体" w:eastAsia="宋体" w:hint="default"/>
          <w:sz w:val="19"/>
          <w:szCs w:val="19"/>
        </w:rPr>
      </w:pPr>
    </w:p>
    <w:p>
      <w:pPr>
        <w:pStyle w:val="Heading3"/>
        <w:spacing w:line="468" w:lineRule="auto"/>
        <w:ind w:left="1440" w:right="8518"/>
        <w:jc w:val="left"/>
        <w:rPr>
          <w:b w:val="0"/>
          <w:bCs w:val="0"/>
        </w:rPr>
      </w:pPr>
      <w:bookmarkStart w:name="二、主营业务分析" w:id="25"/>
      <w:bookmarkEnd w:id="25"/>
      <w:r>
        <w:rPr>
          <w:b w:val="0"/>
          <w:bCs w:val="0"/>
        </w:rPr>
      </w:r>
      <w:r>
        <w:rPr/>
        <w:t>二、主营业务分析</w:t>
      </w:r>
      <w:r>
        <w:rPr>
          <w:w w:val="99"/>
        </w:rPr>
        <w:t> </w:t>
      </w:r>
      <w:bookmarkStart w:name="1、概述" w:id="26"/>
      <w:bookmarkEnd w:id="26"/>
      <w:r>
        <w:rPr>
          <w:w w:val="99"/>
        </w:rPr>
      </w:r>
      <w:r>
        <w:rPr>
          <w:rFonts w:ascii="宋体" w:hAnsi="宋体" w:cs="宋体" w:eastAsia="宋体" w:hint="default"/>
        </w:rPr>
        <w:t>1</w:t>
      </w:r>
      <w:r>
        <w:rPr/>
        <w:t>、概述</w:t>
      </w:r>
      <w:r>
        <w:rPr>
          <w:b w:val="0"/>
          <w:bCs w:val="0"/>
        </w:rPr>
      </w:r>
    </w:p>
    <w:p>
      <w:pPr>
        <w:spacing w:line="525" w:lineRule="auto" w:before="149"/>
        <w:ind w:left="1440" w:right="4446" w:firstLine="0"/>
        <w:jc w:val="left"/>
        <w:rPr>
          <w:rFonts w:ascii="宋体" w:hAnsi="宋体" w:cs="宋体" w:eastAsia="宋体" w:hint="default"/>
          <w:sz w:val="24"/>
          <w:szCs w:val="24"/>
        </w:rPr>
      </w:pPr>
      <w:r>
        <w:rPr>
          <w:rFonts w:ascii="宋体" w:hAnsi="宋体" w:cs="宋体" w:eastAsia="宋体" w:hint="default"/>
          <w:sz w:val="24"/>
          <w:szCs w:val="24"/>
        </w:rPr>
        <w:t>参见“管理层讨论与分析”中的“一、概述”相关内容。 </w:t>
      </w:r>
      <w:bookmarkStart w:name="2、收入与成本" w:id="27"/>
      <w:bookmarkEnd w:id="27"/>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、收入与成本</w:t>
      </w:r>
      <w:r>
        <w:rPr>
          <w:rFonts w:ascii="宋体" w:hAnsi="宋体" w:cs="宋体" w:eastAsia="宋体" w:hint="default"/>
          <w:sz w:val="24"/>
          <w:szCs w:val="24"/>
        </w:rPr>
      </w:r>
    </w:p>
    <w:p>
      <w:pPr>
        <w:pStyle w:val="Heading3"/>
        <w:spacing w:line="240" w:lineRule="auto" w:before="91"/>
        <w:ind w:left="1440" w:right="1033"/>
        <w:jc w:val="left"/>
        <w:rPr>
          <w:b w:val="0"/>
          <w:bCs w:val="0"/>
        </w:rPr>
      </w:pPr>
      <w:bookmarkStart w:name="（1）营业收入构成" w:id="28"/>
      <w:bookmarkEnd w:id="28"/>
      <w:r>
        <w:rPr>
          <w:b w:val="0"/>
          <w:bCs w:val="0"/>
        </w:rPr>
      </w:r>
      <w:r>
        <w:rPr/>
        <w:t>（</w:t>
      </w:r>
      <w:r>
        <w:rPr>
          <w:rFonts w:ascii="宋体" w:hAnsi="宋体" w:cs="宋体" w:eastAsia="宋体" w:hint="default"/>
        </w:rPr>
        <w:t>1</w:t>
      </w:r>
      <w:r>
        <w:rPr/>
        <w:t>）营业收入构成</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left="0" w:right="1436"/>
        <w:jc w:val="right"/>
      </w:pPr>
      <w:r>
        <w:rPr/>
        <w:t>单位：元</w:t>
      </w:r>
    </w:p>
    <w:p>
      <w:pPr>
        <w:spacing w:line="240" w:lineRule="auto" w:before="10"/>
        <w:rPr>
          <w:rFonts w:ascii="宋体" w:hAnsi="宋体" w:cs="宋体" w:eastAsia="宋体" w:hint="default"/>
          <w:sz w:val="5"/>
          <w:szCs w:val="5"/>
        </w:rPr>
      </w:pPr>
    </w:p>
    <w:tbl>
      <w:tblPr>
        <w:tblW w:w="0" w:type="auto"/>
        <w:jc w:val="left"/>
        <w:tblInd w:w="1435" w:type="dxa"/>
        <w:tblLayout w:type="fixed"/>
        <w:tblCellMar>
          <w:top w:w="0" w:type="dxa"/>
          <w:left w:w="0" w:type="dxa"/>
          <w:bottom w:w="0" w:type="dxa"/>
          <w:right w:w="0" w:type="dxa"/>
        </w:tblCellMar>
        <w:tblLook w:val="01E0"/>
      </w:tblPr>
      <w:tblGrid>
        <w:gridCol w:w="1704"/>
        <w:gridCol w:w="1489"/>
        <w:gridCol w:w="1592"/>
        <w:gridCol w:w="1597"/>
        <w:gridCol w:w="1588"/>
        <w:gridCol w:w="1598"/>
      </w:tblGrid>
      <w:tr>
        <w:trPr>
          <w:trHeight w:val="206" w:hRule="exact"/>
        </w:trPr>
        <w:tc>
          <w:tcPr>
            <w:tcW w:w="17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704" w:type="dxa"/>
            <w:vMerge w:val="restart"/>
            <w:tcBorders>
              <w:top w:val="nil" w:sz="6" w:space="0" w:color="auto"/>
              <w:left w:val="single" w:sz="4" w:space="0" w:color="000000"/>
              <w:right w:val="single" w:sz="4" w:space="0" w:color="000000"/>
            </w:tcBorders>
            <w:shd w:val="clear" w:color="auto" w:fill="D2D2D2"/>
          </w:tcPr>
          <w:p>
            <w:pPr/>
          </w:p>
        </w:tc>
        <w:tc>
          <w:tcPr>
            <w:tcW w:w="3081"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76"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196" w:hRule="exact"/>
        </w:trPr>
        <w:tc>
          <w:tcPr>
            <w:tcW w:w="1704" w:type="dxa"/>
            <w:vMerge/>
            <w:tcBorders>
              <w:left w:val="single" w:sz="4" w:space="0" w:color="000000"/>
              <w:bottom w:val="nil" w:sz="6" w:space="0" w:color="auto"/>
              <w:right w:val="single" w:sz="4" w:space="0" w:color="000000"/>
            </w:tcBorders>
            <w:shd w:val="clear" w:color="auto" w:fill="D2D2D2"/>
          </w:tcPr>
          <w:p>
            <w:pPr/>
          </w:p>
        </w:tc>
        <w:tc>
          <w:tcPr>
            <w:tcW w:w="14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4"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3"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7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48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pacing w:val="-1"/>
                <w:sz w:val="21"/>
              </w:rPr>
              <w:t>877,287,193.04</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pacing w:val="-1"/>
                <w:sz w:val="21"/>
              </w:rPr>
              <w:t>489,214,248.83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79.33%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2"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信息数据领域</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440,567,253.72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50.22%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420,438,905.30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85.94%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4.79%</w:t>
            </w:r>
          </w:p>
        </w:tc>
      </w:tr>
      <w:tr>
        <w:trPr>
          <w:trHeight w:val="402"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环保治理领域</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369,509,201.93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42.12%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健康医疗领域</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z w:val="21"/>
              </w:rPr>
              <w:t>67,210,737.39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7.66%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z w:val="21"/>
              </w:rPr>
              <w:t>68,775,343.53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14.06%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2"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ICT </w:t>
            </w:r>
            <w:r>
              <w:rPr>
                <w:rFonts w:ascii="宋体" w:hAnsi="宋体" w:cs="宋体" w:eastAsia="宋体" w:hint="default"/>
                <w:sz w:val="21"/>
                <w:szCs w:val="21"/>
              </w:rPr>
              <w:t>领域产品</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363,767,253.72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41.47%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420,438,905.30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85.94%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-13.48%</w:t>
            </w:r>
            <w:r>
              <w:rPr>
                <w:rFonts w:ascii="Times New Roman"/>
                <w:sz w:val="21"/>
              </w:rPr>
            </w:r>
          </w:p>
        </w:tc>
      </w:tr>
      <w:tr>
        <w:trPr>
          <w:trHeight w:val="714"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7"/>
              <w:ind w:left="22" w:right="199"/>
              <w:jc w:val="left"/>
              <w:rPr>
                <w:rFonts w:ascii="宋体" w:hAnsi="宋体" w:cs="宋体" w:eastAsia="宋体" w:hint="default"/>
                <w:sz w:val="21"/>
                <w:szCs w:val="21"/>
              </w:rPr>
            </w:pPr>
            <w:r>
              <w:rPr>
                <w:rFonts w:ascii="宋体" w:hAnsi="宋体" w:cs="宋体" w:eastAsia="宋体" w:hint="default"/>
                <w:sz w:val="21"/>
                <w:szCs w:val="21"/>
              </w:rPr>
              <w:t>健康医疗领域产 品</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67,210,737.39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68,775,343.53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14.06%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-2.27%</w:t>
            </w:r>
          </w:p>
        </w:tc>
      </w:tr>
      <w:tr>
        <w:trPr>
          <w:trHeight w:val="714"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7"/>
              <w:ind w:left="22" w:right="201"/>
              <w:jc w:val="left"/>
              <w:rPr>
                <w:rFonts w:ascii="宋体" w:hAnsi="宋体" w:cs="宋体" w:eastAsia="宋体" w:hint="default"/>
                <w:sz w:val="21"/>
                <w:szCs w:val="21"/>
              </w:rPr>
            </w:pPr>
            <w:r>
              <w:rPr>
                <w:rFonts w:ascii="宋体" w:hAnsi="宋体" w:cs="宋体" w:eastAsia="宋体" w:hint="default"/>
                <w:sz w:val="21"/>
                <w:szCs w:val="21"/>
              </w:rPr>
              <w:t>环境治理领域产 品</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369,509,201.93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42.12%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项目总承包</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z w:val="21"/>
              </w:rPr>
              <w:t>76,800,000.00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8.75%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z w:val="21"/>
              </w:rPr>
              <w:t>50,461,202.60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11,743,661.07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2.40%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329.69%</w:t>
            </w:r>
          </w:p>
        </w:tc>
      </w:tr>
      <w:tr>
        <w:trPr>
          <w:trHeight w:val="402"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156,518,228.99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17.84%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124,079,467.11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25.36%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26.14%</w:t>
            </w:r>
          </w:p>
        </w:tc>
      </w:tr>
      <w:tr>
        <w:trPr>
          <w:trHeight w:val="402"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339,959,180.19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38.75%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120,276,849.58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24.59%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182.65%</w:t>
            </w:r>
          </w:p>
        </w:tc>
      </w:tr>
      <w:tr>
        <w:trPr>
          <w:trHeight w:val="402"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106,552,655.50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12.15%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z w:val="21"/>
              </w:rPr>
              <w:t>72,422,773.07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14.80%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47.13%</w:t>
            </w: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131,894,618.67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15.03%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106,085,718.50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21.68%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24.33%</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7"/>
        <w:rPr>
          <w:rFonts w:ascii="宋体" w:hAnsi="宋体" w:cs="宋体" w:eastAsia="宋体" w:hint="default"/>
          <w:sz w:val="2"/>
          <w:szCs w:val="2"/>
        </w:rPr>
      </w:pPr>
    </w:p>
    <w:tbl>
      <w:tblPr>
        <w:tblW w:w="0" w:type="auto"/>
        <w:jc w:val="left"/>
        <w:tblInd w:w="1435" w:type="dxa"/>
        <w:tblLayout w:type="fixed"/>
        <w:tblCellMar>
          <w:top w:w="0" w:type="dxa"/>
          <w:left w:w="0" w:type="dxa"/>
          <w:bottom w:w="0" w:type="dxa"/>
          <w:right w:w="0" w:type="dxa"/>
        </w:tblCellMar>
        <w:tblLook w:val="01E0"/>
      </w:tblPr>
      <w:tblGrid>
        <w:gridCol w:w="1701"/>
        <w:gridCol w:w="1489"/>
        <w:gridCol w:w="1595"/>
        <w:gridCol w:w="1594"/>
        <w:gridCol w:w="1594"/>
        <w:gridCol w:w="1595"/>
      </w:tblGrid>
      <w:tr>
        <w:trPr>
          <w:trHeight w:val="414" w:hRule="exact"/>
        </w:trPr>
        <w:tc>
          <w:tcPr>
            <w:tcW w:w="1701" w:type="dxa"/>
            <w:tcBorders>
              <w:top w:val="single" w:sz="10"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中南区</w:t>
            </w:r>
          </w:p>
        </w:tc>
        <w:tc>
          <w:tcPr>
            <w:tcW w:w="14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0"/>
              <w:ind w:left="248" w:right="0"/>
              <w:jc w:val="left"/>
              <w:rPr>
                <w:rFonts w:ascii="Times New Roman" w:hAnsi="Times New Roman" w:cs="Times New Roman" w:eastAsia="Times New Roman" w:hint="default"/>
                <w:sz w:val="21"/>
                <w:szCs w:val="21"/>
              </w:rPr>
            </w:pPr>
            <w:r>
              <w:rPr>
                <w:rFonts w:ascii="Times New Roman"/>
                <w:sz w:val="21"/>
              </w:rPr>
              <w:t>91,901,307.09</w:t>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0"/>
              <w:ind w:left="914" w:right="0"/>
              <w:jc w:val="left"/>
              <w:rPr>
                <w:rFonts w:ascii="Times New Roman" w:hAnsi="Times New Roman" w:cs="Times New Roman" w:eastAsia="Times New Roman" w:hint="default"/>
                <w:sz w:val="21"/>
                <w:szCs w:val="21"/>
              </w:rPr>
            </w:pPr>
            <w:r>
              <w:rPr>
                <w:rFonts w:ascii="Times New Roman"/>
                <w:sz w:val="21"/>
              </w:rPr>
              <w:t>10.48%</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0"/>
              <w:ind w:left="353" w:right="0"/>
              <w:jc w:val="left"/>
              <w:rPr>
                <w:rFonts w:ascii="Times New Roman" w:hAnsi="Times New Roman" w:cs="Times New Roman" w:eastAsia="Times New Roman" w:hint="default"/>
                <w:sz w:val="21"/>
                <w:szCs w:val="21"/>
              </w:rPr>
            </w:pPr>
            <w:r>
              <w:rPr>
                <w:rFonts w:ascii="Times New Roman"/>
                <w:sz w:val="21"/>
              </w:rPr>
              <w:t>54,605,779.50</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0"/>
              <w:ind w:left="921" w:right="0"/>
              <w:jc w:val="left"/>
              <w:rPr>
                <w:rFonts w:ascii="Times New Roman" w:hAnsi="Times New Roman" w:cs="Times New Roman" w:eastAsia="Times New Roman" w:hint="default"/>
                <w:sz w:val="21"/>
                <w:szCs w:val="21"/>
              </w:rPr>
            </w:pPr>
            <w:r>
              <w:rPr>
                <w:rFonts w:ascii="Times New Roman"/>
                <w:sz w:val="21"/>
              </w:rPr>
              <w:t>11.17%</w:t>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0"/>
              <w:ind w:left="914" w:right="0"/>
              <w:jc w:val="left"/>
              <w:rPr>
                <w:rFonts w:ascii="Times New Roman" w:hAnsi="Times New Roman" w:cs="Times New Roman" w:eastAsia="Times New Roman" w:hint="default"/>
                <w:sz w:val="21"/>
                <w:szCs w:val="21"/>
              </w:rPr>
            </w:pPr>
            <w:r>
              <w:rPr>
                <w:rFonts w:ascii="Times New Roman"/>
                <w:sz w:val="21"/>
              </w:rPr>
              <w:t>68.30%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3"/>
        <w:spacing w:line="240" w:lineRule="auto" w:before="26"/>
        <w:ind w:left="1440" w:right="1033"/>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83"/>
        </w:rPr>
        <w:t> </w:t>
      </w:r>
      <w:r>
        <w:rPr>
          <w:rFonts w:ascii="宋体" w:hAnsi="宋体" w:cs="宋体" w:eastAsia="宋体" w:hint="default"/>
        </w:rPr>
        <w:t>10%</w:t>
      </w:r>
      <w:r>
        <w:rPr/>
        <w:t>以上的行业、产品或地区情况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93"/>
        <w:ind w:left="1440" w:right="1033"/>
        <w:jc w:val="left"/>
      </w:pPr>
      <w:r>
        <w:rPr/>
        <w:t>√ 适用 □ 不适用</w:t>
      </w:r>
    </w:p>
    <w:p>
      <w:pPr>
        <w:pStyle w:val="BodyText"/>
        <w:spacing w:line="240" w:lineRule="auto" w:before="114"/>
        <w:ind w:left="0" w:right="1436"/>
        <w:jc w:val="right"/>
      </w:pPr>
      <w:r>
        <w:rPr/>
        <w:t>单位：元</w:t>
      </w:r>
    </w:p>
    <w:p>
      <w:pPr>
        <w:spacing w:line="240" w:lineRule="auto" w:before="11"/>
        <w:rPr>
          <w:rFonts w:ascii="宋体" w:hAnsi="宋体" w:cs="宋体" w:eastAsia="宋体" w:hint="default"/>
          <w:sz w:val="5"/>
          <w:szCs w:val="5"/>
        </w:rPr>
      </w:pPr>
    </w:p>
    <w:tbl>
      <w:tblPr>
        <w:tblW w:w="0" w:type="auto"/>
        <w:jc w:val="left"/>
        <w:tblInd w:w="1435"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47" w:hanging="106"/>
              <w:jc w:val="left"/>
              <w:rPr>
                <w:rFonts w:ascii="宋体" w:hAnsi="宋体" w:cs="宋体" w:eastAsia="宋体" w:hint="default"/>
                <w:sz w:val="21"/>
                <w:szCs w:val="21"/>
              </w:rPr>
            </w:pPr>
            <w:r>
              <w:rPr>
                <w:rFonts w:ascii="宋体" w:hAnsi="宋体" w:cs="宋体" w:eastAsia="宋体" w:hint="default"/>
                <w:sz w:val="21"/>
                <w:szCs w:val="21"/>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47" w:hanging="106"/>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61" w:right="48" w:hanging="210"/>
              <w:jc w:val="left"/>
              <w:rPr>
                <w:rFonts w:ascii="宋体" w:hAnsi="宋体" w:cs="宋体" w:eastAsia="宋体" w:hint="default"/>
                <w:sz w:val="21"/>
                <w:szCs w:val="21"/>
              </w:rPr>
            </w:pPr>
            <w:r>
              <w:rPr>
                <w:rFonts w:ascii="宋体" w:hAnsi="宋体" w:cs="宋体" w:eastAsia="宋体" w:hint="default"/>
                <w:sz w:val="21"/>
                <w:szCs w:val="21"/>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信息数据领域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440,567,253.7</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317,718,502.0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13.90%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环保治理领域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369,509,201.9</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274,224,068.4</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健康医疗领域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Times New Roman" w:hAnsi="Times New Roman" w:cs="Times New Roman" w:eastAsia="Times New Roman" w:hint="default"/>
                <w:sz w:val="21"/>
                <w:szCs w:val="21"/>
              </w:rPr>
            </w:pPr>
            <w:r>
              <w:rPr>
                <w:rFonts w:ascii="Times New Roman"/>
                <w:sz w:val="21"/>
              </w:rPr>
              <w:t>67,210,737.39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56,535,652.31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-3.42</w:t>
            </w:r>
            <w:r>
              <w:rPr>
                <w:rFonts w:ascii="Times New Roman"/>
                <w:spacing w:val="-1"/>
                <w:sz w:val="21"/>
              </w:rPr>
              <w:t> </w:t>
            </w:r>
            <w:r>
              <w:rPr>
                <w:rFonts w:ascii="Times New Roman"/>
                <w:sz w:val="21"/>
              </w:rPr>
              <w:t>%</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ICT </w:t>
            </w:r>
            <w:r>
              <w:rPr>
                <w:rFonts w:ascii="宋体" w:hAnsi="宋体" w:cs="宋体" w:eastAsia="宋体" w:hint="default"/>
                <w:sz w:val="21"/>
                <w:szCs w:val="21"/>
              </w:rPr>
              <w:t>领域产品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363,767,253.7</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252,118,502.07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-13.48%</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7"/>
              <w:ind w:left="22" w:right="72"/>
              <w:jc w:val="left"/>
              <w:rPr>
                <w:rFonts w:ascii="宋体" w:hAnsi="宋体" w:cs="宋体" w:eastAsia="宋体" w:hint="default"/>
                <w:sz w:val="21"/>
                <w:szCs w:val="21"/>
              </w:rPr>
            </w:pPr>
            <w:r>
              <w:rPr>
                <w:rFonts w:ascii="宋体" w:hAnsi="宋体" w:cs="宋体" w:eastAsia="宋体" w:hint="default"/>
                <w:sz w:val="21"/>
                <w:szCs w:val="21"/>
              </w:rPr>
              <w:t>健康医疗领域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67,210,737.39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56,535,652.31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7"/>
              <w:ind w:left="22" w:right="72"/>
              <w:jc w:val="left"/>
              <w:rPr>
                <w:rFonts w:ascii="宋体" w:hAnsi="宋体" w:cs="宋体" w:eastAsia="宋体" w:hint="default"/>
                <w:sz w:val="21"/>
                <w:szCs w:val="21"/>
              </w:rPr>
            </w:pPr>
            <w:r>
              <w:rPr>
                <w:rFonts w:ascii="宋体" w:hAnsi="宋体" w:cs="宋体" w:eastAsia="宋体" w:hint="default"/>
                <w:sz w:val="21"/>
                <w:szCs w:val="21"/>
              </w:rPr>
              <w:t>环境治理领域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369,509,201.9</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274,224,068.4</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项目总承包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Times New Roman" w:hAnsi="Times New Roman" w:cs="Times New Roman" w:eastAsia="Times New Roman" w:hint="default"/>
                <w:sz w:val="21"/>
                <w:szCs w:val="21"/>
              </w:rPr>
            </w:pPr>
            <w:r>
              <w:rPr>
                <w:rFonts w:ascii="Times New Roman"/>
                <w:sz w:val="21"/>
              </w:rPr>
              <w:t>76,800,000.00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65,600,000.00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Times New Roman" w:hAnsi="Times New Roman" w:cs="Times New Roman" w:eastAsia="Times New Roman" w:hint="default"/>
                <w:sz w:val="21"/>
                <w:szCs w:val="21"/>
              </w:rPr>
            </w:pPr>
            <w:r>
              <w:rPr>
                <w:rFonts w:ascii="Times New Roman"/>
                <w:sz w:val="21"/>
              </w:rPr>
              <w:t>50,461,202.60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40,133,842.79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329.69%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370.35%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-6.87%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156,518,228.9</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120,803,442.5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-7.72%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339,959,180.1</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242,274,567.3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182.65%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212.21%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-6.75%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106,552,655.5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82,875,689.47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55.32%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-4.11%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131,894,618.6</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104,793,152.9</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41.70%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-9.74%</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中南区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Times New Roman" w:hAnsi="Times New Roman" w:cs="Times New Roman" w:eastAsia="Times New Roman" w:hint="default"/>
                <w:sz w:val="21"/>
                <w:szCs w:val="21"/>
              </w:rPr>
            </w:pPr>
            <w:r>
              <w:rPr>
                <w:rFonts w:ascii="Times New Roman"/>
                <w:sz w:val="21"/>
              </w:rPr>
              <w:t>91,901,307.09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57,597,527.81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65.62%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1.02%</w:t>
            </w:r>
          </w:p>
        </w:tc>
      </w:tr>
    </w:tbl>
    <w:p>
      <w:pPr>
        <w:pStyle w:val="BodyText"/>
        <w:spacing w:line="338" w:lineRule="auto" w:before="81"/>
        <w:ind w:left="1440" w:right="1421"/>
        <w:jc w:val="left"/>
      </w:pPr>
      <w:r>
        <w:rPr>
          <w:spacing w:val="-4"/>
        </w:rPr>
        <w:t>公司主营业务数据统计口径在报告期发生调整的情况下，公司最近 </w:t>
      </w: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年按报告期末口径 调整后的主营业务数据</w:t>
      </w:r>
    </w:p>
    <w:p>
      <w:pPr>
        <w:pStyle w:val="BodyText"/>
        <w:spacing w:line="240" w:lineRule="auto" w:before="95"/>
        <w:ind w:left="1439"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spacing w:before="0"/>
        <w:ind w:left="0" w:right="1436"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3"/>
        <w:rPr>
          <w:rFonts w:ascii="宋体" w:hAnsi="宋体" w:cs="宋体" w:eastAsia="宋体" w:hint="default"/>
          <w:sz w:val="6"/>
          <w:szCs w:val="6"/>
        </w:rPr>
      </w:pPr>
    </w:p>
    <w:tbl>
      <w:tblPr>
        <w:tblW w:w="0" w:type="auto"/>
        <w:jc w:val="left"/>
        <w:tblInd w:w="1435"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47" w:hanging="106"/>
              <w:jc w:val="left"/>
              <w:rPr>
                <w:rFonts w:ascii="宋体" w:hAnsi="宋体" w:cs="宋体" w:eastAsia="宋体" w:hint="default"/>
                <w:sz w:val="21"/>
                <w:szCs w:val="21"/>
              </w:rPr>
            </w:pPr>
            <w:r>
              <w:rPr>
                <w:rFonts w:ascii="宋体" w:hAnsi="宋体" w:cs="宋体" w:eastAsia="宋体" w:hint="default"/>
                <w:sz w:val="21"/>
                <w:szCs w:val="21"/>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47" w:hanging="106"/>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61" w:right="48" w:hanging="210"/>
              <w:jc w:val="left"/>
              <w:rPr>
                <w:rFonts w:ascii="宋体" w:hAnsi="宋体" w:cs="宋体" w:eastAsia="宋体" w:hint="default"/>
                <w:sz w:val="21"/>
                <w:szCs w:val="21"/>
              </w:rPr>
            </w:pPr>
            <w:r>
              <w:rPr>
                <w:rFonts w:ascii="宋体" w:hAnsi="宋体" w:cs="宋体" w:eastAsia="宋体" w:hint="default"/>
                <w:sz w:val="21"/>
                <w:szCs w:val="21"/>
              </w:rPr>
              <w:t>毛利率比上年 同期增减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信息数据领域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420,438,905.3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278,901,047.5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37.30%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环保治理领域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健康医疗领域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Times New Roman" w:hAnsi="Times New Roman" w:cs="Times New Roman" w:eastAsia="Times New Roman" w:hint="default"/>
                <w:sz w:val="21"/>
                <w:szCs w:val="21"/>
              </w:rPr>
            </w:pPr>
            <w:r>
              <w:rPr>
                <w:rFonts w:ascii="Times New Roman"/>
                <w:sz w:val="21"/>
              </w:rPr>
              <w:t>68,775,343.53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center"/>
              <w:rPr>
                <w:rFonts w:ascii="Times New Roman" w:hAnsi="Times New Roman" w:cs="Times New Roman" w:eastAsia="Times New Roman" w:hint="default"/>
                <w:sz w:val="21"/>
                <w:szCs w:val="21"/>
              </w:rPr>
            </w:pPr>
            <w:r>
              <w:rPr>
                <w:rFonts w:ascii="Times New Roman"/>
                <w:sz w:val="21"/>
              </w:rPr>
              <w:t>55,501,490.90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-10.27%</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-5.65%</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ICT </w:t>
            </w:r>
            <w:r>
              <w:rPr>
                <w:rFonts w:ascii="宋体" w:hAnsi="宋体" w:cs="宋体" w:eastAsia="宋体" w:hint="default"/>
                <w:sz w:val="21"/>
                <w:szCs w:val="21"/>
              </w:rPr>
              <w:t>领域产品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420,438,905.3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278,901,047.5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37.30%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0.43%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7"/>
              <w:ind w:left="22" w:right="72"/>
              <w:jc w:val="left"/>
              <w:rPr>
                <w:rFonts w:ascii="宋体" w:hAnsi="宋体" w:cs="宋体" w:eastAsia="宋体" w:hint="default"/>
                <w:sz w:val="21"/>
                <w:szCs w:val="21"/>
              </w:rPr>
            </w:pPr>
            <w:r>
              <w:rPr>
                <w:rFonts w:ascii="宋体" w:hAnsi="宋体" w:cs="宋体" w:eastAsia="宋体" w:hint="default"/>
                <w:sz w:val="21"/>
                <w:szCs w:val="21"/>
              </w:rPr>
              <w:t>健康医疗领域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68,775,343.53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55,501,490.90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-10.27%</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-5.65%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7"/>
              <w:ind w:left="22" w:right="72"/>
              <w:jc w:val="left"/>
              <w:rPr>
                <w:rFonts w:ascii="宋体" w:hAnsi="宋体" w:cs="宋体" w:eastAsia="宋体" w:hint="default"/>
                <w:sz w:val="21"/>
                <w:szCs w:val="21"/>
              </w:rPr>
            </w:pPr>
            <w:r>
              <w:rPr>
                <w:rFonts w:ascii="宋体" w:hAnsi="宋体" w:cs="宋体" w:eastAsia="宋体" w:hint="default"/>
                <w:sz w:val="21"/>
                <w:szCs w:val="21"/>
              </w:rPr>
              <w:t>环境治理领域 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项目总承包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bl>
    <w:p>
      <w:pPr>
        <w:pStyle w:val="BodyText"/>
        <w:spacing w:line="345" w:lineRule="auto" w:before="40"/>
        <w:ind w:left="1439" w:right="1435"/>
        <w:jc w:val="both"/>
      </w:pPr>
      <w:r>
        <w:rPr/>
        <w:t>变更口径的理由：本报告期内，公司自</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 </w:t>
      </w:r>
      <w:r>
        <w:rPr/>
        <w:t>月起合并江苏亿金的利润表和现金流</w:t>
      </w:r>
      <w:r>
        <w:rPr>
          <w:spacing w:val="-108"/>
        </w:rPr>
        <w:t> </w:t>
      </w:r>
      <w:r>
        <w:rPr>
          <w:spacing w:val="-108"/>
        </w:rPr>
      </w:r>
      <w:r>
        <w:rPr>
          <w:spacing w:val="-2"/>
        </w:rPr>
        <w:t>量表，公司的业务内容已从</w:t>
      </w:r>
      <w:r>
        <w:rPr>
          <w:rFonts w:ascii="Times New Roman" w:hAnsi="Times New Roman" w:cs="Times New Roman" w:eastAsia="Times New Roman" w:hint="default"/>
          <w:spacing w:val="-2"/>
        </w:rPr>
        <w:t>“</w:t>
      </w:r>
      <w:r>
        <w:rPr>
          <w:spacing w:val="-2"/>
        </w:rPr>
        <w:t>信息和医疗</w:t>
      </w:r>
      <w:r>
        <w:rPr>
          <w:rFonts w:ascii="Times New Roman" w:hAnsi="Times New Roman" w:cs="Times New Roman" w:eastAsia="Times New Roman" w:hint="default"/>
          <w:spacing w:val="-2"/>
        </w:rPr>
        <w:t>”</w:t>
      </w:r>
      <w:r>
        <w:rPr>
          <w:spacing w:val="-2"/>
        </w:rPr>
        <w:t>两大业务板块拓展为</w:t>
      </w:r>
      <w:r>
        <w:rPr>
          <w:rFonts w:ascii="Times New Roman" w:hAnsi="Times New Roman" w:cs="Times New Roman" w:eastAsia="Times New Roman" w:hint="default"/>
          <w:spacing w:val="-2"/>
        </w:rPr>
        <w:t>“</w:t>
      </w:r>
      <w:r>
        <w:rPr>
          <w:spacing w:val="-2"/>
        </w:rPr>
        <w:t>信息、医疗、环保</w:t>
      </w:r>
      <w:r>
        <w:rPr>
          <w:rFonts w:ascii="Times New Roman" w:hAnsi="Times New Roman" w:cs="Times New Roman" w:eastAsia="Times New Roman" w:hint="default"/>
          <w:spacing w:val="-2"/>
        </w:rPr>
        <w:t>”</w:t>
      </w:r>
      <w:r>
        <w:rPr>
          <w:spacing w:val="-2"/>
        </w:rPr>
        <w:t>三大</w:t>
      </w:r>
      <w:r>
        <w:rPr>
          <w:spacing w:val="-82"/>
        </w:rPr>
        <w:t> </w:t>
      </w:r>
      <w:r>
        <w:rPr/>
        <w:t>业务板块，故公司营业收入以此三大板块分类</w:t>
      </w:r>
      <w:r>
        <w:rPr>
          <w:rFonts w:ascii="宋体" w:hAnsi="宋体" w:cs="宋体" w:eastAsia="宋体" w:hint="default"/>
        </w:rPr>
        <w:t>,</w:t>
      </w:r>
      <w:r>
        <w:rPr/>
        <w:t>公司营业收入也按此三大业务板块进行</w:t>
      </w:r>
      <w:r>
        <w:rPr>
          <w:spacing w:val="-116"/>
        </w:rPr>
        <w:t> </w:t>
      </w:r>
      <w:r>
        <w:rPr/>
        <w:t>产品划分；并且在本年度新增</w:t>
      </w:r>
      <w:r>
        <w:rPr>
          <w:rFonts w:ascii="Times New Roman" w:hAnsi="Times New Roman" w:cs="Times New Roman" w:eastAsia="Times New Roman" w:hint="default"/>
        </w:rPr>
        <w:t>“</w:t>
      </w:r>
      <w:r>
        <w:rPr/>
        <w:t>项目总承包</w:t>
      </w:r>
      <w:r>
        <w:rPr>
          <w:rFonts w:ascii="Times New Roman" w:hAnsi="Times New Roman" w:cs="Times New Roman" w:eastAsia="Times New Roman" w:hint="default"/>
        </w:rPr>
        <w:t>”</w:t>
      </w:r>
      <w:r>
        <w:rPr/>
        <w:t>业务。</w:t>
      </w:r>
    </w:p>
    <w:p>
      <w:pPr>
        <w:spacing w:line="240" w:lineRule="auto" w:before="6"/>
        <w:rPr>
          <w:rFonts w:ascii="宋体" w:hAnsi="宋体" w:cs="宋体" w:eastAsia="宋体" w:hint="default"/>
          <w:sz w:val="18"/>
          <w:szCs w:val="18"/>
        </w:rPr>
      </w:pPr>
    </w:p>
    <w:p>
      <w:pPr>
        <w:pStyle w:val="Heading3"/>
        <w:spacing w:line="240" w:lineRule="auto"/>
        <w:ind w:left="1440" w:right="0"/>
        <w:jc w:val="both"/>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1440" w:right="0"/>
        <w:jc w:val="both"/>
      </w:pPr>
      <w:r>
        <w:rPr/>
        <w:t>√ 是 □ 否</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1435" w:type="dxa"/>
        <w:tblLayout w:type="fixed"/>
        <w:tblCellMar>
          <w:top w:w="0" w:type="dxa"/>
          <w:left w:w="0" w:type="dxa"/>
          <w:bottom w:w="0" w:type="dxa"/>
          <w:right w:w="0" w:type="dxa"/>
        </w:tblCellMar>
        <w:tblLook w:val="01E0"/>
      </w:tblPr>
      <w:tblGrid>
        <w:gridCol w:w="1608"/>
        <w:gridCol w:w="1571"/>
        <w:gridCol w:w="1605"/>
        <w:gridCol w:w="1594"/>
        <w:gridCol w:w="1594"/>
        <w:gridCol w:w="1595"/>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72"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3"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7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2" w:right="0"/>
              <w:jc w:val="left"/>
              <w:rPr>
                <w:rFonts w:ascii="宋体" w:hAnsi="宋体" w:cs="宋体" w:eastAsia="宋体" w:hint="default"/>
                <w:sz w:val="21"/>
                <w:szCs w:val="21"/>
              </w:rPr>
            </w:pPr>
            <w:r>
              <w:rPr>
                <w:rFonts w:ascii="宋体" w:hAnsi="宋体" w:cs="宋体" w:eastAsia="宋体" w:hint="default"/>
                <w:sz w:val="21"/>
                <w:szCs w:val="21"/>
              </w:rPr>
              <w:t>信息数据领域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605"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5,774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-15.54%</w:t>
            </w:r>
            <w:r>
              <w:rPr>
                <w:rFonts w:ascii="Times New Roman"/>
                <w:sz w:val="21"/>
              </w:rPr>
            </w:r>
          </w:p>
        </w:tc>
      </w:tr>
      <w:tr>
        <w:trPr>
          <w:trHeight w:val="402" w:hRule="exact"/>
        </w:trPr>
        <w:tc>
          <w:tcPr>
            <w:tcW w:w="1608" w:type="dxa"/>
            <w:vMerge/>
            <w:tcBorders>
              <w:left w:val="single" w:sz="4" w:space="0" w:color="000000"/>
              <w:right w:val="single" w:sz="13" w:space="0" w:color="D2D2D2"/>
            </w:tcBorders>
            <w:shd w:val="clear" w:color="auto" w:fill="CCE8CF"/>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605"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-12.78%</w:t>
            </w:r>
            <w:r>
              <w:rPr>
                <w:rFonts w:ascii="Times New Roman"/>
                <w:sz w:val="21"/>
              </w:rPr>
            </w:r>
          </w:p>
        </w:tc>
      </w:tr>
      <w:tr>
        <w:trPr>
          <w:trHeight w:val="402" w:hRule="exact"/>
        </w:trPr>
        <w:tc>
          <w:tcPr>
            <w:tcW w:w="1608" w:type="dxa"/>
            <w:vMerge/>
            <w:tcBorders>
              <w:left w:val="single" w:sz="4" w:space="0" w:color="000000"/>
              <w:bottom w:val="single" w:sz="4" w:space="0" w:color="000000"/>
              <w:right w:val="single" w:sz="13" w:space="0" w:color="D2D2D2"/>
            </w:tcBorders>
            <w:shd w:val="clear" w:color="auto" w:fill="CCE8CF"/>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605"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14.38%</w:t>
            </w:r>
          </w:p>
        </w:tc>
      </w:tr>
      <w:tr>
        <w:trPr>
          <w:trHeight w:val="402" w:hRule="exact"/>
        </w:trPr>
        <w:tc>
          <w:tcPr>
            <w:tcW w:w="1608" w:type="dxa"/>
            <w:vMerge w:val="restart"/>
            <w:tcBorders>
              <w:top w:val="single" w:sz="4" w:space="0" w:color="000000"/>
              <w:left w:val="single" w:sz="4" w:space="0" w:color="000000"/>
              <w:right w:val="single" w:sz="13" w:space="0" w:color="D2D2D2"/>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2" w:right="0"/>
              <w:jc w:val="left"/>
              <w:rPr>
                <w:rFonts w:ascii="宋体" w:hAnsi="宋体" w:cs="宋体" w:eastAsia="宋体" w:hint="default"/>
                <w:sz w:val="21"/>
                <w:szCs w:val="21"/>
              </w:rPr>
            </w:pPr>
            <w:r>
              <w:rPr>
                <w:rFonts w:ascii="宋体" w:hAnsi="宋体" w:cs="宋体" w:eastAsia="宋体" w:hint="default"/>
                <w:sz w:val="21"/>
                <w:szCs w:val="21"/>
              </w:rPr>
              <w:t>环保治理领域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605"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-15.38%</w:t>
            </w:r>
            <w:r>
              <w:rPr>
                <w:rFonts w:ascii="Times New Roman"/>
                <w:sz w:val="21"/>
              </w:rPr>
            </w:r>
          </w:p>
        </w:tc>
      </w:tr>
      <w:tr>
        <w:trPr>
          <w:trHeight w:val="402" w:hRule="exact"/>
        </w:trPr>
        <w:tc>
          <w:tcPr>
            <w:tcW w:w="1608" w:type="dxa"/>
            <w:vMerge/>
            <w:tcBorders>
              <w:left w:val="single" w:sz="4" w:space="0" w:color="000000"/>
              <w:right w:val="single" w:sz="13" w:space="0" w:color="D2D2D2"/>
            </w:tcBorders>
            <w:shd w:val="clear" w:color="auto" w:fill="CCE8CF"/>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605"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-19.23%</w:t>
            </w:r>
            <w:r>
              <w:rPr>
                <w:rFonts w:ascii="Times New Roman"/>
                <w:sz w:val="21"/>
              </w:rPr>
            </w:r>
          </w:p>
        </w:tc>
      </w:tr>
      <w:tr>
        <w:trPr>
          <w:trHeight w:val="403" w:hRule="exact"/>
        </w:trPr>
        <w:tc>
          <w:tcPr>
            <w:tcW w:w="1608" w:type="dxa"/>
            <w:vMerge/>
            <w:tcBorders>
              <w:left w:val="single" w:sz="4" w:space="0" w:color="000000"/>
              <w:bottom w:val="single" w:sz="4" w:space="0" w:color="000000"/>
              <w:right w:val="single" w:sz="13" w:space="0" w:color="D2D2D2"/>
            </w:tcBorders>
            <w:shd w:val="clear" w:color="auto" w:fill="CCE8CF"/>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605"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-40.00%</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171"/>
        <w:ind w:left="1440" w:right="1033"/>
        <w:jc w:val="left"/>
      </w:pPr>
      <w:r>
        <w:rPr/>
        <w:t>相关数据同比发生变动</w:t>
      </w:r>
      <w:r>
        <w:rPr>
          <w:spacing w:val="-60"/>
        </w:rPr>
        <w:t> </w:t>
      </w:r>
      <w:r>
        <w:rPr>
          <w:rFonts w:ascii="宋体" w:hAnsi="宋体" w:cs="宋体" w:eastAsia="宋体" w:hint="default"/>
        </w:rPr>
        <w:t>30%</w:t>
      </w:r>
      <w:r>
        <w:rPr/>
        <w:t>以上的原因说明</w:t>
      </w:r>
    </w:p>
    <w:p>
      <w:pPr>
        <w:pStyle w:val="BodyText"/>
        <w:spacing w:line="240" w:lineRule="auto" w:before="194"/>
        <w:ind w:left="1440" w:right="1033"/>
        <w:jc w:val="left"/>
      </w:pPr>
      <w:r>
        <w:rPr/>
        <w:t>□ 适用 √ 不适用</w:t>
      </w:r>
    </w:p>
    <w:p>
      <w:pPr>
        <w:spacing w:after="0" w:line="240" w:lineRule="auto"/>
        <w:jc w:val="left"/>
        <w:sectPr>
          <w:pgSz w:w="11910" w:h="16840"/>
          <w:pgMar w:header="747" w:footer="979" w:top="1060" w:bottom="1160" w:left="0" w:right="0"/>
        </w:sectPr>
      </w:pPr>
    </w:p>
    <w:p>
      <w:pPr>
        <w:pStyle w:val="Heading3"/>
        <w:spacing w:line="240" w:lineRule="auto" w:before="14"/>
        <w:ind w:left="1440" w:right="1033"/>
        <w:jc w:val="left"/>
        <w:rPr>
          <w:b w:val="0"/>
          <w:bCs w:val="0"/>
        </w:rPr>
      </w:pPr>
      <w:r>
        <w:rPr/>
        <w:pict>
          <v:group style="position:absolute;margin-left:70.5pt;margin-top:2.235632pt;width:454.4pt;height:.1pt;mso-position-horizontal-relative:page;mso-position-vertical-relative:paragraph;z-index:-1061752" coordorigin="1410,45" coordsize="9088,2">
            <v:shape style="position:absolute;left:1410;top:45;width:9088;height:2" coordorigin="1410,45" coordsize="9088,0" path="m1410,45l10498,45e" filled="false" stroked="true" strokeweight=".72pt" strokecolor="#000000">
              <v:path arrowok="t"/>
            </v:shape>
            <w10:wrap type="none"/>
          </v:group>
        </w:pict>
      </w: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28"/>
          <w:szCs w:val="28"/>
        </w:rPr>
      </w:pPr>
    </w:p>
    <w:p>
      <w:pPr>
        <w:pStyle w:val="BodyText"/>
        <w:spacing w:line="388" w:lineRule="auto"/>
        <w:ind w:left="1440" w:right="6846"/>
        <w:jc w:val="left"/>
      </w:pPr>
      <w:r>
        <w:rPr/>
        <w:t>√适用 □ 不适用 报告期重大已签订订单及进展情况</w:t>
      </w:r>
    </w:p>
    <w:tbl>
      <w:tblPr>
        <w:tblW w:w="0" w:type="auto"/>
        <w:jc w:val="left"/>
        <w:tblInd w:w="1327" w:type="dxa"/>
        <w:tblLayout w:type="fixed"/>
        <w:tblCellMar>
          <w:top w:w="0" w:type="dxa"/>
          <w:left w:w="0" w:type="dxa"/>
          <w:bottom w:w="0" w:type="dxa"/>
          <w:right w:w="0" w:type="dxa"/>
        </w:tblCellMar>
        <w:tblLook w:val="01E0"/>
      </w:tblPr>
      <w:tblGrid>
        <w:gridCol w:w="917"/>
        <w:gridCol w:w="667"/>
        <w:gridCol w:w="1394"/>
        <w:gridCol w:w="752"/>
        <w:gridCol w:w="1366"/>
        <w:gridCol w:w="810"/>
        <w:gridCol w:w="1277"/>
        <w:gridCol w:w="736"/>
        <w:gridCol w:w="1325"/>
      </w:tblGrid>
      <w:tr>
        <w:trPr>
          <w:trHeight w:val="754" w:hRule="exact"/>
        </w:trPr>
        <w:tc>
          <w:tcPr>
            <w:tcW w:w="917" w:type="dxa"/>
            <w:vMerge w:val="restart"/>
            <w:tcBorders>
              <w:top w:val="single" w:sz="4" w:space="0" w:color="000000"/>
              <w:left w:val="single" w:sz="4" w:space="0" w:color="000000"/>
              <w:right w:val="single" w:sz="4" w:space="0" w:color="000000"/>
            </w:tcBorders>
            <w:shd w:val="clear" w:color="auto" w:fill="E4DFEB"/>
          </w:tcPr>
          <w:p>
            <w:pPr>
              <w:pStyle w:val="TableParagraph"/>
              <w:spacing w:line="240" w:lineRule="auto" w:before="12"/>
              <w:ind w:right="0"/>
              <w:jc w:val="left"/>
              <w:rPr>
                <w:rFonts w:ascii="宋体" w:hAnsi="宋体" w:cs="宋体" w:eastAsia="宋体" w:hint="default"/>
                <w:sz w:val="24"/>
                <w:szCs w:val="24"/>
              </w:rPr>
            </w:pPr>
          </w:p>
          <w:p>
            <w:pPr>
              <w:pStyle w:val="TableParagraph"/>
              <w:spacing w:line="273" w:lineRule="auto"/>
              <w:ind w:left="348" w:right="137" w:hanging="211"/>
              <w:jc w:val="left"/>
              <w:rPr>
                <w:rFonts w:ascii="宋体" w:hAnsi="宋体" w:cs="宋体" w:eastAsia="宋体" w:hint="default"/>
                <w:sz w:val="21"/>
                <w:szCs w:val="21"/>
              </w:rPr>
            </w:pPr>
            <w:r>
              <w:rPr>
                <w:rFonts w:ascii="宋体" w:hAnsi="宋体" w:cs="宋体" w:eastAsia="宋体" w:hint="default"/>
                <w:sz w:val="21"/>
                <w:szCs w:val="21"/>
              </w:rPr>
              <w:t>业务板 块</w:t>
            </w:r>
          </w:p>
        </w:tc>
        <w:tc>
          <w:tcPr>
            <w:tcW w:w="2062" w:type="dxa"/>
            <w:gridSpan w:val="2"/>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before="105"/>
              <w:ind w:left="920" w:right="185" w:hanging="735"/>
              <w:jc w:val="left"/>
              <w:rPr>
                <w:rFonts w:ascii="宋体" w:hAnsi="宋体" w:cs="宋体" w:eastAsia="宋体" w:hint="default"/>
                <w:sz w:val="21"/>
                <w:szCs w:val="21"/>
              </w:rPr>
            </w:pPr>
            <w:r>
              <w:rPr>
                <w:rFonts w:ascii="宋体" w:hAnsi="宋体" w:cs="宋体" w:eastAsia="宋体" w:hint="default"/>
                <w:sz w:val="21"/>
                <w:szCs w:val="21"/>
              </w:rPr>
              <w:t>报告期初在手的订 单</w:t>
            </w:r>
          </w:p>
        </w:tc>
        <w:tc>
          <w:tcPr>
            <w:tcW w:w="2117" w:type="dxa"/>
            <w:gridSpan w:val="2"/>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本报告期签订的订单</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before="105"/>
              <w:ind w:left="933" w:right="197" w:hanging="736"/>
              <w:jc w:val="left"/>
              <w:rPr>
                <w:rFonts w:ascii="宋体" w:hAnsi="宋体" w:cs="宋体" w:eastAsia="宋体" w:hint="default"/>
                <w:sz w:val="21"/>
                <w:szCs w:val="21"/>
              </w:rPr>
            </w:pPr>
            <w:r>
              <w:rPr>
                <w:rFonts w:ascii="宋体" w:hAnsi="宋体" w:cs="宋体" w:eastAsia="宋体" w:hint="default"/>
                <w:sz w:val="21"/>
                <w:szCs w:val="21"/>
              </w:rPr>
              <w:t>本报告期完成的订 单</w:t>
            </w:r>
          </w:p>
        </w:tc>
        <w:tc>
          <w:tcPr>
            <w:tcW w:w="2060" w:type="dxa"/>
            <w:gridSpan w:val="2"/>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before="105"/>
              <w:ind w:left="920" w:right="185" w:hanging="736"/>
              <w:jc w:val="left"/>
              <w:rPr>
                <w:rFonts w:ascii="宋体" w:hAnsi="宋体" w:cs="宋体" w:eastAsia="宋体" w:hint="default"/>
                <w:sz w:val="21"/>
                <w:szCs w:val="21"/>
              </w:rPr>
            </w:pPr>
            <w:r>
              <w:rPr>
                <w:rFonts w:ascii="宋体" w:hAnsi="宋体" w:cs="宋体" w:eastAsia="宋体" w:hint="default"/>
                <w:sz w:val="21"/>
                <w:szCs w:val="21"/>
              </w:rPr>
              <w:t>报告期末在手的订 单</w:t>
            </w:r>
          </w:p>
        </w:tc>
      </w:tr>
      <w:tr>
        <w:trPr>
          <w:trHeight w:val="442" w:hRule="exact"/>
        </w:trPr>
        <w:tc>
          <w:tcPr>
            <w:tcW w:w="917" w:type="dxa"/>
            <w:vMerge/>
            <w:tcBorders>
              <w:left w:val="single" w:sz="4" w:space="0" w:color="000000"/>
              <w:bottom w:val="single" w:sz="4" w:space="0" w:color="000000"/>
              <w:right w:val="single" w:sz="4" w:space="0" w:color="000000"/>
            </w:tcBorders>
            <w:shd w:val="clear" w:color="auto" w:fill="E4DFEB"/>
          </w:tcPr>
          <w:p>
            <w:pPr/>
          </w:p>
        </w:tc>
        <w:tc>
          <w:tcPr>
            <w:tcW w:w="66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394"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5"/>
              <w:ind w:left="81" w:right="0"/>
              <w:jc w:val="center"/>
              <w:rPr>
                <w:rFonts w:ascii="宋体" w:hAnsi="宋体" w:cs="宋体" w:eastAsia="宋体" w:hint="default"/>
                <w:sz w:val="21"/>
                <w:szCs w:val="21"/>
              </w:rPr>
            </w:pPr>
            <w:r>
              <w:rPr>
                <w:rFonts w:ascii="宋体" w:hAnsi="宋体" w:cs="宋体" w:eastAsia="宋体" w:hint="default"/>
                <w:sz w:val="21"/>
                <w:szCs w:val="21"/>
              </w:rPr>
              <w:t>金额（万元）</w:t>
            </w:r>
          </w:p>
        </w:tc>
        <w:tc>
          <w:tcPr>
            <w:tcW w:w="75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36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5"/>
              <w:ind w:left="103" w:right="-2"/>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81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127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5"/>
              <w:ind w:left="103" w:right="-2"/>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94"/>
                <w:sz w:val="21"/>
                <w:szCs w:val="21"/>
              </w:rPr>
              <w:t>额</w:t>
            </w:r>
            <w:r>
              <w:rPr>
                <w:rFonts w:ascii="宋体" w:hAnsi="宋体" w:cs="宋体" w:eastAsia="宋体" w:hint="default"/>
                <w:sz w:val="21"/>
                <w:szCs w:val="21"/>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5"/>
              <w:ind w:right="151"/>
              <w:jc w:val="right"/>
              <w:rPr>
                <w:rFonts w:ascii="宋体" w:hAnsi="宋体" w:cs="宋体" w:eastAsia="宋体" w:hint="default"/>
                <w:sz w:val="21"/>
                <w:szCs w:val="21"/>
              </w:rPr>
            </w:pPr>
            <w:r>
              <w:rPr>
                <w:rFonts w:ascii="宋体" w:hAnsi="宋体" w:cs="宋体" w:eastAsia="宋体" w:hint="default"/>
                <w:sz w:val="21"/>
                <w:szCs w:val="21"/>
              </w:rPr>
              <w:t>数量</w:t>
            </w:r>
          </w:p>
        </w:tc>
        <w:tc>
          <w:tcPr>
            <w:tcW w:w="1325"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5"/>
              <w:ind w:left="101" w:right="-2"/>
              <w:jc w:val="left"/>
              <w:rPr>
                <w:rFonts w:ascii="宋体" w:hAnsi="宋体" w:cs="宋体" w:eastAsia="宋体" w:hint="default"/>
                <w:sz w:val="21"/>
                <w:szCs w:val="21"/>
              </w:rPr>
            </w:pPr>
            <w:r>
              <w:rPr>
                <w:rFonts w:ascii="宋体" w:hAnsi="宋体" w:cs="宋体" w:eastAsia="宋体" w:hint="default"/>
                <w:spacing w:val="-8"/>
                <w:sz w:val="21"/>
                <w:szCs w:val="21"/>
              </w:rPr>
              <w:t>金额（万元）</w:t>
            </w:r>
          </w:p>
        </w:tc>
      </w:tr>
      <w:tr>
        <w:trPr>
          <w:trHeight w:val="714" w:hRule="exact"/>
        </w:trPr>
        <w:tc>
          <w:tcPr>
            <w:tcW w:w="91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before="27"/>
              <w:ind w:left="137" w:right="137"/>
              <w:jc w:val="left"/>
              <w:rPr>
                <w:rFonts w:ascii="宋体" w:hAnsi="宋体" w:cs="宋体" w:eastAsia="宋体" w:hint="default"/>
                <w:sz w:val="21"/>
                <w:szCs w:val="21"/>
              </w:rPr>
            </w:pPr>
            <w:r>
              <w:rPr>
                <w:rFonts w:ascii="宋体" w:hAnsi="宋体" w:cs="宋体" w:eastAsia="宋体" w:hint="default"/>
                <w:sz w:val="21"/>
                <w:szCs w:val="21"/>
              </w:rPr>
              <w:t>信息数 据领域</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401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31,643.05</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sz w:val="21"/>
              </w:rPr>
              <w:t>50,739.65</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1228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sz w:val="21"/>
              </w:rPr>
              <w:t>47,857.68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3"/>
              <w:jc w:val="right"/>
              <w:rPr>
                <w:rFonts w:ascii="宋体" w:hAnsi="宋体" w:cs="宋体" w:eastAsia="宋体" w:hint="default"/>
                <w:sz w:val="21"/>
                <w:szCs w:val="21"/>
              </w:rPr>
            </w:pPr>
            <w:r>
              <w:rPr>
                <w:rFonts w:ascii="宋体"/>
                <w:sz w:val="21"/>
              </w:rPr>
              <w:t>593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83" w:right="0"/>
              <w:jc w:val="left"/>
              <w:rPr>
                <w:rFonts w:ascii="宋体" w:hAnsi="宋体" w:cs="宋体" w:eastAsia="宋体" w:hint="default"/>
                <w:sz w:val="21"/>
                <w:szCs w:val="21"/>
              </w:rPr>
            </w:pPr>
            <w:r>
              <w:rPr>
                <w:rFonts w:ascii="宋体"/>
                <w:sz w:val="21"/>
              </w:rPr>
              <w:t>34,525.02</w:t>
            </w:r>
          </w:p>
        </w:tc>
      </w:tr>
      <w:tr>
        <w:trPr>
          <w:trHeight w:val="714" w:hRule="exact"/>
        </w:trPr>
        <w:tc>
          <w:tcPr>
            <w:tcW w:w="91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before="27"/>
              <w:ind w:left="137" w:right="137"/>
              <w:jc w:val="left"/>
              <w:rPr>
                <w:rFonts w:ascii="宋体" w:hAnsi="宋体" w:cs="宋体" w:eastAsia="宋体" w:hint="default"/>
                <w:sz w:val="21"/>
                <w:szCs w:val="21"/>
              </w:rPr>
            </w:pPr>
            <w:r>
              <w:rPr>
                <w:rFonts w:ascii="宋体" w:hAnsi="宋体" w:cs="宋体" w:eastAsia="宋体" w:hint="default"/>
                <w:sz w:val="21"/>
                <w:szCs w:val="21"/>
              </w:rPr>
              <w:t>环保治 理领域</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17,361.31</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sz w:val="21"/>
              </w:rPr>
              <w:t>56,452.30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sz w:val="21"/>
              </w:rPr>
              <w:t>42,107.40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83" w:right="0"/>
              <w:jc w:val="left"/>
              <w:rPr>
                <w:rFonts w:ascii="宋体" w:hAnsi="宋体" w:cs="宋体" w:eastAsia="宋体" w:hint="default"/>
                <w:sz w:val="21"/>
                <w:szCs w:val="21"/>
              </w:rPr>
            </w:pPr>
            <w:r>
              <w:rPr>
                <w:rFonts w:ascii="宋体"/>
                <w:sz w:val="21"/>
              </w:rPr>
              <w:t>31,706.21</w:t>
            </w:r>
          </w:p>
        </w:tc>
      </w:tr>
      <w:tr>
        <w:trPr>
          <w:trHeight w:val="714" w:hRule="exact"/>
        </w:trPr>
        <w:tc>
          <w:tcPr>
            <w:tcW w:w="91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before="27"/>
              <w:ind w:left="137" w:right="137"/>
              <w:jc w:val="left"/>
              <w:rPr>
                <w:rFonts w:ascii="宋体" w:hAnsi="宋体" w:cs="宋体" w:eastAsia="宋体" w:hint="default"/>
                <w:sz w:val="21"/>
                <w:szCs w:val="21"/>
              </w:rPr>
            </w:pPr>
            <w:r>
              <w:rPr>
                <w:rFonts w:ascii="宋体" w:hAnsi="宋体" w:cs="宋体" w:eastAsia="宋体" w:hint="default"/>
                <w:sz w:val="21"/>
                <w:szCs w:val="21"/>
              </w:rPr>
              <w:t>健康医 疗领域</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11,239.77</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sz w:val="21"/>
              </w:rPr>
              <w:t>4,300.00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sz w:val="21"/>
              </w:rPr>
              <w:t>6,604.00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32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21"/>
                <w:szCs w:val="21"/>
              </w:rPr>
            </w:pPr>
            <w:r>
              <w:rPr>
                <w:rFonts w:ascii="宋体"/>
                <w:sz w:val="21"/>
              </w:rPr>
              <w:t>8,935.77</w:t>
            </w:r>
          </w:p>
        </w:tc>
      </w:tr>
      <w:tr>
        <w:trPr>
          <w:trHeight w:val="443" w:hRule="exact"/>
        </w:trPr>
        <w:tc>
          <w:tcPr>
            <w:tcW w:w="91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46"/>
              <w:ind w:left="24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b/>
                <w:sz w:val="21"/>
              </w:rPr>
              <w:t>467</w:t>
            </w:r>
            <w:r>
              <w:rPr>
                <w:rFonts w:ascii="宋体"/>
                <w:sz w:val="21"/>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b/>
                <w:sz w:val="21"/>
              </w:rPr>
              <w:t>60,244.13</w:t>
            </w:r>
            <w:r>
              <w:rPr>
                <w:rFonts w:ascii="宋体"/>
                <w:sz w:val="21"/>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b/>
                <w:sz w:val="21"/>
              </w:rPr>
              <w:t>1478</w:t>
            </w:r>
            <w:r>
              <w:rPr>
                <w:rFonts w:ascii="宋体"/>
                <w:sz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7" w:right="0"/>
              <w:jc w:val="left"/>
              <w:rPr>
                <w:rFonts w:ascii="宋体" w:hAnsi="宋体" w:cs="宋体" w:eastAsia="宋体" w:hint="default"/>
                <w:sz w:val="21"/>
                <w:szCs w:val="21"/>
              </w:rPr>
            </w:pPr>
            <w:r>
              <w:rPr>
                <w:rFonts w:ascii="宋体"/>
                <w:b/>
                <w:sz w:val="21"/>
              </w:rPr>
              <w:t>111,491.95</w:t>
            </w:r>
            <w:r>
              <w:rPr>
                <w:rFonts w:ascii="宋体"/>
                <w:sz w:val="21"/>
              </w:rPr>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b/>
                <w:sz w:val="21"/>
              </w:rPr>
              <w:t>1296</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09" w:right="0"/>
              <w:jc w:val="left"/>
              <w:rPr>
                <w:rFonts w:ascii="宋体" w:hAnsi="宋体" w:cs="宋体" w:eastAsia="宋体" w:hint="default"/>
                <w:sz w:val="21"/>
                <w:szCs w:val="21"/>
              </w:rPr>
            </w:pPr>
            <w:r>
              <w:rPr>
                <w:rFonts w:ascii="宋体"/>
                <w:b/>
                <w:sz w:val="21"/>
              </w:rPr>
              <w:t>96569.08</w:t>
            </w:r>
            <w:r>
              <w:rPr>
                <w:rFonts w:ascii="宋体"/>
                <w:sz w:val="21"/>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02" w:right="0"/>
              <w:jc w:val="left"/>
              <w:rPr>
                <w:rFonts w:ascii="宋体" w:hAnsi="宋体" w:cs="宋体" w:eastAsia="宋体" w:hint="default"/>
                <w:sz w:val="21"/>
                <w:szCs w:val="21"/>
              </w:rPr>
            </w:pPr>
            <w:r>
              <w:rPr>
                <w:rFonts w:ascii="宋体"/>
                <w:b/>
                <w:sz w:val="21"/>
              </w:rPr>
              <w:t>649</w:t>
            </w:r>
            <w:r>
              <w:rPr>
                <w:rFonts w:ascii="宋体"/>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9" w:right="0"/>
              <w:jc w:val="left"/>
              <w:rPr>
                <w:rFonts w:ascii="宋体" w:hAnsi="宋体" w:cs="宋体" w:eastAsia="宋体" w:hint="default"/>
                <w:sz w:val="21"/>
                <w:szCs w:val="21"/>
              </w:rPr>
            </w:pPr>
            <w:r>
              <w:rPr>
                <w:rFonts w:ascii="宋体"/>
                <w:b/>
                <w:sz w:val="21"/>
              </w:rPr>
              <w:t>75,167.00</w:t>
            </w:r>
            <w:r>
              <w:rPr>
                <w:rFonts w:ascii="宋体"/>
                <w:sz w:val="21"/>
              </w:rPr>
            </w:r>
          </w:p>
        </w:tc>
      </w:tr>
    </w:tbl>
    <w:p>
      <w:pPr>
        <w:pStyle w:val="BodyText"/>
        <w:spacing w:line="357" w:lineRule="auto" w:before="85"/>
        <w:ind w:left="1440" w:right="1437" w:firstLine="480"/>
        <w:jc w:val="both"/>
      </w:pPr>
      <w:r>
        <w:rPr>
          <w:spacing w:val="-3"/>
        </w:rPr>
        <w:t>本报告期内，将本公司子公司江苏亿金环保科技有限公司利润表纳入合并范围，对</w:t>
      </w:r>
      <w:r>
        <w:rPr/>
        <w:t> </w:t>
      </w:r>
      <w:r>
        <w:rPr>
          <w:spacing w:val="3"/>
        </w:rPr>
        <w:t>在手订单期初数进行调整，期初数包含了江苏亿金环保科技有限公司在手订单数量为</w:t>
      </w:r>
      <w:r>
        <w:rPr>
          <w:spacing w:val="-110"/>
        </w:rPr>
        <w:t> </w:t>
      </w:r>
      <w:r>
        <w:rPr>
          <w:spacing w:val="-110"/>
        </w:rPr>
      </w:r>
      <w:r>
        <w:rPr>
          <w:rFonts w:ascii="宋体" w:hAnsi="宋体" w:cs="宋体" w:eastAsia="宋体" w:hint="default"/>
        </w:rPr>
        <w:t>29</w:t>
      </w:r>
      <w:r>
        <w:rPr>
          <w:rFonts w:ascii="宋体" w:hAnsi="宋体" w:cs="宋体" w:eastAsia="宋体" w:hint="default"/>
          <w:spacing w:val="-60"/>
        </w:rPr>
        <w:t> </w:t>
      </w:r>
      <w:r>
        <w:rPr/>
        <w:t>个，金额</w:t>
      </w:r>
      <w:r>
        <w:rPr>
          <w:spacing w:val="-60"/>
        </w:rPr>
        <w:t> </w:t>
      </w:r>
      <w:r>
        <w:rPr>
          <w:rFonts w:ascii="宋体" w:hAnsi="宋体" w:cs="宋体" w:eastAsia="宋体" w:hint="default"/>
        </w:rPr>
        <w:t>17,361.31</w:t>
      </w:r>
      <w:r>
        <w:rPr>
          <w:rFonts w:ascii="宋体" w:hAnsi="宋体" w:cs="宋体" w:eastAsia="宋体" w:hint="default"/>
          <w:spacing w:val="-60"/>
        </w:rPr>
        <w:t> </w:t>
      </w:r>
      <w:r>
        <w:rPr/>
        <w:t>万元，该数据已列入本报告期初在手订单数据中。</w:t>
      </w:r>
    </w:p>
    <w:p>
      <w:pPr>
        <w:spacing w:line="240" w:lineRule="auto" w:before="10"/>
        <w:rPr>
          <w:rFonts w:ascii="宋体" w:hAnsi="宋体" w:cs="宋体" w:eastAsia="宋体" w:hint="default"/>
          <w:sz w:val="19"/>
          <w:szCs w:val="19"/>
        </w:rPr>
      </w:pPr>
    </w:p>
    <w:p>
      <w:pPr>
        <w:pStyle w:val="Heading3"/>
        <w:spacing w:line="240" w:lineRule="auto"/>
        <w:ind w:left="1440" w:right="1033"/>
        <w:jc w:val="left"/>
        <w:rPr>
          <w:b w:val="0"/>
          <w:bCs w:val="0"/>
        </w:rPr>
      </w:pPr>
      <w:bookmarkStart w:name="（5）营业成本构成" w:id="32"/>
      <w:bookmarkEnd w:id="32"/>
      <w:r>
        <w:rPr>
          <w:b w:val="0"/>
          <w:bCs w:val="0"/>
        </w:rPr>
      </w:r>
      <w:r>
        <w:rPr/>
        <w:t>（</w:t>
      </w:r>
      <w:r>
        <w:rPr>
          <w:rFonts w:ascii="宋体" w:hAnsi="宋体" w:cs="宋体" w:eastAsia="宋体" w:hint="default"/>
        </w:rPr>
        <w:t>5</w:t>
      </w:r>
      <w:r>
        <w:rPr/>
        <w:t>）营业成本构成</w:t>
      </w:r>
      <w:r>
        <w:rPr>
          <w:b w:val="0"/>
          <w:bCs w:val="0"/>
        </w:rPr>
      </w:r>
    </w:p>
    <w:p>
      <w:pPr>
        <w:spacing w:line="240" w:lineRule="auto" w:before="11"/>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747" w:footer="979" w:top="1060" w:bottom="1160" w:left="0" w:right="0"/>
        </w:sectPr>
      </w:pPr>
    </w:p>
    <w:p>
      <w:pPr>
        <w:pStyle w:val="BodyText"/>
        <w:spacing w:line="240" w:lineRule="auto" w:before="26"/>
        <w:ind w:left="1440" w:right="-20"/>
        <w:jc w:val="left"/>
      </w:pPr>
      <w:r>
        <w:rPr/>
        <w:t>按行业分类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16"/>
          <w:szCs w:val="16"/>
        </w:rPr>
      </w:pPr>
    </w:p>
    <w:p>
      <w:pPr>
        <w:spacing w:before="0"/>
        <w:ind w:left="1419" w:right="1418"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060" w:bottom="1160" w:left="0" w:right="0"/>
          <w:cols w:num="2" w:equalWidth="0">
            <w:col w:w="2641" w:space="5547"/>
            <w:col w:w="3722"/>
          </w:cols>
        </w:sectPr>
      </w:pPr>
    </w:p>
    <w:p>
      <w:pPr>
        <w:spacing w:line="240" w:lineRule="auto" w:before="12"/>
        <w:rPr>
          <w:rFonts w:ascii="宋体" w:hAnsi="宋体" w:cs="宋体" w:eastAsia="宋体" w:hint="default"/>
          <w:sz w:val="6"/>
          <w:szCs w:val="6"/>
        </w:rPr>
      </w:pPr>
    </w:p>
    <w:tbl>
      <w:tblPr>
        <w:tblW w:w="0" w:type="auto"/>
        <w:jc w:val="left"/>
        <w:tblInd w:w="1435" w:type="dxa"/>
        <w:tblLayout w:type="fixed"/>
        <w:tblCellMar>
          <w:top w:w="0" w:type="dxa"/>
          <w:left w:w="0" w:type="dxa"/>
          <w:bottom w:w="0" w:type="dxa"/>
          <w:right w:w="0" w:type="dxa"/>
        </w:tblCellMar>
        <w:tblLook w:val="01E0"/>
      </w:tblPr>
      <w:tblGrid>
        <w:gridCol w:w="1370"/>
        <w:gridCol w:w="1367"/>
        <w:gridCol w:w="1367"/>
        <w:gridCol w:w="1427"/>
        <w:gridCol w:w="130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02" w:right="77" w:hanging="525"/>
              <w:jc w:val="left"/>
              <w:rPr>
                <w:rFonts w:ascii="宋体" w:hAnsi="宋体" w:cs="宋体" w:eastAsia="宋体" w:hint="default"/>
                <w:sz w:val="21"/>
                <w:szCs w:val="21"/>
              </w:rPr>
            </w:pPr>
            <w:r>
              <w:rPr>
                <w:rFonts w:ascii="宋体" w:hAnsi="宋体" w:cs="宋体" w:eastAsia="宋体" w:hint="default"/>
                <w:sz w:val="21"/>
                <w:szCs w:val="21"/>
              </w:rPr>
              <w:t>占营业成本比 重</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3" w:right="47" w:hanging="526"/>
              <w:jc w:val="left"/>
              <w:rPr>
                <w:rFonts w:ascii="宋体" w:hAnsi="宋体" w:cs="宋体" w:eastAsia="宋体" w:hint="default"/>
                <w:sz w:val="21"/>
                <w:szCs w:val="21"/>
              </w:rPr>
            </w:pPr>
            <w:r>
              <w:rPr>
                <w:rFonts w:ascii="宋体" w:hAnsi="宋体" w:cs="宋体" w:eastAsia="宋体" w:hint="default"/>
                <w:sz w:val="21"/>
                <w:szCs w:val="21"/>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环保治理领域</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230,160,699.2</w:t>
            </w:r>
          </w:p>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z w:val="21"/>
              </w:rPr>
              <w:t>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83.93%</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环保治理领域</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人工和其他费 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44,063,369.27</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16.07%</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0"/>
        <w:ind w:left="1440" w:right="1033"/>
        <w:jc w:val="left"/>
      </w:pPr>
      <w:r>
        <w:rPr/>
        <w:t>说明：公司自</w:t>
      </w:r>
      <w:r>
        <w:rPr>
          <w:rFonts w:ascii="宋体" w:hAnsi="宋体" w:cs="宋体" w:eastAsia="宋体" w:hint="default"/>
        </w:rPr>
        <w:t>2015 </w:t>
      </w:r>
      <w:r>
        <w:rPr/>
        <w:t>年</w:t>
      </w:r>
      <w:r>
        <w:rPr>
          <w:rFonts w:ascii="宋体" w:hAnsi="宋体" w:cs="宋体" w:eastAsia="宋体" w:hint="default"/>
        </w:rPr>
        <w:t>1</w:t>
      </w:r>
      <w:r>
        <w:rPr>
          <w:rFonts w:ascii="宋体" w:hAnsi="宋体" w:cs="宋体" w:eastAsia="宋体" w:hint="default"/>
          <w:spacing w:val="3"/>
        </w:rPr>
        <w:t> </w:t>
      </w:r>
      <w:r>
        <w:rPr/>
        <w:t>月起合并江苏亿金的利润表和现金流量表，公司的业务内容已 从“信息和医疗”两大业务板块拓展为“信息、医疗、环保”三大业务板块。</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3"/>
        <w:spacing w:line="240" w:lineRule="auto"/>
        <w:ind w:left="1440" w:right="1033"/>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1440" w:right="1033"/>
        <w:jc w:val="left"/>
      </w:pPr>
      <w:r>
        <w:rPr/>
        <w:t>√是</w:t>
      </w:r>
      <w:r>
        <w:rPr>
          <w:spacing w:val="-1"/>
        </w:rPr>
        <w:t> </w:t>
      </w:r>
      <w:r>
        <w:rPr/>
        <w:t>□否</w:t>
      </w:r>
    </w:p>
    <w:p>
      <w:pPr>
        <w:pStyle w:val="BodyText"/>
        <w:spacing w:line="240" w:lineRule="auto" w:before="193"/>
        <w:ind w:left="1920" w:right="1033"/>
        <w:jc w:val="left"/>
      </w:pPr>
      <w:r>
        <w:rPr>
          <w:rFonts w:ascii="宋体" w:hAnsi="宋体" w:cs="宋体" w:eastAsia="宋体" w:hint="default"/>
        </w:rPr>
        <w:t>1.</w:t>
      </w:r>
      <w:r>
        <w:rPr/>
        <w:t>非同一控制下企业合并</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4"/>
        <w:ind w:left="1920" w:right="4926"/>
        <w:jc w:val="left"/>
      </w:pPr>
      <w:r>
        <w:rPr/>
        <w:t>本集团</w:t>
      </w:r>
      <w:r>
        <w:rPr>
          <w:rFonts w:ascii="宋体" w:hAnsi="宋体" w:cs="宋体" w:eastAsia="宋体" w:hint="default"/>
        </w:rPr>
        <w:t>2015</w:t>
      </w:r>
      <w:r>
        <w:rPr/>
        <w:t>年度未发生非同一控制下企业合并。 </w:t>
      </w:r>
      <w:r>
        <w:rPr>
          <w:rFonts w:ascii="宋体" w:hAnsi="宋体" w:cs="宋体" w:eastAsia="宋体" w:hint="default"/>
        </w:rPr>
        <w:t>1.</w:t>
      </w:r>
      <w:r>
        <w:rPr/>
        <w:t>同一控制下企业合并 本集团</w:t>
      </w:r>
      <w:r>
        <w:rPr>
          <w:rFonts w:ascii="宋体" w:hAnsi="宋体" w:cs="宋体" w:eastAsia="宋体" w:hint="default"/>
        </w:rPr>
        <w:t>2015</w:t>
      </w:r>
      <w:r>
        <w:rPr/>
        <w:t>年度未发生同一控制下企业合并。 </w:t>
      </w:r>
      <w:r>
        <w:rPr>
          <w:rFonts w:ascii="宋体" w:hAnsi="宋体" w:cs="宋体" w:eastAsia="宋体" w:hint="default"/>
        </w:rPr>
        <w:t>1.</w:t>
      </w:r>
      <w:r>
        <w:rPr/>
        <w:t>反向收购 本集团</w:t>
      </w:r>
      <w:r>
        <w:rPr>
          <w:rFonts w:ascii="宋体" w:hAnsi="宋体" w:cs="宋体" w:eastAsia="宋体" w:hint="default"/>
        </w:rPr>
        <w:t>2015</w:t>
      </w:r>
      <w:r>
        <w:rPr/>
        <w:t>年度未发生反向收购业务。 </w:t>
      </w:r>
      <w:r>
        <w:rPr>
          <w:rFonts w:ascii="宋体" w:hAnsi="宋体" w:cs="宋体" w:eastAsia="宋体" w:hint="default"/>
        </w:rPr>
        <w:t>1.</w:t>
      </w:r>
      <w:r>
        <w:rPr/>
        <w:t>处置子公司 本集团</w:t>
      </w:r>
      <w:r>
        <w:rPr>
          <w:rFonts w:ascii="宋体" w:hAnsi="宋体" w:cs="宋体" w:eastAsia="宋体" w:hint="default"/>
        </w:rPr>
        <w:t>2015</w:t>
      </w:r>
      <w:r>
        <w:rPr/>
        <w:t>年度未发生处置子公司业务。 </w:t>
      </w:r>
      <w:r>
        <w:rPr>
          <w:rFonts w:ascii="宋体" w:hAnsi="宋体" w:cs="宋体" w:eastAsia="宋体" w:hint="default"/>
        </w:rPr>
        <w:t>1.</w:t>
      </w:r>
      <w:r>
        <w:rPr/>
        <w:t>其他原因的合并范围变动</w:t>
      </w:r>
    </w:p>
    <w:p>
      <w:pPr>
        <w:pStyle w:val="BodyText"/>
        <w:spacing w:line="357" w:lineRule="auto" w:before="36"/>
        <w:ind w:left="1920" w:right="1033"/>
        <w:jc w:val="left"/>
      </w:pPr>
      <w:r>
        <w:rPr/>
        <w:t>（</w:t>
      </w:r>
      <w:r>
        <w:rPr>
          <w:rFonts w:ascii="宋体" w:hAnsi="宋体" w:cs="宋体" w:eastAsia="宋体" w:hint="default"/>
        </w:rPr>
        <w:t>1</w:t>
      </w:r>
      <w:r>
        <w:rPr/>
        <w:t>）新设子公司 </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21</w:t>
      </w:r>
      <w:r>
        <w:rPr>
          <w:spacing w:val="-3"/>
        </w:rPr>
        <w:t>日，本公司之子公司江苏亿金公司独资设立江阴亿金物资贸易有限公</w:t>
      </w:r>
    </w:p>
    <w:p>
      <w:pPr>
        <w:pStyle w:val="BodyText"/>
        <w:spacing w:line="357" w:lineRule="auto" w:before="36"/>
        <w:ind w:left="1440" w:right="1033"/>
        <w:jc w:val="left"/>
      </w:pPr>
      <w:r>
        <w:rPr>
          <w:spacing w:val="-3"/>
        </w:rPr>
        <w:t>司，并在无锡市江阴工商行政管理局登记备案。该公司注册资本为</w:t>
      </w:r>
      <w:r>
        <w:rPr>
          <w:rFonts w:ascii="宋体" w:hAnsi="宋体" w:cs="宋体" w:eastAsia="宋体" w:hint="default"/>
          <w:spacing w:val="-3"/>
        </w:rPr>
        <w:t>50</w:t>
      </w:r>
      <w:r>
        <w:rPr>
          <w:spacing w:val="-3"/>
        </w:rPr>
        <w:t>万元人民币，截止</w:t>
      </w:r>
      <w:r>
        <w:rPr>
          <w:spacing w:val="-98"/>
        </w:rPr>
        <w:t> </w:t>
      </w:r>
      <w:r>
        <w:rPr>
          <w:spacing w:val="-98"/>
        </w:rPr>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日，江苏亿金公司尚未对其实际出资。</w:t>
      </w:r>
    </w:p>
    <w:p>
      <w:pPr>
        <w:pStyle w:val="BodyText"/>
        <w:spacing w:line="357" w:lineRule="auto" w:before="36"/>
        <w:ind w:left="1920" w:right="1033"/>
        <w:jc w:val="left"/>
      </w:pPr>
      <w:r>
        <w:rPr/>
        <w:t>（</w:t>
      </w:r>
      <w:r>
        <w:rPr>
          <w:rFonts w:ascii="宋体" w:hAnsi="宋体" w:cs="宋体" w:eastAsia="宋体" w:hint="default"/>
        </w:rPr>
        <w:t>2</w:t>
      </w:r>
      <w:r>
        <w:rPr/>
        <w:t>）设立、注销分公司 </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21</w:t>
      </w:r>
      <w:r>
        <w:rPr>
          <w:spacing w:val="-3"/>
        </w:rPr>
        <w:t>日，本公司之子公司江苏亿金公司设立江苏亿金环保科技股份有限公</w:t>
      </w:r>
    </w:p>
    <w:p>
      <w:pPr>
        <w:pStyle w:val="BodyText"/>
        <w:spacing w:line="357" w:lineRule="auto" w:before="36"/>
        <w:ind w:left="1920" w:right="1033" w:hanging="481"/>
        <w:jc w:val="left"/>
      </w:pPr>
      <w:r>
        <w:rPr/>
        <w:t>司江阴安装分公司，并在无锡市江阴工商行政管理局登记备案。 </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25</w:t>
      </w:r>
      <w:r>
        <w:rPr>
          <w:spacing w:val="-3"/>
        </w:rPr>
        <w:t>日，本公司之子公司江苏亿金公司根据股东会决议注销江苏亿金环保</w:t>
      </w:r>
    </w:p>
    <w:p>
      <w:pPr>
        <w:pStyle w:val="BodyText"/>
        <w:spacing w:line="357" w:lineRule="auto" w:before="36"/>
        <w:ind w:left="1440" w:right="1033"/>
        <w:jc w:val="left"/>
      </w:pPr>
      <w:r>
        <w:rPr>
          <w:spacing w:val="-3"/>
        </w:rPr>
        <w:t>科技股份有限公司南京分公司，并在南京市工商行政管理局雨花台分局登记注销。</w:t>
      </w:r>
      <w:r>
        <w:rPr>
          <w:rFonts w:ascii="宋体" w:hAnsi="宋体" w:cs="宋体" w:eastAsia="宋体" w:hint="default"/>
          <w:spacing w:val="-3"/>
        </w:rPr>
        <w:t>2015</w:t>
      </w:r>
      <w:r>
        <w:rPr>
          <w:rFonts w:ascii="宋体" w:hAnsi="宋体" w:cs="宋体" w:eastAsia="宋体" w:hint="default"/>
          <w:spacing w:val="-93"/>
        </w:rPr>
        <w:t> </w:t>
      </w:r>
      <w:r>
        <w:rPr/>
        <w:t>年</w:t>
      </w:r>
      <w:r>
        <w:rPr>
          <w:rFonts w:ascii="宋体" w:hAnsi="宋体" w:cs="宋体" w:eastAsia="宋体" w:hint="default"/>
        </w:rPr>
        <w:t>2</w:t>
      </w:r>
      <w:r>
        <w:rPr/>
        <w:t>月</w:t>
      </w:r>
      <w:r>
        <w:rPr>
          <w:rFonts w:ascii="宋体" w:hAnsi="宋体" w:cs="宋体" w:eastAsia="宋体" w:hint="default"/>
        </w:rPr>
        <w:t>6</w:t>
      </w:r>
      <w:r>
        <w:rPr/>
        <w:t>日，南京市雨花台区国家税务局核准南京分公司注销税务登记。</w:t>
      </w:r>
    </w:p>
    <w:p>
      <w:pPr>
        <w:spacing w:line="240" w:lineRule="auto" w:before="11"/>
        <w:rPr>
          <w:rFonts w:ascii="宋体" w:hAnsi="宋体" w:cs="宋体" w:eastAsia="宋体" w:hint="default"/>
          <w:sz w:val="19"/>
          <w:szCs w:val="19"/>
        </w:rPr>
      </w:pPr>
    </w:p>
    <w:p>
      <w:pPr>
        <w:pStyle w:val="Heading3"/>
        <w:spacing w:line="240" w:lineRule="auto"/>
        <w:ind w:left="1440" w:right="1033"/>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8"/>
          <w:szCs w:val="28"/>
        </w:rPr>
      </w:pPr>
    </w:p>
    <w:p>
      <w:pPr>
        <w:pStyle w:val="BodyText"/>
        <w:spacing w:line="386" w:lineRule="auto"/>
        <w:ind w:left="1920" w:right="1434" w:hanging="481"/>
        <w:jc w:val="left"/>
      </w:pPr>
      <w:r>
        <w:rPr/>
        <w:t>√适用</w:t>
      </w:r>
      <w:r>
        <w:rPr>
          <w:spacing w:val="-1"/>
        </w:rPr>
        <w:t> </w:t>
      </w:r>
      <w:r>
        <w:rPr/>
        <w:t>□不适用</w:t>
      </w:r>
      <w:r>
        <w:rPr/>
        <w:t> </w:t>
      </w:r>
      <w:r>
        <w:rPr>
          <w:spacing w:val="-3"/>
        </w:rPr>
        <w:t>报告期内，公司完成了江苏亿金环保的重大资产重组，主营业务新增环保治理领域</w:t>
      </w:r>
    </w:p>
    <w:p>
      <w:pPr>
        <w:pStyle w:val="BodyText"/>
        <w:spacing w:line="357" w:lineRule="auto" w:before="7"/>
        <w:ind w:left="1440" w:right="1326"/>
        <w:jc w:val="left"/>
      </w:pPr>
      <w:r>
        <w:rPr/>
        <w:t>中除尘、脱硫、脱硝等相关产品研发</w:t>
      </w:r>
      <w:r>
        <w:rPr>
          <w:rFonts w:ascii="宋体" w:hAnsi="宋体" w:cs="宋体" w:eastAsia="宋体" w:hint="default"/>
        </w:rPr>
        <w:t>/</w:t>
      </w:r>
      <w:r>
        <w:rPr/>
        <w:t>制造</w:t>
      </w:r>
      <w:r>
        <w:rPr>
          <w:rFonts w:ascii="宋体" w:hAnsi="宋体" w:cs="宋体" w:eastAsia="宋体" w:hint="default"/>
        </w:rPr>
        <w:t>/</w:t>
      </w:r>
      <w:r>
        <w:rPr/>
        <w:t>工程实施、运维服务等整体解决方案业务； </w:t>
      </w:r>
      <w:r>
        <w:rPr>
          <w:spacing w:val="-3"/>
        </w:rPr>
        <w:t>另外，公司在大项目工程总承包业务上取得突破；公司主营业务、产品、收入及利润构</w:t>
      </w:r>
      <w:r>
        <w:rPr>
          <w:spacing w:val="-102"/>
        </w:rPr>
        <w:t> </w:t>
      </w:r>
      <w:r>
        <w:rPr>
          <w:spacing w:val="-102"/>
        </w:rPr>
      </w:r>
      <w:r>
        <w:rPr/>
        <w:t>成均发生较大变化。</w:t>
      </w:r>
    </w:p>
    <w:p>
      <w:pPr>
        <w:spacing w:line="240" w:lineRule="auto" w:before="11"/>
        <w:rPr>
          <w:rFonts w:ascii="宋体" w:hAnsi="宋体" w:cs="宋体" w:eastAsia="宋体" w:hint="default"/>
          <w:sz w:val="19"/>
          <w:szCs w:val="19"/>
        </w:rPr>
      </w:pPr>
    </w:p>
    <w:p>
      <w:pPr>
        <w:spacing w:line="468" w:lineRule="auto" w:before="0"/>
        <w:ind w:left="1440" w:right="5472" w:firstLine="0"/>
        <w:jc w:val="left"/>
        <w:rPr>
          <w:rFonts w:ascii="宋体" w:hAnsi="宋体" w:cs="宋体" w:eastAsia="宋体" w:hint="default"/>
          <w:sz w:val="24"/>
          <w:szCs w:val="24"/>
        </w:rPr>
      </w:pPr>
      <w:r>
        <w:rPr/>
        <w:pict>
          <v:shape style="position:absolute;margin-left:71.760002pt;margin-top:50.155628pt;width:479.2pt;height:40.7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193,204,413.84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22.02%</w:t>
                        </w:r>
                      </w:p>
                    </w:tc>
                  </w:tr>
                </w:tbl>
                <w:p>
                  <w:pPr/>
                </w:p>
              </w:txbxContent>
            </v:textbox>
            <w10:wrap type="none"/>
          </v:shape>
        </w:pict>
      </w:r>
      <w:bookmarkStart w:name="（8）主要销售客户和主要供应商情况" w:id="35"/>
      <w:bookmarkEnd w:id="35"/>
      <w:r>
        <w:rPr/>
      </w:r>
      <w:r>
        <w:rPr>
          <w:rFonts w:ascii="宋体" w:hAnsi="宋体" w:cs="宋体" w:eastAsia="宋体" w:hint="default"/>
          <w:b/>
          <w:bCs/>
          <w:w w:val="95"/>
          <w:sz w:val="24"/>
          <w:szCs w:val="24"/>
        </w:rPr>
        <w:t>（</w:t>
      </w:r>
      <w:r>
        <w:rPr>
          <w:rFonts w:ascii="宋体" w:hAnsi="宋体" w:cs="宋体" w:eastAsia="宋体" w:hint="default"/>
          <w:b/>
          <w:bCs/>
          <w:w w:val="95"/>
          <w:sz w:val="24"/>
          <w:szCs w:val="24"/>
        </w:rPr>
        <w:t>8</w:t>
      </w:r>
      <w:r>
        <w:rPr>
          <w:rFonts w:ascii="宋体" w:hAnsi="宋体" w:cs="宋体" w:eastAsia="宋体" w:hint="default"/>
          <w:b/>
          <w:bCs/>
          <w:w w:val="95"/>
          <w:sz w:val="24"/>
          <w:szCs w:val="24"/>
        </w:rPr>
        <w:t>）主要销售客户和主要供应商情况</w:t>
      </w:r>
      <w:r>
        <w:rPr>
          <w:rFonts w:ascii="宋体" w:hAnsi="宋体" w:cs="宋体" w:eastAsia="宋体" w:hint="default"/>
          <w:b/>
          <w:bCs/>
          <w:spacing w:val="69"/>
          <w:w w:val="95"/>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26"/>
        <w:ind w:left="1440" w:right="1033"/>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大客户资料</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
          <w:szCs w:val="2"/>
        </w:rPr>
      </w:pPr>
    </w:p>
    <w:tbl>
      <w:tblPr>
        <w:tblW w:w="0" w:type="auto"/>
        <w:jc w:val="left"/>
        <w:tblInd w:w="1446" w:type="dxa"/>
        <w:tblLayout w:type="fixed"/>
        <w:tblCellMar>
          <w:top w:w="0" w:type="dxa"/>
          <w:left w:w="0" w:type="dxa"/>
          <w:bottom w:w="0" w:type="dxa"/>
          <w:right w:w="0" w:type="dxa"/>
        </w:tblCellMar>
        <w:tblLook w:val="01E0"/>
      </w:tblPr>
      <w:tblGrid>
        <w:gridCol w:w="791"/>
        <w:gridCol w:w="3301"/>
        <w:gridCol w:w="2322"/>
        <w:gridCol w:w="3143"/>
      </w:tblGrid>
      <w:tr>
        <w:trPr>
          <w:trHeight w:val="414" w:hRule="exact"/>
        </w:trPr>
        <w:tc>
          <w:tcPr>
            <w:tcW w:w="79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9"/>
              <w:jc w:val="center"/>
              <w:rPr>
                <w:rFonts w:ascii="宋体" w:hAnsi="宋体" w:cs="宋体" w:eastAsia="宋体" w:hint="default"/>
                <w:sz w:val="21"/>
                <w:szCs w:val="21"/>
              </w:rPr>
            </w:pPr>
            <w:r>
              <w:rPr>
                <w:rFonts w:ascii="宋体" w:hAnsi="宋体" w:cs="宋体" w:eastAsia="宋体" w:hint="default"/>
                <w:sz w:val="21"/>
                <w:szCs w:val="21"/>
              </w:rPr>
              <w:t>序号</w:t>
            </w:r>
          </w:p>
        </w:tc>
        <w:tc>
          <w:tcPr>
            <w:tcW w:w="330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21"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42,222,538.46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4.81%</w:t>
            </w:r>
          </w:p>
        </w:tc>
      </w:tr>
      <w:tr>
        <w:trPr>
          <w:trHeight w:val="402" w:hRule="exact"/>
        </w:trPr>
        <w:tc>
          <w:tcPr>
            <w:tcW w:w="79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76,800,000.00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8.75%</w:t>
            </w:r>
          </w:p>
        </w:tc>
      </w:tr>
      <w:tr>
        <w:trPr>
          <w:trHeight w:val="402" w:hRule="exact"/>
        </w:trPr>
        <w:tc>
          <w:tcPr>
            <w:tcW w:w="79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25,519,316.00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2.91%</w:t>
            </w:r>
          </w:p>
        </w:tc>
      </w:tr>
      <w:tr>
        <w:trPr>
          <w:trHeight w:val="402" w:hRule="exact"/>
        </w:trPr>
        <w:tc>
          <w:tcPr>
            <w:tcW w:w="79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24,846,068.38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2.83%</w:t>
            </w:r>
          </w:p>
        </w:tc>
      </w:tr>
      <w:tr>
        <w:trPr>
          <w:trHeight w:val="402" w:hRule="exact"/>
        </w:trPr>
        <w:tc>
          <w:tcPr>
            <w:tcW w:w="79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23,816,491.00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9"/>
              <w:jc w:val="center"/>
              <w:rPr>
                <w:rFonts w:ascii="宋体" w:hAnsi="宋体" w:cs="宋体" w:eastAsia="宋体" w:hint="default"/>
                <w:sz w:val="21"/>
                <w:szCs w:val="21"/>
              </w:rPr>
            </w:pPr>
            <w:r>
              <w:rPr>
                <w:rFonts w:ascii="宋体" w:hAnsi="宋体" w:cs="宋体" w:eastAsia="宋体" w:hint="default"/>
                <w:sz w:val="21"/>
                <w:szCs w:val="21"/>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193,204,413.84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22.02%</w:t>
            </w:r>
          </w:p>
        </w:tc>
      </w:tr>
    </w:tbl>
    <w:p>
      <w:pPr>
        <w:pStyle w:val="BodyText"/>
        <w:spacing w:line="240" w:lineRule="auto" w:before="81"/>
        <w:ind w:left="1440" w:right="1033"/>
        <w:jc w:val="left"/>
      </w:pPr>
      <w:r>
        <w:rPr/>
        <w:t>公司主要供应商情况</w:t>
      </w:r>
    </w:p>
    <w:p>
      <w:pPr>
        <w:spacing w:line="240" w:lineRule="auto" w:before="10"/>
        <w:rPr>
          <w:rFonts w:ascii="宋体" w:hAnsi="宋体" w:cs="宋体" w:eastAsia="宋体" w:hint="default"/>
          <w:sz w:val="11"/>
          <w:szCs w:val="11"/>
        </w:rPr>
      </w:pPr>
    </w:p>
    <w:tbl>
      <w:tblPr>
        <w:tblW w:w="0" w:type="auto"/>
        <w:jc w:val="left"/>
        <w:tblInd w:w="1435"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72,059,328.09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14.57%</w:t>
            </w:r>
          </w:p>
        </w:tc>
      </w:tr>
    </w:tbl>
    <w:p>
      <w:pPr>
        <w:pStyle w:val="BodyText"/>
        <w:spacing w:line="240" w:lineRule="auto" w:before="81"/>
        <w:ind w:left="1440" w:right="1033"/>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名供应商资料</w:t>
      </w:r>
    </w:p>
    <w:p>
      <w:pPr>
        <w:spacing w:line="240" w:lineRule="auto" w:before="10"/>
        <w:rPr>
          <w:rFonts w:ascii="宋体" w:hAnsi="宋体" w:cs="宋体" w:eastAsia="宋体" w:hint="default"/>
          <w:sz w:val="11"/>
          <w:szCs w:val="11"/>
        </w:rPr>
      </w:pPr>
    </w:p>
    <w:tbl>
      <w:tblPr>
        <w:tblW w:w="0" w:type="auto"/>
        <w:jc w:val="left"/>
        <w:tblInd w:w="1446" w:type="dxa"/>
        <w:tblLayout w:type="fixed"/>
        <w:tblCellMar>
          <w:top w:w="0" w:type="dxa"/>
          <w:left w:w="0" w:type="dxa"/>
          <w:bottom w:w="0" w:type="dxa"/>
          <w:right w:w="0" w:type="dxa"/>
        </w:tblCellMar>
        <w:tblLook w:val="01E0"/>
      </w:tblPr>
      <w:tblGrid>
        <w:gridCol w:w="924"/>
        <w:gridCol w:w="3168"/>
        <w:gridCol w:w="2322"/>
        <w:gridCol w:w="3143"/>
      </w:tblGrid>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1"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2" w:hRule="exact"/>
        </w:trPr>
        <w:tc>
          <w:tcPr>
            <w:tcW w:w="92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1</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24,060,000.00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4.86%</w:t>
            </w:r>
          </w:p>
        </w:tc>
      </w:tr>
      <w:tr>
        <w:trPr>
          <w:trHeight w:val="402" w:hRule="exact"/>
        </w:trPr>
        <w:tc>
          <w:tcPr>
            <w:tcW w:w="92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2</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16,041,682.38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3.24%</w:t>
            </w:r>
          </w:p>
        </w:tc>
      </w:tr>
      <w:tr>
        <w:trPr>
          <w:trHeight w:val="402" w:hRule="exact"/>
        </w:trPr>
        <w:tc>
          <w:tcPr>
            <w:tcW w:w="92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3</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12,994,802.48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2.63%</w:t>
            </w:r>
          </w:p>
        </w:tc>
      </w:tr>
      <w:tr>
        <w:trPr>
          <w:trHeight w:val="402" w:hRule="exact"/>
        </w:trPr>
        <w:tc>
          <w:tcPr>
            <w:tcW w:w="92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4</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10,947,813.23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2.21%</w:t>
            </w:r>
          </w:p>
        </w:tc>
      </w:tr>
      <w:tr>
        <w:trPr>
          <w:trHeight w:val="402" w:hRule="exact"/>
        </w:trPr>
        <w:tc>
          <w:tcPr>
            <w:tcW w:w="92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8,015,030.00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1.63%</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72,059,328.09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14.57%</w:t>
            </w:r>
          </w:p>
        </w:tc>
      </w:tr>
    </w:tbl>
    <w:p>
      <w:pPr>
        <w:spacing w:line="240" w:lineRule="auto" w:before="2"/>
        <w:rPr>
          <w:rFonts w:ascii="宋体" w:hAnsi="宋体" w:cs="宋体" w:eastAsia="宋体" w:hint="default"/>
          <w:sz w:val="18"/>
          <w:szCs w:val="18"/>
        </w:rPr>
      </w:pPr>
    </w:p>
    <w:p>
      <w:pPr>
        <w:pStyle w:val="Heading3"/>
        <w:spacing w:line="240" w:lineRule="auto" w:before="26"/>
        <w:ind w:left="1440" w:right="1033"/>
        <w:jc w:val="left"/>
        <w:rPr>
          <w:b w:val="0"/>
          <w:bCs w:val="0"/>
        </w:rPr>
      </w:pPr>
      <w:bookmarkStart w:name="3、费用" w:id="36"/>
      <w:bookmarkEnd w:id="36"/>
      <w:r>
        <w:rPr>
          <w:b w:val="0"/>
          <w:bCs w:val="0"/>
        </w:rPr>
      </w:r>
      <w:r>
        <w:rPr>
          <w:rFonts w:ascii="宋体" w:hAnsi="宋体" w:cs="宋体" w:eastAsia="宋体" w:hint="default"/>
        </w:rPr>
        <w:t>3</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435" w:type="dxa"/>
        <w:tblLayout w:type="fixed"/>
        <w:tblCellMar>
          <w:top w:w="0" w:type="dxa"/>
          <w:left w:w="0" w:type="dxa"/>
          <w:bottom w:w="0" w:type="dxa"/>
          <w:right w:w="0" w:type="dxa"/>
        </w:tblCellMar>
        <w:tblLook w:val="01E0"/>
      </w:tblPr>
      <w:tblGrid>
        <w:gridCol w:w="1702"/>
        <w:gridCol w:w="1417"/>
        <w:gridCol w:w="1559"/>
        <w:gridCol w:w="1135"/>
        <w:gridCol w:w="3756"/>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2"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4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65" w:right="0"/>
              <w:jc w:val="left"/>
              <w:rPr>
                <w:rFonts w:ascii="Times New Roman" w:hAnsi="Times New Roman" w:cs="Times New Roman" w:eastAsia="Times New Roman" w:hint="default"/>
                <w:sz w:val="21"/>
                <w:szCs w:val="21"/>
              </w:rPr>
            </w:pPr>
            <w:r>
              <w:rPr>
                <w:rFonts w:ascii="Times New Roman"/>
                <w:sz w:val="21"/>
              </w:rPr>
              <w:t>56,967,746.44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18" w:right="0"/>
              <w:jc w:val="left"/>
              <w:rPr>
                <w:rFonts w:ascii="Times New Roman" w:hAnsi="Times New Roman" w:cs="Times New Roman" w:eastAsia="Times New Roman" w:hint="default"/>
                <w:sz w:val="21"/>
                <w:szCs w:val="21"/>
              </w:rPr>
            </w:pPr>
            <w:r>
              <w:rPr>
                <w:rFonts w:ascii="Times New Roman"/>
                <w:sz w:val="21"/>
              </w:rPr>
              <w:t>48,287,520.81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53" w:right="0"/>
              <w:jc w:val="left"/>
              <w:rPr>
                <w:rFonts w:ascii="Times New Roman" w:hAnsi="Times New Roman" w:cs="Times New Roman" w:eastAsia="Times New Roman" w:hint="default"/>
                <w:sz w:val="21"/>
                <w:szCs w:val="21"/>
              </w:rPr>
            </w:pPr>
            <w:r>
              <w:rPr>
                <w:rFonts w:ascii="Times New Roman"/>
                <w:sz w:val="21"/>
              </w:rPr>
              <w:t>17.98%</w:t>
            </w:r>
          </w:p>
        </w:tc>
        <w:tc>
          <w:tcPr>
            <w:tcW w:w="375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74"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94,612,298.77</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18" w:right="0"/>
              <w:jc w:val="left"/>
              <w:rPr>
                <w:rFonts w:ascii="Times New Roman" w:hAnsi="Times New Roman" w:cs="Times New Roman" w:eastAsia="Times New Roman" w:hint="default"/>
                <w:sz w:val="21"/>
                <w:szCs w:val="21"/>
              </w:rPr>
            </w:pPr>
            <w:r>
              <w:rPr>
                <w:rFonts w:ascii="Times New Roman"/>
                <w:sz w:val="21"/>
              </w:rPr>
              <w:t>49,994,754.21</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53" w:right="0"/>
              <w:jc w:val="left"/>
              <w:rPr>
                <w:rFonts w:ascii="Times New Roman" w:hAnsi="Times New Roman" w:cs="Times New Roman" w:eastAsia="Times New Roman" w:hint="default"/>
                <w:sz w:val="21"/>
                <w:szCs w:val="21"/>
              </w:rPr>
            </w:pPr>
            <w:r>
              <w:rPr>
                <w:rFonts w:ascii="Times New Roman"/>
                <w:sz w:val="21"/>
              </w:rPr>
              <w:t>89.24%</w:t>
            </w:r>
          </w:p>
        </w:tc>
        <w:tc>
          <w:tcPr>
            <w:tcW w:w="3756" w:type="dxa"/>
            <w:vMerge w:val="restart"/>
            <w:tcBorders>
              <w:top w:val="single" w:sz="4" w:space="0" w:color="000000"/>
              <w:left w:val="single" w:sz="4" w:space="0" w:color="000000"/>
              <w:right w:val="single" w:sz="4" w:space="0" w:color="000000"/>
            </w:tcBorders>
            <w:shd w:val="clear" w:color="auto" w:fill="CCE8CF"/>
          </w:tcPr>
          <w:p>
            <w:pPr>
              <w:pStyle w:val="TableParagraph"/>
              <w:spacing w:line="261" w:lineRule="auto" w:before="27"/>
              <w:ind w:left="23" w:right="21"/>
              <w:jc w:val="left"/>
              <w:rPr>
                <w:rFonts w:ascii="宋体" w:hAnsi="宋体" w:cs="宋体" w:eastAsia="宋体" w:hint="default"/>
                <w:sz w:val="21"/>
                <w:szCs w:val="21"/>
              </w:rPr>
            </w:pPr>
            <w:r>
              <w:rPr>
                <w:rFonts w:ascii="宋体" w:hAnsi="宋体" w:cs="宋体" w:eastAsia="宋体" w:hint="default"/>
                <w:sz w:val="21"/>
                <w:szCs w:val="21"/>
              </w:rPr>
              <w:t>报告期管理费用较去年同期增加 </w:t>
            </w:r>
            <w:r>
              <w:rPr>
                <w:rFonts w:ascii="Times New Roman" w:hAnsi="Times New Roman" w:cs="Times New Roman" w:eastAsia="Times New Roman" w:hint="default"/>
                <w:spacing w:val="-5"/>
                <w:sz w:val="21"/>
                <w:szCs w:val="21"/>
              </w:rPr>
              <w:t>89.24%</w:t>
            </w:r>
            <w:r>
              <w:rPr>
                <w:rFonts w:ascii="宋体" w:hAnsi="宋体" w:cs="宋体" w:eastAsia="宋体" w:hint="default"/>
                <w:spacing w:val="-5"/>
                <w:sz w:val="21"/>
                <w:szCs w:val="21"/>
              </w:rPr>
              <w:t>，主要系非同一控制下企业合并江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苏亿金公司利润表项目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4,124.88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万元所 致。</w:t>
            </w: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17"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3756" w:type="dxa"/>
            <w:vMerge/>
            <w:tcBorders>
              <w:left w:val="single" w:sz="4" w:space="0" w:color="000000"/>
              <w:right w:val="single" w:sz="4" w:space="0" w:color="000000"/>
            </w:tcBorders>
            <w:shd w:val="clear" w:color="auto" w:fill="CCE8CF"/>
          </w:tcPr>
          <w:p>
            <w:pPr/>
          </w:p>
        </w:tc>
      </w:tr>
      <w:tr>
        <w:trPr>
          <w:trHeight w:val="473"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3756" w:type="dxa"/>
            <w:vMerge/>
            <w:tcBorders>
              <w:left w:val="single" w:sz="4" w:space="0" w:color="000000"/>
              <w:bottom w:val="single" w:sz="4" w:space="0" w:color="000000"/>
              <w:right w:val="single" w:sz="4" w:space="0" w:color="000000"/>
            </w:tcBorders>
            <w:shd w:val="clear" w:color="auto" w:fill="CCE8CF"/>
          </w:tcPr>
          <w:p>
            <w:pPr/>
          </w:p>
        </w:tc>
      </w:tr>
      <w:tr>
        <w:trPr>
          <w:trHeight w:val="474"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8,407,989.37</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22" w:right="0"/>
              <w:jc w:val="left"/>
              <w:rPr>
                <w:rFonts w:ascii="Times New Roman" w:hAnsi="Times New Roman" w:cs="Times New Roman" w:eastAsia="Times New Roman" w:hint="default"/>
                <w:sz w:val="21"/>
                <w:szCs w:val="21"/>
              </w:rPr>
            </w:pPr>
            <w:r>
              <w:rPr>
                <w:rFonts w:ascii="Times New Roman"/>
                <w:sz w:val="21"/>
              </w:rPr>
              <w:t>1,153,289.04</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49" w:right="0"/>
              <w:jc w:val="left"/>
              <w:rPr>
                <w:rFonts w:ascii="Times New Roman" w:hAnsi="Times New Roman" w:cs="Times New Roman" w:eastAsia="Times New Roman" w:hint="default"/>
                <w:sz w:val="21"/>
                <w:szCs w:val="21"/>
              </w:rPr>
            </w:pPr>
            <w:r>
              <w:rPr>
                <w:rFonts w:ascii="Times New Roman"/>
                <w:sz w:val="21"/>
              </w:rPr>
              <w:t>629.04%</w:t>
            </w:r>
          </w:p>
        </w:tc>
        <w:tc>
          <w:tcPr>
            <w:tcW w:w="3756" w:type="dxa"/>
            <w:vMerge w:val="restart"/>
            <w:tcBorders>
              <w:top w:val="single" w:sz="4" w:space="0" w:color="000000"/>
              <w:left w:val="single" w:sz="4" w:space="0" w:color="000000"/>
              <w:right w:val="single" w:sz="4" w:space="0" w:color="000000"/>
            </w:tcBorders>
            <w:shd w:val="clear" w:color="auto" w:fill="CCE8CF"/>
          </w:tcPr>
          <w:p>
            <w:pPr>
              <w:pStyle w:val="TableParagraph"/>
              <w:spacing w:line="266" w:lineRule="auto" w:before="27"/>
              <w:ind w:left="23" w:right="28"/>
              <w:jc w:val="left"/>
              <w:rPr>
                <w:rFonts w:ascii="宋体" w:hAnsi="宋体" w:cs="宋体" w:eastAsia="宋体" w:hint="default"/>
                <w:sz w:val="21"/>
                <w:szCs w:val="21"/>
              </w:rPr>
            </w:pPr>
            <w:r>
              <w:rPr>
                <w:rFonts w:ascii="宋体" w:hAnsi="宋体" w:cs="宋体" w:eastAsia="宋体" w:hint="default"/>
                <w:sz w:val="21"/>
                <w:szCs w:val="21"/>
              </w:rPr>
              <w:t>报告期财务费用较去年同期增加 </w:t>
            </w:r>
            <w:r>
              <w:rPr>
                <w:rFonts w:ascii="Times New Roman" w:hAnsi="Times New Roman" w:cs="Times New Roman" w:eastAsia="Times New Roman" w:hint="default"/>
                <w:sz w:val="21"/>
                <w:szCs w:val="21"/>
              </w:rPr>
              <w:t>629.04%</w:t>
            </w:r>
            <w:r>
              <w:rPr>
                <w:rFonts w:ascii="宋体" w:hAnsi="宋体" w:cs="宋体" w:eastAsia="宋体" w:hint="default"/>
                <w:sz w:val="21"/>
                <w:szCs w:val="21"/>
              </w:rPr>
              <w:t>，主要系本报告期非同一控制下 企业合并江苏亿金公司利润表项目 </w:t>
            </w:r>
            <w:r>
              <w:rPr>
                <w:rFonts w:ascii="Times New Roman" w:hAnsi="Times New Roman" w:cs="Times New Roman" w:eastAsia="Times New Roman" w:hint="default"/>
                <w:sz w:val="21"/>
                <w:szCs w:val="21"/>
              </w:rPr>
              <w:t>631.60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万元所致。</w:t>
            </w: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17"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3756" w:type="dxa"/>
            <w:vMerge/>
            <w:tcBorders>
              <w:left w:val="single" w:sz="4" w:space="0" w:color="000000"/>
              <w:right w:val="single" w:sz="4" w:space="0" w:color="000000"/>
            </w:tcBorders>
            <w:shd w:val="clear" w:color="auto" w:fill="CCE8CF"/>
          </w:tcPr>
          <w:p>
            <w:pPr/>
          </w:p>
        </w:tc>
      </w:tr>
      <w:tr>
        <w:trPr>
          <w:trHeight w:val="474"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3756"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b/>
          <w:bCs/>
          <w:sz w:val="18"/>
          <w:szCs w:val="18"/>
        </w:rPr>
      </w:pPr>
    </w:p>
    <w:p>
      <w:pPr>
        <w:spacing w:before="26"/>
        <w:ind w:left="1440" w:right="1033" w:firstLine="0"/>
        <w:jc w:val="left"/>
        <w:rPr>
          <w:rFonts w:ascii="宋体" w:hAnsi="宋体" w:cs="宋体" w:eastAsia="宋体" w:hint="default"/>
          <w:sz w:val="24"/>
          <w:szCs w:val="24"/>
        </w:rPr>
      </w:pPr>
      <w:bookmarkStart w:name="4、研发投入" w:id="37"/>
      <w:bookmarkEnd w:id="37"/>
      <w:r>
        <w:rPr/>
      </w:r>
      <w:r>
        <w:rPr>
          <w:rFonts w:ascii="宋体" w:hAnsi="宋体" w:cs="宋体" w:eastAsia="宋体" w:hint="default"/>
          <w:b/>
          <w:bCs/>
          <w:sz w:val="24"/>
          <w:szCs w:val="24"/>
        </w:rPr>
        <w:t>4</w:t>
      </w:r>
      <w:r>
        <w:rPr>
          <w:rFonts w:ascii="宋体" w:hAnsi="宋体" w:cs="宋体" w:eastAsia="宋体" w:hint="default"/>
          <w:b/>
          <w:bCs/>
          <w:sz w:val="24"/>
          <w:szCs w:val="24"/>
        </w:rPr>
        <w:t>、研发投入</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386" w:lineRule="auto"/>
        <w:ind w:left="1920" w:right="1326" w:hanging="481"/>
        <w:jc w:val="left"/>
      </w:pPr>
      <w:r>
        <w:rPr/>
        <w:t>√ 适用 □ 不适用 公司作为高新技术企业，加强技术研发能力是提高企业核心竞争优势的重要手段，</w:t>
      </w:r>
    </w:p>
    <w:p>
      <w:pPr>
        <w:spacing w:after="0" w:line="386"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pStyle w:val="BodyText"/>
        <w:spacing w:line="374" w:lineRule="auto" w:before="34"/>
        <w:ind w:left="1440" w:right="1033"/>
        <w:jc w:val="left"/>
      </w:pPr>
      <w:r>
        <w:rPr>
          <w:spacing w:val="-3"/>
        </w:rPr>
        <w:t>公司一贯高度重视技术研发，密切跟踪信息、医疗、环保行业的最前沿技术方向，不断</w:t>
      </w:r>
      <w:r>
        <w:rPr>
          <w:spacing w:val="-102"/>
        </w:rPr>
        <w:t> </w:t>
      </w:r>
      <w:r>
        <w:rPr>
          <w:spacing w:val="-102"/>
        </w:rPr>
      </w:r>
      <w:r>
        <w:rPr/>
        <w:t>提升自身研发实力，近几年研发投入保持稳步增长。 近三年公司研发投入金额及占营业收入的比例</w:t>
      </w:r>
    </w:p>
    <w:tbl>
      <w:tblPr>
        <w:tblW w:w="0" w:type="auto"/>
        <w:jc w:val="left"/>
        <w:tblInd w:w="1435" w:type="dxa"/>
        <w:tblLayout w:type="fixed"/>
        <w:tblCellMar>
          <w:top w:w="0" w:type="dxa"/>
          <w:left w:w="0" w:type="dxa"/>
          <w:bottom w:w="0" w:type="dxa"/>
          <w:right w:w="0" w:type="dxa"/>
        </w:tblCellMar>
        <w:tblLook w:val="01E0"/>
      </w:tblPr>
      <w:tblGrid>
        <w:gridCol w:w="2824"/>
        <w:gridCol w:w="1961"/>
        <w:gridCol w:w="2392"/>
        <w:gridCol w:w="2392"/>
      </w:tblGrid>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123</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17.06%</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48,351,120.63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27,999,791.03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17,866,636.14</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4.62%</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713"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59"/>
              <w:jc w:val="left"/>
              <w:rPr>
                <w:rFonts w:ascii="宋体" w:hAnsi="宋体" w:cs="宋体" w:eastAsia="宋体" w:hint="default"/>
                <w:sz w:val="21"/>
                <w:szCs w:val="21"/>
              </w:rPr>
            </w:pPr>
            <w:r>
              <w:rPr>
                <w:rFonts w:ascii="宋体" w:hAnsi="宋体" w:cs="宋体" w:eastAsia="宋体" w:hint="default"/>
                <w:sz w:val="21"/>
                <w:szCs w:val="21"/>
              </w:rPr>
              <w:t>资本化研发支出占研发投入的 比例</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0.00%</w:t>
            </w:r>
          </w:p>
        </w:tc>
      </w:tr>
      <w:tr>
        <w:trPr>
          <w:trHeight w:val="715"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59"/>
              <w:jc w:val="left"/>
              <w:rPr>
                <w:rFonts w:ascii="宋体" w:hAnsi="宋体" w:cs="宋体" w:eastAsia="宋体" w:hint="default"/>
                <w:sz w:val="21"/>
                <w:szCs w:val="21"/>
              </w:rPr>
            </w:pPr>
            <w:r>
              <w:rPr>
                <w:rFonts w:ascii="宋体" w:hAnsi="宋体" w:cs="宋体" w:eastAsia="宋体" w:hint="default"/>
                <w:sz w:val="21"/>
                <w:szCs w:val="21"/>
              </w:rPr>
              <w:t>资本化研发支出占当期净利润 的比重</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0"/>
        <w:rPr>
          <w:rFonts w:ascii="宋体" w:hAnsi="宋体" w:cs="宋体" w:eastAsia="宋体" w:hint="default"/>
          <w:sz w:val="20"/>
          <w:szCs w:val="20"/>
        </w:rPr>
      </w:pPr>
    </w:p>
    <w:p>
      <w:pPr>
        <w:pStyle w:val="BodyText"/>
        <w:spacing w:line="240" w:lineRule="auto" w:before="190"/>
        <w:ind w:left="1440" w:right="1033"/>
        <w:jc w:val="left"/>
      </w:pPr>
      <w:r>
        <w:rPr/>
        <w:t>研发投入总额占营业收入的比重较上年发生显著变化的原因</w:t>
      </w:r>
    </w:p>
    <w:p>
      <w:pPr>
        <w:pStyle w:val="BodyText"/>
        <w:spacing w:line="388" w:lineRule="auto" w:before="194"/>
        <w:ind w:left="1440" w:right="5166"/>
        <w:jc w:val="left"/>
      </w:pPr>
      <w:r>
        <w:rPr/>
        <w:t>□ 适用 √ 不适用 研发投入资本化率大幅变动的原因及其合理性说明</w:t>
      </w:r>
    </w:p>
    <w:p>
      <w:pPr>
        <w:spacing w:line="528" w:lineRule="auto" w:before="45"/>
        <w:ind w:left="1440" w:right="8526" w:firstLine="0"/>
        <w:jc w:val="left"/>
        <w:rPr>
          <w:rFonts w:ascii="宋体" w:hAnsi="宋体" w:cs="宋体" w:eastAsia="宋体" w:hint="default"/>
          <w:sz w:val="24"/>
          <w:szCs w:val="24"/>
        </w:rPr>
      </w:pPr>
      <w:r>
        <w:rPr>
          <w:rFonts w:ascii="宋体" w:hAnsi="宋体" w:cs="宋体" w:eastAsia="宋体" w:hint="default"/>
          <w:sz w:val="24"/>
          <w:szCs w:val="24"/>
        </w:rPr>
        <w:t>□ 适用 √不适用 </w:t>
      </w:r>
      <w:bookmarkStart w:name="5、现金流" w:id="38"/>
      <w:bookmarkEnd w:id="38"/>
      <w:r>
        <w:rPr>
          <w:rFonts w:ascii="宋体" w:hAnsi="宋体" w:cs="宋体" w:eastAsia="宋体" w:hint="default"/>
          <w:sz w:val="24"/>
          <w:szCs w:val="24"/>
        </w:rPr>
      </w:r>
      <w:r>
        <w:rPr>
          <w:rFonts w:ascii="宋体" w:hAnsi="宋体" w:cs="宋体" w:eastAsia="宋体" w:hint="default"/>
          <w:b/>
          <w:bCs/>
          <w:sz w:val="24"/>
          <w:szCs w:val="24"/>
        </w:rPr>
        <w:t>5</w:t>
      </w:r>
      <w:r>
        <w:rPr>
          <w:rFonts w:ascii="宋体" w:hAnsi="宋体" w:cs="宋体" w:eastAsia="宋体" w:hint="default"/>
          <w:b/>
          <w:bCs/>
          <w:sz w:val="24"/>
          <w:szCs w:val="24"/>
        </w:rPr>
        <w:t>、现金流</w:t>
      </w:r>
      <w:r>
        <w:rPr>
          <w:rFonts w:ascii="宋体" w:hAnsi="宋体" w:cs="宋体" w:eastAsia="宋体" w:hint="default"/>
          <w:sz w:val="24"/>
          <w:szCs w:val="24"/>
        </w:rPr>
      </w:r>
    </w:p>
    <w:p>
      <w:pPr>
        <w:spacing w:before="35"/>
        <w:ind w:left="0" w:right="1436"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446"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661,197,064.47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471,637,471.03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40.19%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675,394,609.08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455,707,292.97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48.21%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6"/>
              <w:jc w:val="left"/>
              <w:rPr>
                <w:rFonts w:ascii="宋体" w:hAnsi="宋体" w:cs="宋体" w:eastAsia="宋体" w:hint="default"/>
                <w:sz w:val="21"/>
                <w:szCs w:val="21"/>
              </w:rPr>
            </w:pPr>
            <w:r>
              <w:rPr>
                <w:rFonts w:ascii="宋体" w:hAnsi="宋体" w:cs="宋体" w:eastAsia="宋体" w:hint="default"/>
                <w:sz w:val="21"/>
                <w:szCs w:val="21"/>
              </w:rPr>
              <w:t>经营活动产生的现金流量 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-14,197,544.61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15,930,178.06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-189.12%</w:t>
            </w:r>
            <w:r>
              <w:rPr>
                <w:rFonts w:ascii="Times New Roman"/>
                <w:sz w:val="21"/>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43,650.00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3,269,481.85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-98.66%</w:t>
            </w:r>
            <w:r>
              <w:rPr>
                <w:rFonts w:ascii="Times New Roman"/>
                <w:sz w:val="21"/>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71,483,888.29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10,402,907.75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587.15%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6"/>
              <w:jc w:val="left"/>
              <w:rPr>
                <w:rFonts w:ascii="宋体" w:hAnsi="宋体" w:cs="宋体" w:eastAsia="宋体" w:hint="default"/>
                <w:sz w:val="21"/>
                <w:szCs w:val="21"/>
              </w:rPr>
            </w:pPr>
            <w:r>
              <w:rPr>
                <w:rFonts w:ascii="宋体" w:hAnsi="宋体" w:cs="宋体" w:eastAsia="宋体" w:hint="default"/>
                <w:sz w:val="21"/>
                <w:szCs w:val="21"/>
              </w:rPr>
              <w:t>投资活动产生的现金流量 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-71,440,238.29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-7,133,425.90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901.49.</w:t>
            </w:r>
            <w:r>
              <w:rPr>
                <w:rFonts w:ascii="Times New Roman"/>
                <w:spacing w:val="-1"/>
                <w:sz w:val="21"/>
              </w:rPr>
              <w:t> </w:t>
            </w:r>
            <w:r>
              <w:rPr>
                <w:rFonts w:ascii="Times New Roman"/>
                <w:sz w:val="21"/>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183,767,644.00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79,065,298.80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132.43%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180,048,964.99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50,734,026.12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254.89%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6"/>
              <w:jc w:val="left"/>
              <w:rPr>
                <w:rFonts w:ascii="宋体" w:hAnsi="宋体" w:cs="宋体" w:eastAsia="宋体" w:hint="default"/>
                <w:sz w:val="21"/>
                <w:szCs w:val="21"/>
              </w:rPr>
            </w:pPr>
            <w:r>
              <w:rPr>
                <w:rFonts w:ascii="宋体" w:hAnsi="宋体" w:cs="宋体" w:eastAsia="宋体" w:hint="default"/>
                <w:sz w:val="21"/>
                <w:szCs w:val="21"/>
              </w:rPr>
              <w:t>筹资活动产生的现金流量 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3,718,679.01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28,331,272.68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-86.87%</w:t>
            </w:r>
            <w:r>
              <w:rPr>
                <w:rFonts w:ascii="Times New Roman"/>
                <w:sz w:val="21"/>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-81,919,103.89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37,149,739.32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-320.51%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7"/>
        <w:rPr>
          <w:rFonts w:ascii="宋体" w:hAnsi="宋体" w:cs="宋体" w:eastAsia="宋体" w:hint="default"/>
          <w:sz w:val="2"/>
          <w:szCs w:val="2"/>
        </w:rPr>
      </w:pPr>
    </w:p>
    <w:tbl>
      <w:tblPr>
        <w:tblW w:w="0" w:type="auto"/>
        <w:jc w:val="left"/>
        <w:tblInd w:w="1435" w:type="dxa"/>
        <w:tblLayout w:type="fixed"/>
        <w:tblCellMar>
          <w:top w:w="0" w:type="dxa"/>
          <w:left w:w="0" w:type="dxa"/>
          <w:bottom w:w="0" w:type="dxa"/>
          <w:right w:w="0" w:type="dxa"/>
        </w:tblCellMar>
        <w:tblLook w:val="01E0"/>
      </w:tblPr>
      <w:tblGrid>
        <w:gridCol w:w="2392"/>
        <w:gridCol w:w="2393"/>
        <w:gridCol w:w="2392"/>
        <w:gridCol w:w="2392"/>
      </w:tblGrid>
      <w:tr>
        <w:trPr>
          <w:trHeight w:val="374" w:hRule="exact"/>
        </w:trPr>
        <w:tc>
          <w:tcPr>
            <w:tcW w:w="239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2393" w:type="dxa"/>
            <w:tcBorders>
              <w:top w:val="single" w:sz="10" w:space="0" w:color="000000"/>
              <w:left w:val="single" w:sz="4" w:space="0" w:color="000000"/>
              <w:bottom w:val="single" w:sz="4" w:space="0" w:color="000000"/>
              <w:right w:val="single" w:sz="4" w:space="0" w:color="000000"/>
            </w:tcBorders>
          </w:tcPr>
          <w:p>
            <w:pPr/>
          </w:p>
        </w:tc>
        <w:tc>
          <w:tcPr>
            <w:tcW w:w="2392" w:type="dxa"/>
            <w:tcBorders>
              <w:top w:val="single" w:sz="10" w:space="0" w:color="000000"/>
              <w:left w:val="single" w:sz="4" w:space="0" w:color="000000"/>
              <w:bottom w:val="single" w:sz="4" w:space="0" w:color="000000"/>
              <w:right w:val="single" w:sz="4" w:space="0" w:color="000000"/>
            </w:tcBorders>
          </w:tcPr>
          <w:p>
            <w:pPr/>
          </w:p>
        </w:tc>
        <w:tc>
          <w:tcPr>
            <w:tcW w:w="2392" w:type="dxa"/>
            <w:tcBorders>
              <w:top w:val="single" w:sz="10"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72"/>
        <w:ind w:left="1440" w:right="1033"/>
        <w:jc w:val="left"/>
      </w:pPr>
      <w:r>
        <w:rPr/>
        <w:t>相关数据同比发生重大变动的主要影响因素说明</w:t>
      </w:r>
    </w:p>
    <w:p>
      <w:pPr>
        <w:pStyle w:val="BodyText"/>
        <w:tabs>
          <w:tab w:pos="2400" w:val="left" w:leader="none"/>
        </w:tabs>
        <w:spacing w:line="240" w:lineRule="auto" w:before="193"/>
        <w:ind w:left="1439" w:right="1033"/>
        <w:jc w:val="left"/>
      </w:pPr>
      <w:r>
        <w:rPr/>
        <w:t>√适用</w:t>
        <w:tab/>
        <w:t>□不适用</w:t>
      </w:r>
    </w:p>
    <w:p>
      <w:pPr>
        <w:spacing w:line="240" w:lineRule="auto" w:before="9"/>
        <w:rPr>
          <w:rFonts w:ascii="宋体" w:hAnsi="宋体" w:cs="宋体" w:eastAsia="宋体" w:hint="default"/>
          <w:sz w:val="11"/>
          <w:szCs w:val="11"/>
        </w:rPr>
      </w:pPr>
    </w:p>
    <w:tbl>
      <w:tblPr>
        <w:tblW w:w="0" w:type="auto"/>
        <w:jc w:val="left"/>
        <w:tblInd w:w="1419" w:type="dxa"/>
        <w:tblLayout w:type="fixed"/>
        <w:tblCellMar>
          <w:top w:w="0" w:type="dxa"/>
          <w:left w:w="0" w:type="dxa"/>
          <w:bottom w:w="0" w:type="dxa"/>
          <w:right w:w="0" w:type="dxa"/>
        </w:tblCellMar>
        <w:tblLook w:val="01E0"/>
      </w:tblPr>
      <w:tblGrid>
        <w:gridCol w:w="1859"/>
        <w:gridCol w:w="1134"/>
        <w:gridCol w:w="1276"/>
        <w:gridCol w:w="992"/>
        <w:gridCol w:w="4253"/>
      </w:tblGrid>
      <w:tr>
        <w:trPr>
          <w:trHeight w:val="63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85" w:right="0"/>
              <w:jc w:val="left"/>
              <w:rPr>
                <w:rFonts w:ascii="宋体" w:hAnsi="宋体" w:cs="宋体" w:eastAsia="宋体" w:hint="default"/>
                <w:sz w:val="21"/>
                <w:szCs w:val="21"/>
              </w:rPr>
            </w:pPr>
            <w:r>
              <w:rPr>
                <w:rFonts w:ascii="宋体" w:hAnsi="宋体" w:cs="宋体" w:eastAsia="宋体" w:hint="default"/>
                <w:b/>
                <w:bCs/>
                <w:sz w:val="21"/>
                <w:szCs w:val="21"/>
              </w:rPr>
              <w:t>现金流量表项目</w:t>
            </w:r>
            <w:r>
              <w:rPr>
                <w:rFonts w:ascii="宋体" w:hAnsi="宋体" w:cs="宋体" w:eastAsia="宋体" w:hint="default"/>
                <w:sz w:val="21"/>
                <w:szCs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18" w:right="0"/>
              <w:jc w:val="left"/>
              <w:rPr>
                <w:rFonts w:ascii="宋体" w:hAnsi="宋体" w:cs="宋体" w:eastAsia="宋体" w:hint="default"/>
                <w:sz w:val="21"/>
                <w:szCs w:val="21"/>
              </w:rPr>
            </w:pPr>
            <w:r>
              <w:rPr>
                <w:rFonts w:ascii="宋体" w:hAnsi="宋体" w:cs="宋体" w:eastAsia="宋体" w:hint="default"/>
                <w:b/>
                <w:bCs/>
                <w:sz w:val="21"/>
                <w:szCs w:val="21"/>
              </w:rPr>
              <w:t>2015</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9" w:right="0"/>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22" w:right="0" w:firstLine="52"/>
              <w:jc w:val="left"/>
              <w:rPr>
                <w:rFonts w:ascii="宋体" w:hAnsi="宋体" w:cs="宋体" w:eastAsia="宋体" w:hint="default"/>
                <w:sz w:val="21"/>
                <w:szCs w:val="21"/>
              </w:rPr>
            </w:pPr>
            <w:r>
              <w:rPr>
                <w:rFonts w:ascii="宋体" w:hAnsi="宋体" w:cs="宋体" w:eastAsia="宋体" w:hint="default"/>
                <w:b/>
                <w:bCs/>
                <w:sz w:val="21"/>
                <w:szCs w:val="21"/>
              </w:rPr>
              <w:t>变动比</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center"/>
              <w:rPr>
                <w:rFonts w:ascii="宋体" w:hAnsi="宋体" w:cs="宋体" w:eastAsia="宋体" w:hint="default"/>
                <w:sz w:val="21"/>
                <w:szCs w:val="21"/>
              </w:rPr>
            </w:pPr>
            <w:r>
              <w:rPr>
                <w:rFonts w:ascii="宋体" w:hAnsi="宋体" w:cs="宋体" w:eastAsia="宋体" w:hint="default"/>
                <w:b/>
                <w:bCs/>
                <w:sz w:val="21"/>
                <w:szCs w:val="21"/>
              </w:rPr>
              <w:t>变动原因说明</w:t>
            </w:r>
            <w:r>
              <w:rPr>
                <w:rFonts w:ascii="宋体" w:hAnsi="宋体" w:cs="宋体" w:eastAsia="宋体" w:hint="default"/>
                <w:sz w:val="21"/>
                <w:szCs w:val="21"/>
              </w:rPr>
            </w:r>
          </w:p>
        </w:tc>
      </w:tr>
      <w:tr>
        <w:trPr>
          <w:trHeight w:val="1570"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5"/>
                <w:sz w:val="21"/>
                <w:szCs w:val="21"/>
              </w:rPr>
              <w:t>销售商品、提供劳</w:t>
            </w:r>
            <w:r>
              <w:rPr>
                <w:rFonts w:ascii="宋体" w:hAnsi="宋体" w:cs="宋体" w:eastAsia="宋体" w:hint="default"/>
                <w:sz w:val="21"/>
                <w:szCs w:val="21"/>
              </w:rPr>
              <w:t> 务收到的现金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644,888,</w:t>
            </w:r>
          </w:p>
          <w:p>
            <w:pPr>
              <w:pStyle w:val="TableParagraph"/>
              <w:spacing w:line="240" w:lineRule="auto" w:before="37"/>
              <w:ind w:right="0"/>
              <w:jc w:val="center"/>
              <w:rPr>
                <w:rFonts w:ascii="宋体" w:hAnsi="宋体" w:cs="宋体" w:eastAsia="宋体" w:hint="default"/>
                <w:sz w:val="21"/>
                <w:szCs w:val="21"/>
              </w:rPr>
            </w:pPr>
            <w:r>
              <w:rPr>
                <w:rFonts w:ascii="宋体"/>
                <w:sz w:val="21"/>
              </w:rPr>
              <w:t>251.39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450,225,27</w:t>
            </w:r>
          </w:p>
          <w:p>
            <w:pPr>
              <w:pStyle w:val="TableParagraph"/>
              <w:spacing w:line="240" w:lineRule="auto" w:before="37"/>
              <w:ind w:right="1"/>
              <w:jc w:val="center"/>
              <w:rPr>
                <w:rFonts w:ascii="宋体" w:hAnsi="宋体" w:cs="宋体" w:eastAsia="宋体" w:hint="default"/>
                <w:sz w:val="21"/>
                <w:szCs w:val="21"/>
              </w:rPr>
            </w:pPr>
            <w:r>
              <w:rPr>
                <w:rFonts w:ascii="宋体"/>
                <w:sz w:val="21"/>
              </w:rPr>
              <w:t>7.59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76" w:right="0"/>
              <w:jc w:val="left"/>
              <w:rPr>
                <w:rFonts w:ascii="宋体" w:hAnsi="宋体" w:cs="宋体" w:eastAsia="宋体" w:hint="default"/>
                <w:sz w:val="21"/>
                <w:szCs w:val="21"/>
              </w:rPr>
            </w:pPr>
            <w:r>
              <w:rPr>
                <w:rFonts w:ascii="宋体"/>
                <w:sz w:val="21"/>
              </w:rPr>
              <w:t>43.24%</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报告期销售商品、提供劳务收到的现金较去</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z w:val="21"/>
                <w:szCs w:val="21"/>
              </w:rPr>
              <w:t>年同期增加</w:t>
            </w:r>
            <w:r>
              <w:rPr>
                <w:rFonts w:ascii="宋体" w:hAnsi="宋体" w:cs="宋体" w:eastAsia="宋体" w:hint="default"/>
                <w:spacing w:val="-59"/>
                <w:sz w:val="21"/>
                <w:szCs w:val="21"/>
              </w:rPr>
              <w:t> </w:t>
            </w:r>
            <w:r>
              <w:rPr>
                <w:rFonts w:ascii="宋体" w:hAnsi="宋体" w:cs="宋体" w:eastAsia="宋体" w:hint="default"/>
                <w:sz w:val="21"/>
                <w:szCs w:val="21"/>
              </w:rPr>
              <w:t>43.24%</w:t>
            </w:r>
            <w:r>
              <w:rPr>
                <w:rFonts w:ascii="宋体" w:hAnsi="宋体" w:cs="宋体" w:eastAsia="宋体" w:hint="default"/>
                <w:sz w:val="21"/>
                <w:szCs w:val="21"/>
              </w:rPr>
              <w:t>，主要系本报告期非同一 控制下企业合并江苏亿金公司现金流量表项 目</w:t>
            </w:r>
            <w:r>
              <w:rPr>
                <w:rFonts w:ascii="宋体" w:hAnsi="宋体" w:cs="宋体" w:eastAsia="宋体" w:hint="default"/>
                <w:spacing w:val="-54"/>
                <w:sz w:val="21"/>
                <w:szCs w:val="21"/>
              </w:rPr>
              <w:t> </w:t>
            </w:r>
            <w:r>
              <w:rPr>
                <w:rFonts w:ascii="宋体" w:hAnsi="宋体" w:cs="宋体" w:eastAsia="宋体" w:hint="default"/>
                <w:sz w:val="21"/>
                <w:szCs w:val="21"/>
              </w:rPr>
              <w:t>12,053.23</w:t>
            </w:r>
            <w:r>
              <w:rPr>
                <w:rFonts w:ascii="宋体" w:hAnsi="宋体" w:cs="宋体" w:eastAsia="宋体" w:hint="default"/>
                <w:spacing w:val="-53"/>
                <w:sz w:val="21"/>
                <w:szCs w:val="21"/>
              </w:rPr>
              <w:t> </w:t>
            </w:r>
            <w:r>
              <w:rPr>
                <w:rFonts w:ascii="宋体" w:hAnsi="宋体" w:cs="宋体" w:eastAsia="宋体" w:hint="default"/>
                <w:sz w:val="21"/>
                <w:szCs w:val="21"/>
              </w:rPr>
              <w:t>万元以及公司加强应收账款的 管理，应收账款回笼增加所致。</w:t>
            </w:r>
          </w:p>
        </w:tc>
      </w:tr>
      <w:tr>
        <w:trPr>
          <w:trHeight w:val="140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990,517.</w:t>
            </w:r>
          </w:p>
          <w:p>
            <w:pPr>
              <w:pStyle w:val="TableParagraph"/>
              <w:spacing w:line="240" w:lineRule="auto" w:before="37"/>
              <w:ind w:left="1" w:right="0"/>
              <w:jc w:val="center"/>
              <w:rPr>
                <w:rFonts w:ascii="宋体" w:hAnsi="宋体" w:cs="宋体" w:eastAsia="宋体" w:hint="default"/>
                <w:sz w:val="21"/>
                <w:szCs w:val="21"/>
              </w:rPr>
            </w:pPr>
            <w:r>
              <w:rPr>
                <w:rFonts w:ascii="宋体"/>
                <w:sz w:val="21"/>
              </w:rPr>
              <w:t>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3,058,307.</w:t>
            </w:r>
          </w:p>
          <w:p>
            <w:pPr>
              <w:pStyle w:val="TableParagraph"/>
              <w:spacing w:line="240" w:lineRule="auto" w:before="37"/>
              <w:ind w:left="1" w:right="0"/>
              <w:jc w:val="center"/>
              <w:rPr>
                <w:rFonts w:ascii="宋体" w:hAnsi="宋体" w:cs="宋体" w:eastAsia="宋体" w:hint="default"/>
                <w:sz w:val="21"/>
                <w:szCs w:val="21"/>
              </w:rPr>
            </w:pPr>
            <w:r>
              <w:rPr>
                <w:rFonts w:ascii="宋体"/>
                <w:sz w:val="21"/>
              </w:rPr>
              <w:t>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3" w:right="0"/>
              <w:jc w:val="left"/>
              <w:rPr>
                <w:rFonts w:ascii="宋体" w:hAnsi="宋体" w:cs="宋体" w:eastAsia="宋体" w:hint="default"/>
                <w:sz w:val="21"/>
                <w:szCs w:val="21"/>
              </w:rPr>
            </w:pPr>
            <w:r>
              <w:rPr>
                <w:rFonts w:ascii="宋体"/>
                <w:sz w:val="21"/>
              </w:rPr>
              <w:t>-67.61%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报告期收到的税费返还较去年同期减少 </w:t>
            </w:r>
            <w:r>
              <w:rPr>
                <w:rFonts w:ascii="宋体" w:hAnsi="宋体" w:cs="宋体" w:eastAsia="宋体" w:hint="default"/>
                <w:sz w:val="21"/>
                <w:szCs w:val="21"/>
              </w:rPr>
              <w:t>67.61%</w:t>
            </w:r>
            <w:r>
              <w:rPr>
                <w:rFonts w:ascii="宋体" w:hAnsi="宋体" w:cs="宋体" w:eastAsia="宋体" w:hint="default"/>
                <w:sz w:val="21"/>
                <w:szCs w:val="21"/>
              </w:rPr>
              <w:t>，主要系本报告期控股子公司深圳龙 控公司取得软件退税减少所致。</w:t>
            </w:r>
          </w:p>
        </w:tc>
      </w:tr>
      <w:tr>
        <w:trPr>
          <w:trHeight w:val="1570"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3" w:right="274"/>
              <w:jc w:val="left"/>
              <w:rPr>
                <w:rFonts w:ascii="宋体" w:hAnsi="宋体" w:cs="宋体" w:eastAsia="宋体" w:hint="default"/>
                <w:sz w:val="21"/>
                <w:szCs w:val="21"/>
              </w:rPr>
            </w:pPr>
            <w:r>
              <w:rPr>
                <w:rFonts w:ascii="宋体" w:hAnsi="宋体" w:cs="宋体" w:eastAsia="宋体" w:hint="default"/>
                <w:sz w:val="21"/>
                <w:szCs w:val="21"/>
              </w:rPr>
              <w:t>经营活动现金流 入小计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661,197,</w:t>
            </w:r>
          </w:p>
          <w:p>
            <w:pPr>
              <w:pStyle w:val="TableParagraph"/>
              <w:spacing w:line="240" w:lineRule="auto" w:before="37"/>
              <w:ind w:right="0"/>
              <w:jc w:val="center"/>
              <w:rPr>
                <w:rFonts w:ascii="宋体" w:hAnsi="宋体" w:cs="宋体" w:eastAsia="宋体" w:hint="default"/>
                <w:sz w:val="21"/>
                <w:szCs w:val="21"/>
              </w:rPr>
            </w:pPr>
            <w:r>
              <w:rPr>
                <w:rFonts w:ascii="宋体"/>
                <w:sz w:val="21"/>
              </w:rPr>
              <w:t>064.47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471,637,47</w:t>
            </w:r>
          </w:p>
          <w:p>
            <w:pPr>
              <w:pStyle w:val="TableParagraph"/>
              <w:spacing w:line="240" w:lineRule="auto" w:before="37"/>
              <w:ind w:right="1"/>
              <w:jc w:val="center"/>
              <w:rPr>
                <w:rFonts w:ascii="宋体" w:hAnsi="宋体" w:cs="宋体" w:eastAsia="宋体" w:hint="default"/>
                <w:sz w:val="21"/>
                <w:szCs w:val="21"/>
              </w:rPr>
            </w:pPr>
            <w:r>
              <w:rPr>
                <w:rFonts w:ascii="宋体"/>
                <w:sz w:val="21"/>
              </w:rPr>
              <w:t>1.03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76" w:right="0"/>
              <w:jc w:val="left"/>
              <w:rPr>
                <w:rFonts w:ascii="宋体" w:hAnsi="宋体" w:cs="宋体" w:eastAsia="宋体" w:hint="default"/>
                <w:sz w:val="21"/>
                <w:szCs w:val="21"/>
              </w:rPr>
            </w:pPr>
            <w:r>
              <w:rPr>
                <w:rFonts w:ascii="宋体"/>
                <w:sz w:val="21"/>
              </w:rPr>
              <w:t>40.19%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报告期经营活动现金流入小计较去年同期增</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9"/>
                <w:sz w:val="21"/>
                <w:szCs w:val="21"/>
              </w:rPr>
              <w:t> </w:t>
            </w:r>
            <w:r>
              <w:rPr>
                <w:rFonts w:ascii="宋体" w:hAnsi="宋体" w:cs="宋体" w:eastAsia="宋体" w:hint="default"/>
                <w:sz w:val="21"/>
                <w:szCs w:val="21"/>
              </w:rPr>
              <w:t>40.19%</w:t>
            </w:r>
            <w:r>
              <w:rPr>
                <w:rFonts w:ascii="宋体" w:hAnsi="宋体" w:cs="宋体" w:eastAsia="宋体" w:hint="default"/>
                <w:sz w:val="21"/>
                <w:szCs w:val="21"/>
              </w:rPr>
              <w:t>，主要系本报告期非同一控制下企 业合并江苏亿金公司现金流量表项目 </w:t>
            </w:r>
            <w:r>
              <w:rPr>
                <w:rFonts w:ascii="宋体" w:hAnsi="宋体" w:cs="宋体" w:eastAsia="宋体" w:hint="default"/>
                <w:sz w:val="21"/>
                <w:szCs w:val="21"/>
              </w:rPr>
              <w:t>12,156.83</w:t>
            </w:r>
            <w:r>
              <w:rPr>
                <w:rFonts w:ascii="宋体" w:hAnsi="宋体" w:cs="宋体" w:eastAsia="宋体" w:hint="default"/>
                <w:spacing w:val="-53"/>
                <w:sz w:val="21"/>
                <w:szCs w:val="21"/>
              </w:rPr>
              <w:t> </w:t>
            </w:r>
            <w:r>
              <w:rPr>
                <w:rFonts w:ascii="宋体" w:hAnsi="宋体" w:cs="宋体" w:eastAsia="宋体" w:hint="default"/>
                <w:sz w:val="21"/>
                <w:szCs w:val="21"/>
              </w:rPr>
              <w:t>万元以及公司加强应收账款的管 理，应收账款回笼增加所致。</w:t>
            </w:r>
          </w:p>
        </w:tc>
      </w:tr>
      <w:tr>
        <w:trPr>
          <w:trHeight w:val="1406"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5"/>
                <w:sz w:val="21"/>
                <w:szCs w:val="21"/>
              </w:rPr>
              <w:t>购买商品、接受劳</w:t>
            </w:r>
            <w:r>
              <w:rPr>
                <w:rFonts w:ascii="宋体" w:hAnsi="宋体" w:cs="宋体" w:eastAsia="宋体" w:hint="default"/>
                <w:sz w:val="21"/>
                <w:szCs w:val="21"/>
              </w:rPr>
              <w:t> 务支付的现金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453,614,</w:t>
            </w:r>
          </w:p>
          <w:p>
            <w:pPr>
              <w:pStyle w:val="TableParagraph"/>
              <w:spacing w:line="240" w:lineRule="auto" w:before="37"/>
              <w:ind w:right="0"/>
              <w:jc w:val="center"/>
              <w:rPr>
                <w:rFonts w:ascii="宋体" w:hAnsi="宋体" w:cs="宋体" w:eastAsia="宋体" w:hint="default"/>
                <w:sz w:val="21"/>
                <w:szCs w:val="21"/>
              </w:rPr>
            </w:pPr>
            <w:r>
              <w:rPr>
                <w:rFonts w:ascii="宋体"/>
                <w:sz w:val="21"/>
              </w:rPr>
              <w:t>712.43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297,877,42</w:t>
            </w:r>
          </w:p>
          <w:p>
            <w:pPr>
              <w:pStyle w:val="TableParagraph"/>
              <w:spacing w:line="240" w:lineRule="auto" w:before="37"/>
              <w:ind w:right="1"/>
              <w:jc w:val="center"/>
              <w:rPr>
                <w:rFonts w:ascii="宋体" w:hAnsi="宋体" w:cs="宋体" w:eastAsia="宋体" w:hint="default"/>
                <w:sz w:val="21"/>
                <w:szCs w:val="21"/>
              </w:rPr>
            </w:pPr>
            <w:r>
              <w:rPr>
                <w:rFonts w:ascii="宋体"/>
                <w:sz w:val="21"/>
              </w:rPr>
              <w:t>8.93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6" w:right="0"/>
              <w:jc w:val="left"/>
              <w:rPr>
                <w:rFonts w:ascii="宋体" w:hAnsi="宋体" w:cs="宋体" w:eastAsia="宋体" w:hint="default"/>
                <w:sz w:val="21"/>
                <w:szCs w:val="21"/>
              </w:rPr>
            </w:pPr>
            <w:r>
              <w:rPr>
                <w:rFonts w:ascii="宋体"/>
                <w:sz w:val="21"/>
              </w:rPr>
              <w:t>52.28%</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9"/>
              <w:ind w:left="103" w:right="101"/>
              <w:jc w:val="left"/>
              <w:rPr>
                <w:rFonts w:ascii="宋体" w:hAnsi="宋体" w:cs="宋体" w:eastAsia="宋体" w:hint="default"/>
                <w:sz w:val="21"/>
                <w:szCs w:val="21"/>
              </w:rPr>
            </w:pPr>
            <w:r>
              <w:rPr>
                <w:rFonts w:ascii="宋体" w:hAnsi="宋体" w:cs="宋体" w:eastAsia="宋体" w:hint="default"/>
                <w:sz w:val="21"/>
                <w:szCs w:val="21"/>
              </w:rPr>
              <w:t>报告期购买商品、接受劳务支付的现金较去 年同期增加</w:t>
            </w:r>
            <w:r>
              <w:rPr>
                <w:rFonts w:ascii="宋体" w:hAnsi="宋体" w:cs="宋体" w:eastAsia="宋体" w:hint="default"/>
                <w:spacing w:val="-59"/>
                <w:sz w:val="21"/>
                <w:szCs w:val="21"/>
              </w:rPr>
              <w:t> </w:t>
            </w:r>
            <w:r>
              <w:rPr>
                <w:rFonts w:ascii="宋体" w:hAnsi="宋体" w:cs="宋体" w:eastAsia="宋体" w:hint="default"/>
                <w:sz w:val="21"/>
                <w:szCs w:val="21"/>
              </w:rPr>
              <w:t>52.28%</w:t>
            </w:r>
            <w:r>
              <w:rPr>
                <w:rFonts w:ascii="宋体" w:hAnsi="宋体" w:cs="宋体" w:eastAsia="宋体" w:hint="default"/>
                <w:sz w:val="21"/>
                <w:szCs w:val="21"/>
              </w:rPr>
              <w:t>，主要系非同一控制下企 业合并江苏亿金公司现金流量表项目 </w:t>
            </w:r>
            <w:r>
              <w:rPr>
                <w:rFonts w:ascii="宋体" w:hAnsi="宋体" w:cs="宋体" w:eastAsia="宋体" w:hint="default"/>
                <w:sz w:val="21"/>
                <w:szCs w:val="21"/>
              </w:rPr>
              <w:t>9,937.46</w:t>
            </w:r>
            <w:r>
              <w:rPr>
                <w:rFonts w:ascii="宋体" w:hAnsi="宋体" w:cs="宋体" w:eastAsia="宋体" w:hint="default"/>
                <w:spacing w:val="-53"/>
                <w:sz w:val="21"/>
                <w:szCs w:val="21"/>
              </w:rPr>
              <w:t> </w:t>
            </w:r>
            <w:r>
              <w:rPr>
                <w:rFonts w:ascii="宋体" w:hAnsi="宋体" w:cs="宋体" w:eastAsia="宋体" w:hint="default"/>
                <w:sz w:val="21"/>
                <w:szCs w:val="21"/>
              </w:rPr>
              <w:t>万元所致。</w:t>
            </w:r>
          </w:p>
        </w:tc>
      </w:tr>
      <w:tr>
        <w:trPr>
          <w:trHeight w:val="140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支付给职工以及 为职工支付的现 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86,183,2</w:t>
            </w:r>
          </w:p>
          <w:p>
            <w:pPr>
              <w:pStyle w:val="TableParagraph"/>
              <w:spacing w:line="240" w:lineRule="auto" w:before="37"/>
              <w:ind w:right="0"/>
              <w:jc w:val="center"/>
              <w:rPr>
                <w:rFonts w:ascii="宋体" w:hAnsi="宋体" w:cs="宋体" w:eastAsia="宋体" w:hint="default"/>
                <w:sz w:val="21"/>
                <w:szCs w:val="21"/>
              </w:rPr>
            </w:pPr>
            <w:r>
              <w:rPr>
                <w:rFonts w:ascii="宋体"/>
                <w:sz w:val="21"/>
              </w:rPr>
              <w:t>51.12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58,958,681</w:t>
            </w:r>
          </w:p>
          <w:p>
            <w:pPr>
              <w:pStyle w:val="TableParagraph"/>
              <w:spacing w:line="240" w:lineRule="auto" w:before="37"/>
              <w:ind w:right="0"/>
              <w:jc w:val="center"/>
              <w:rPr>
                <w:rFonts w:ascii="宋体" w:hAnsi="宋体" w:cs="宋体" w:eastAsia="宋体" w:hint="default"/>
                <w:sz w:val="21"/>
                <w:szCs w:val="21"/>
              </w:rPr>
            </w:pPr>
            <w:r>
              <w:rPr>
                <w:rFonts w:ascii="宋体"/>
                <w:sz w:val="21"/>
              </w:rPr>
              <w:t>.16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6" w:right="0"/>
              <w:jc w:val="left"/>
              <w:rPr>
                <w:rFonts w:ascii="宋体" w:hAnsi="宋体" w:cs="宋体" w:eastAsia="宋体" w:hint="default"/>
                <w:sz w:val="21"/>
                <w:szCs w:val="21"/>
              </w:rPr>
            </w:pPr>
            <w:r>
              <w:rPr>
                <w:rFonts w:ascii="宋体"/>
                <w:sz w:val="21"/>
              </w:rPr>
              <w:t>46.18%</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8"/>
              <w:ind w:left="103" w:right="101"/>
              <w:jc w:val="left"/>
              <w:rPr>
                <w:rFonts w:ascii="宋体" w:hAnsi="宋体" w:cs="宋体" w:eastAsia="宋体" w:hint="default"/>
                <w:sz w:val="21"/>
                <w:szCs w:val="21"/>
              </w:rPr>
            </w:pPr>
            <w:r>
              <w:rPr>
                <w:rFonts w:ascii="宋体" w:hAnsi="宋体" w:cs="宋体" w:eastAsia="宋体" w:hint="default"/>
                <w:sz w:val="21"/>
                <w:szCs w:val="21"/>
              </w:rPr>
              <w:t>报告期支付给职工以及为职工支付的现金较 去年同期增加</w:t>
            </w:r>
            <w:r>
              <w:rPr>
                <w:rFonts w:ascii="宋体" w:hAnsi="宋体" w:cs="宋体" w:eastAsia="宋体" w:hint="default"/>
                <w:spacing w:val="-59"/>
                <w:sz w:val="21"/>
                <w:szCs w:val="21"/>
              </w:rPr>
              <w:t> </w:t>
            </w:r>
            <w:r>
              <w:rPr>
                <w:rFonts w:ascii="宋体" w:hAnsi="宋体" w:cs="宋体" w:eastAsia="宋体" w:hint="default"/>
                <w:sz w:val="21"/>
                <w:szCs w:val="21"/>
              </w:rPr>
              <w:t>46.18%</w:t>
            </w:r>
            <w:r>
              <w:rPr>
                <w:rFonts w:ascii="宋体" w:hAnsi="宋体" w:cs="宋体" w:eastAsia="宋体" w:hint="default"/>
                <w:sz w:val="21"/>
                <w:szCs w:val="21"/>
              </w:rPr>
              <w:t>，主要系非同一控制下 企业合并江苏亿金公司现金流量表项目 </w:t>
            </w:r>
            <w:r>
              <w:rPr>
                <w:rFonts w:ascii="宋体" w:hAnsi="宋体" w:cs="宋体" w:eastAsia="宋体" w:hint="default"/>
                <w:sz w:val="21"/>
                <w:szCs w:val="21"/>
              </w:rPr>
              <w:t>2,169.66</w:t>
            </w:r>
            <w:r>
              <w:rPr>
                <w:rFonts w:ascii="宋体" w:hAnsi="宋体" w:cs="宋体" w:eastAsia="宋体" w:hint="default"/>
                <w:spacing w:val="-53"/>
                <w:sz w:val="21"/>
                <w:szCs w:val="21"/>
              </w:rPr>
              <w:t> </w:t>
            </w:r>
            <w:r>
              <w:rPr>
                <w:rFonts w:ascii="宋体" w:hAnsi="宋体" w:cs="宋体" w:eastAsia="宋体" w:hint="default"/>
                <w:sz w:val="21"/>
                <w:szCs w:val="21"/>
              </w:rPr>
              <w:t>万元所致。</w:t>
            </w:r>
          </w:p>
        </w:tc>
      </w:tr>
      <w:tr>
        <w:trPr>
          <w:trHeight w:val="140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57,396,2</w:t>
            </w:r>
          </w:p>
          <w:p>
            <w:pPr>
              <w:pStyle w:val="TableParagraph"/>
              <w:spacing w:line="240" w:lineRule="auto" w:before="37"/>
              <w:ind w:right="0"/>
              <w:jc w:val="center"/>
              <w:rPr>
                <w:rFonts w:ascii="宋体" w:hAnsi="宋体" w:cs="宋体" w:eastAsia="宋体" w:hint="default"/>
                <w:sz w:val="21"/>
                <w:szCs w:val="21"/>
              </w:rPr>
            </w:pPr>
            <w:r>
              <w:rPr>
                <w:rFonts w:ascii="宋体"/>
                <w:sz w:val="21"/>
              </w:rPr>
              <w:t>52.29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29,025,404</w:t>
            </w:r>
          </w:p>
          <w:p>
            <w:pPr>
              <w:pStyle w:val="TableParagraph"/>
              <w:spacing w:line="240" w:lineRule="auto" w:before="37"/>
              <w:ind w:right="0"/>
              <w:jc w:val="center"/>
              <w:rPr>
                <w:rFonts w:ascii="宋体" w:hAnsi="宋体" w:cs="宋体" w:eastAsia="宋体" w:hint="default"/>
                <w:sz w:val="21"/>
                <w:szCs w:val="21"/>
              </w:rPr>
            </w:pPr>
            <w:r>
              <w:rPr>
                <w:rFonts w:ascii="宋体"/>
                <w:sz w:val="21"/>
              </w:rPr>
              <w:t>.04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6" w:right="0"/>
              <w:jc w:val="left"/>
              <w:rPr>
                <w:rFonts w:ascii="宋体" w:hAnsi="宋体" w:cs="宋体" w:eastAsia="宋体" w:hint="default"/>
                <w:sz w:val="21"/>
                <w:szCs w:val="21"/>
              </w:rPr>
            </w:pPr>
            <w:r>
              <w:rPr>
                <w:rFonts w:ascii="宋体"/>
                <w:sz w:val="21"/>
              </w:rPr>
              <w:t>97.74%</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8"/>
              <w:ind w:left="103" w:right="148"/>
              <w:jc w:val="left"/>
              <w:rPr>
                <w:rFonts w:ascii="宋体" w:hAnsi="宋体" w:cs="宋体" w:eastAsia="宋体" w:hint="default"/>
                <w:sz w:val="21"/>
                <w:szCs w:val="21"/>
              </w:rPr>
            </w:pPr>
            <w:r>
              <w:rPr>
                <w:rFonts w:ascii="宋体" w:hAnsi="宋体" w:cs="宋体" w:eastAsia="宋体" w:hint="default"/>
                <w:sz w:val="21"/>
                <w:szCs w:val="21"/>
              </w:rPr>
              <w:t>报告期支付的各项税费较去年同期增加 </w:t>
            </w:r>
            <w:r>
              <w:rPr>
                <w:rFonts w:ascii="宋体" w:hAnsi="宋体" w:cs="宋体" w:eastAsia="宋体" w:hint="default"/>
                <w:sz w:val="21"/>
                <w:szCs w:val="21"/>
              </w:rPr>
              <w:t>97.74%</w:t>
            </w:r>
            <w:r>
              <w:rPr>
                <w:rFonts w:ascii="宋体" w:hAnsi="宋体" w:cs="宋体" w:eastAsia="宋体" w:hint="default"/>
                <w:sz w:val="21"/>
                <w:szCs w:val="21"/>
              </w:rPr>
              <w:t>，主要系非同一控制下企业合并江苏 亿金公司现金流量表项目</w:t>
            </w:r>
            <w:r>
              <w:rPr>
                <w:rFonts w:ascii="宋体" w:hAnsi="宋体" w:cs="宋体" w:eastAsia="宋体" w:hint="default"/>
                <w:spacing w:val="-52"/>
                <w:sz w:val="21"/>
                <w:szCs w:val="21"/>
              </w:rPr>
              <w:t> </w:t>
            </w:r>
            <w:r>
              <w:rPr>
                <w:rFonts w:ascii="宋体" w:hAnsi="宋体" w:cs="宋体" w:eastAsia="宋体" w:hint="default"/>
                <w:sz w:val="21"/>
                <w:szCs w:val="21"/>
              </w:rPr>
              <w:t>2,373.51</w:t>
            </w:r>
            <w:r>
              <w:rPr>
                <w:rFonts w:ascii="宋体" w:hAnsi="宋体" w:cs="宋体" w:eastAsia="宋体" w:hint="default"/>
                <w:spacing w:val="-54"/>
                <w:sz w:val="21"/>
                <w:szCs w:val="21"/>
              </w:rPr>
              <w:t> </w:t>
            </w:r>
            <w:r>
              <w:rPr>
                <w:rFonts w:ascii="宋体" w:hAnsi="宋体" w:cs="宋体" w:eastAsia="宋体" w:hint="default"/>
                <w:sz w:val="21"/>
                <w:szCs w:val="21"/>
              </w:rPr>
              <w:t>万元所 致。</w:t>
            </w:r>
          </w:p>
        </w:tc>
      </w:tr>
      <w:tr>
        <w:trPr>
          <w:trHeight w:val="140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73" w:lineRule="auto"/>
              <w:ind w:left="103" w:right="274"/>
              <w:jc w:val="left"/>
              <w:rPr>
                <w:rFonts w:ascii="宋体" w:hAnsi="宋体" w:cs="宋体" w:eastAsia="宋体" w:hint="default"/>
                <w:sz w:val="21"/>
                <w:szCs w:val="21"/>
              </w:rPr>
            </w:pPr>
            <w:r>
              <w:rPr>
                <w:rFonts w:ascii="宋体" w:hAnsi="宋体" w:cs="宋体" w:eastAsia="宋体" w:hint="default"/>
                <w:sz w:val="21"/>
                <w:szCs w:val="21"/>
              </w:rPr>
              <w:t>经营活动现金流 出小计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675,394,</w:t>
            </w:r>
          </w:p>
          <w:p>
            <w:pPr>
              <w:pStyle w:val="TableParagraph"/>
              <w:spacing w:line="240" w:lineRule="auto" w:before="37"/>
              <w:ind w:right="0"/>
              <w:jc w:val="center"/>
              <w:rPr>
                <w:rFonts w:ascii="宋体" w:hAnsi="宋体" w:cs="宋体" w:eastAsia="宋体" w:hint="default"/>
                <w:sz w:val="21"/>
                <w:szCs w:val="21"/>
              </w:rPr>
            </w:pPr>
            <w:r>
              <w:rPr>
                <w:rFonts w:ascii="宋体"/>
                <w:sz w:val="21"/>
              </w:rPr>
              <w:t>609.08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455,707,29</w:t>
            </w:r>
          </w:p>
          <w:p>
            <w:pPr>
              <w:pStyle w:val="TableParagraph"/>
              <w:spacing w:line="240" w:lineRule="auto" w:before="37"/>
              <w:ind w:right="1"/>
              <w:jc w:val="center"/>
              <w:rPr>
                <w:rFonts w:ascii="宋体" w:hAnsi="宋体" w:cs="宋体" w:eastAsia="宋体" w:hint="default"/>
                <w:sz w:val="21"/>
                <w:szCs w:val="21"/>
              </w:rPr>
            </w:pPr>
            <w:r>
              <w:rPr>
                <w:rFonts w:ascii="宋体"/>
                <w:sz w:val="21"/>
              </w:rPr>
              <w:t>2.97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6" w:right="0"/>
              <w:jc w:val="left"/>
              <w:rPr>
                <w:rFonts w:ascii="宋体" w:hAnsi="宋体" w:cs="宋体" w:eastAsia="宋体" w:hint="default"/>
                <w:sz w:val="21"/>
                <w:szCs w:val="21"/>
              </w:rPr>
            </w:pPr>
            <w:r>
              <w:rPr>
                <w:rFonts w:ascii="宋体"/>
                <w:sz w:val="21"/>
              </w:rPr>
              <w:t>48.21%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9"/>
              <w:ind w:left="103" w:right="146"/>
              <w:jc w:val="left"/>
              <w:rPr>
                <w:rFonts w:ascii="宋体" w:hAnsi="宋体" w:cs="宋体" w:eastAsia="宋体" w:hint="default"/>
                <w:sz w:val="21"/>
                <w:szCs w:val="21"/>
              </w:rPr>
            </w:pPr>
            <w:r>
              <w:rPr>
                <w:rFonts w:ascii="宋体" w:hAnsi="宋体" w:cs="宋体" w:eastAsia="宋体" w:hint="default"/>
                <w:sz w:val="21"/>
                <w:szCs w:val="21"/>
              </w:rPr>
              <w:t>报告期经营活动现金流出较去年同期增加 </w:t>
            </w:r>
            <w:r>
              <w:rPr>
                <w:rFonts w:ascii="宋体" w:hAnsi="宋体" w:cs="宋体" w:eastAsia="宋体" w:hint="default"/>
                <w:sz w:val="21"/>
                <w:szCs w:val="21"/>
              </w:rPr>
              <w:t>48.21%</w:t>
            </w:r>
            <w:r>
              <w:rPr>
                <w:rFonts w:ascii="宋体" w:hAnsi="宋体" w:cs="宋体" w:eastAsia="宋体" w:hint="default"/>
                <w:sz w:val="21"/>
                <w:szCs w:val="21"/>
              </w:rPr>
              <w:t>，主要系非同一控制下企业合并江苏 亿金公司现金流量表项目</w:t>
            </w:r>
            <w:r>
              <w:rPr>
                <w:rFonts w:ascii="宋体" w:hAnsi="宋体" w:cs="宋体" w:eastAsia="宋体" w:hint="default"/>
                <w:spacing w:val="-52"/>
                <w:sz w:val="21"/>
                <w:szCs w:val="21"/>
              </w:rPr>
              <w:t> </w:t>
            </w:r>
            <w:r>
              <w:rPr>
                <w:rFonts w:ascii="宋体" w:hAnsi="宋体" w:cs="宋体" w:eastAsia="宋体" w:hint="default"/>
                <w:sz w:val="21"/>
                <w:szCs w:val="21"/>
              </w:rPr>
              <w:t>17,420.42</w:t>
            </w:r>
            <w:r>
              <w:rPr>
                <w:rFonts w:ascii="宋体" w:hAnsi="宋体" w:cs="宋体" w:eastAsia="宋体" w:hint="default"/>
                <w:spacing w:val="-52"/>
                <w:sz w:val="21"/>
                <w:szCs w:val="21"/>
              </w:rPr>
              <w:t> </w:t>
            </w:r>
            <w:r>
              <w:rPr>
                <w:rFonts w:ascii="宋体" w:hAnsi="宋体" w:cs="宋体" w:eastAsia="宋体" w:hint="default"/>
                <w:sz w:val="21"/>
                <w:szCs w:val="21"/>
              </w:rPr>
              <w:t>万元所 致。</w:t>
            </w:r>
          </w:p>
        </w:tc>
      </w:tr>
      <w:tr>
        <w:trPr>
          <w:trHeight w:val="1406"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73" w:lineRule="auto"/>
              <w:ind w:left="103" w:right="274"/>
              <w:jc w:val="left"/>
              <w:rPr>
                <w:rFonts w:ascii="宋体" w:hAnsi="宋体" w:cs="宋体" w:eastAsia="宋体" w:hint="default"/>
                <w:sz w:val="21"/>
                <w:szCs w:val="21"/>
              </w:rPr>
            </w:pPr>
            <w:r>
              <w:rPr>
                <w:rFonts w:ascii="宋体" w:hAnsi="宋体" w:cs="宋体" w:eastAsia="宋体" w:hint="default"/>
                <w:sz w:val="21"/>
                <w:szCs w:val="21"/>
              </w:rPr>
              <w:t>经营活动产生的 现金流量净额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-14,197,</w:t>
            </w:r>
          </w:p>
          <w:p>
            <w:pPr>
              <w:pStyle w:val="TableParagraph"/>
              <w:spacing w:line="240" w:lineRule="auto" w:before="37"/>
              <w:ind w:right="0"/>
              <w:jc w:val="center"/>
              <w:rPr>
                <w:rFonts w:ascii="宋体" w:hAnsi="宋体" w:cs="宋体" w:eastAsia="宋体" w:hint="default"/>
                <w:sz w:val="21"/>
                <w:szCs w:val="21"/>
              </w:rPr>
            </w:pPr>
            <w:r>
              <w:rPr>
                <w:rFonts w:ascii="宋体"/>
                <w:sz w:val="21"/>
              </w:rPr>
              <w:t>544.61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15,930,178</w:t>
            </w:r>
          </w:p>
          <w:p>
            <w:pPr>
              <w:pStyle w:val="TableParagraph"/>
              <w:spacing w:line="240" w:lineRule="auto" w:before="37"/>
              <w:ind w:right="0"/>
              <w:jc w:val="center"/>
              <w:rPr>
                <w:rFonts w:ascii="宋体" w:hAnsi="宋体" w:cs="宋体" w:eastAsia="宋体" w:hint="default"/>
                <w:sz w:val="21"/>
                <w:szCs w:val="21"/>
              </w:rPr>
            </w:pPr>
            <w:r>
              <w:rPr>
                <w:rFonts w:ascii="宋体"/>
                <w:sz w:val="21"/>
              </w:rPr>
              <w:t>.06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-189.12</w:t>
            </w:r>
          </w:p>
          <w:p>
            <w:pPr>
              <w:pStyle w:val="TableParagraph"/>
              <w:spacing w:line="240" w:lineRule="auto" w:before="37"/>
              <w:ind w:right="0"/>
              <w:jc w:val="center"/>
              <w:rPr>
                <w:rFonts w:ascii="宋体" w:hAnsi="宋体" w:cs="宋体" w:eastAsia="宋体" w:hint="default"/>
                <w:sz w:val="21"/>
                <w:szCs w:val="21"/>
              </w:rPr>
            </w:pPr>
            <w:r>
              <w:rPr>
                <w:rFonts w:ascii="宋体"/>
                <w:sz w:val="21"/>
              </w:rPr>
              <w:t>%</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9"/>
              <w:ind w:left="103" w:right="148"/>
              <w:jc w:val="both"/>
              <w:rPr>
                <w:rFonts w:ascii="宋体" w:hAnsi="宋体" w:cs="宋体" w:eastAsia="宋体" w:hint="default"/>
                <w:sz w:val="21"/>
                <w:szCs w:val="21"/>
              </w:rPr>
            </w:pPr>
            <w:r>
              <w:rPr>
                <w:rFonts w:ascii="宋体" w:hAnsi="宋体" w:cs="宋体" w:eastAsia="宋体" w:hint="default"/>
                <w:sz w:val="21"/>
                <w:szCs w:val="21"/>
              </w:rPr>
              <w:t>报告期经营活动产生的现金流量净额较去年 同期减少</w:t>
            </w:r>
            <w:r>
              <w:rPr>
                <w:rFonts w:ascii="宋体" w:hAnsi="宋体" w:cs="宋体" w:eastAsia="宋体" w:hint="default"/>
                <w:spacing w:val="-54"/>
                <w:sz w:val="21"/>
                <w:szCs w:val="21"/>
              </w:rPr>
              <w:t> </w:t>
            </w:r>
            <w:r>
              <w:rPr>
                <w:rFonts w:ascii="宋体" w:hAnsi="宋体" w:cs="宋体" w:eastAsia="宋体" w:hint="default"/>
                <w:sz w:val="21"/>
                <w:szCs w:val="21"/>
              </w:rPr>
              <w:t>189.12%</w:t>
            </w:r>
            <w:r>
              <w:rPr>
                <w:rFonts w:ascii="宋体" w:hAnsi="宋体" w:cs="宋体" w:eastAsia="宋体" w:hint="default"/>
                <w:sz w:val="21"/>
                <w:szCs w:val="21"/>
              </w:rPr>
              <w:t>，主要系非同一控制下企 业合并江苏亿金公司现金流量表项目</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-5,263.58</w:t>
            </w:r>
            <w:r>
              <w:rPr>
                <w:rFonts w:ascii="宋体" w:hAnsi="宋体" w:cs="宋体" w:eastAsia="宋体" w:hint="default"/>
                <w:spacing w:val="-55"/>
                <w:sz w:val="21"/>
                <w:szCs w:val="21"/>
              </w:rPr>
              <w:t> </w:t>
            </w:r>
            <w:r>
              <w:rPr>
                <w:rFonts w:ascii="宋体" w:hAnsi="宋体" w:cs="宋体" w:eastAsia="宋体" w:hint="default"/>
                <w:sz w:val="21"/>
                <w:szCs w:val="21"/>
              </w:rPr>
              <w:t>万元所致。</w:t>
            </w:r>
          </w:p>
        </w:tc>
      </w:tr>
    </w:tbl>
    <w:p>
      <w:pPr>
        <w:spacing w:after="0" w:line="240" w:lineRule="auto"/>
        <w:jc w:val="both"/>
        <w:rPr>
          <w:rFonts w:ascii="宋体" w:hAnsi="宋体" w:cs="宋体" w:eastAsia="宋体" w:hint="default"/>
          <w:sz w:val="21"/>
          <w:szCs w:val="21"/>
        </w:rPr>
        <w:sectPr>
          <w:pgSz w:w="11910" w:h="16840"/>
          <w:pgMar w:header="747" w:footer="979" w:top="1060" w:bottom="1160" w:left="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419" w:type="dxa"/>
        <w:tblLayout w:type="fixed"/>
        <w:tblCellMar>
          <w:top w:w="0" w:type="dxa"/>
          <w:left w:w="0" w:type="dxa"/>
          <w:bottom w:w="0" w:type="dxa"/>
          <w:right w:w="0" w:type="dxa"/>
        </w:tblCellMar>
        <w:tblLook w:val="01E0"/>
      </w:tblPr>
      <w:tblGrid>
        <w:gridCol w:w="1859"/>
        <w:gridCol w:w="1134"/>
        <w:gridCol w:w="1276"/>
        <w:gridCol w:w="992"/>
        <w:gridCol w:w="4253"/>
      </w:tblGrid>
      <w:tr>
        <w:trPr>
          <w:trHeight w:val="1406" w:hRule="exact"/>
        </w:trPr>
        <w:tc>
          <w:tcPr>
            <w:tcW w:w="1859"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58"/>
              <w:ind w:left="103" w:right="102"/>
              <w:jc w:val="left"/>
              <w:rPr>
                <w:rFonts w:ascii="宋体" w:hAnsi="宋体" w:cs="宋体" w:eastAsia="宋体" w:hint="default"/>
                <w:sz w:val="21"/>
                <w:szCs w:val="21"/>
              </w:rPr>
            </w:pPr>
            <w:r>
              <w:rPr>
                <w:rFonts w:ascii="宋体" w:hAnsi="宋体" w:cs="宋体" w:eastAsia="宋体" w:hint="default"/>
                <w:spacing w:val="-5"/>
                <w:sz w:val="21"/>
                <w:szCs w:val="21"/>
              </w:rPr>
              <w:t>处置固定资产、无</w:t>
            </w:r>
            <w:r>
              <w:rPr>
                <w:rFonts w:ascii="宋体" w:hAnsi="宋体" w:cs="宋体" w:eastAsia="宋体" w:hint="default"/>
                <w:sz w:val="21"/>
                <w:szCs w:val="21"/>
              </w:rPr>
              <w:t> 形资产和其他长 期资产收回的现 金净额</w:t>
            </w:r>
          </w:p>
        </w:tc>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sz w:val="21"/>
              </w:rPr>
              <w:t>43,650.0</w:t>
            </w:r>
          </w:p>
          <w:p>
            <w:pPr>
              <w:pStyle w:val="TableParagraph"/>
              <w:spacing w:line="240" w:lineRule="auto" w:before="37"/>
              <w:ind w:right="0"/>
              <w:jc w:val="center"/>
              <w:rPr>
                <w:rFonts w:ascii="宋体" w:hAnsi="宋体" w:cs="宋体" w:eastAsia="宋体" w:hint="default"/>
                <w:sz w:val="21"/>
                <w:szCs w:val="21"/>
              </w:rPr>
            </w:pPr>
            <w:r>
              <w:rPr>
                <w:rFonts w:ascii="宋体"/>
                <w:sz w:val="21"/>
              </w:rPr>
              <w:t>0</w:t>
            </w:r>
          </w:p>
        </w:tc>
        <w:tc>
          <w:tcPr>
            <w:tcW w:w="12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12" w:right="0"/>
              <w:jc w:val="left"/>
              <w:rPr>
                <w:rFonts w:ascii="宋体" w:hAnsi="宋体" w:cs="宋体" w:eastAsia="宋体" w:hint="default"/>
                <w:sz w:val="21"/>
                <w:szCs w:val="21"/>
              </w:rPr>
            </w:pPr>
            <w:r>
              <w:rPr>
                <w:rFonts w:ascii="宋体"/>
                <w:sz w:val="21"/>
              </w:rPr>
              <w:t>1,000.00</w:t>
            </w:r>
          </w:p>
        </w:tc>
        <w:tc>
          <w:tcPr>
            <w:tcW w:w="9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sz w:val="21"/>
              </w:rPr>
              <w:t>4265.00</w:t>
            </w:r>
          </w:p>
          <w:p>
            <w:pPr>
              <w:pStyle w:val="TableParagraph"/>
              <w:spacing w:line="240" w:lineRule="auto" w:before="37"/>
              <w:ind w:right="0"/>
              <w:jc w:val="center"/>
              <w:rPr>
                <w:rFonts w:ascii="宋体" w:hAnsi="宋体" w:cs="宋体" w:eastAsia="宋体" w:hint="default"/>
                <w:sz w:val="21"/>
                <w:szCs w:val="21"/>
              </w:rPr>
            </w:pPr>
            <w:r>
              <w:rPr>
                <w:rFonts w:ascii="宋体"/>
                <w:sz w:val="21"/>
              </w:rPr>
              <w:t>%</w:t>
            </w:r>
          </w:p>
        </w:tc>
        <w:tc>
          <w:tcPr>
            <w:tcW w:w="4253"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58"/>
              <w:ind w:left="103" w:right="148"/>
              <w:jc w:val="left"/>
              <w:rPr>
                <w:rFonts w:ascii="宋体" w:hAnsi="宋体" w:cs="宋体" w:eastAsia="宋体" w:hint="default"/>
                <w:sz w:val="21"/>
                <w:szCs w:val="21"/>
              </w:rPr>
            </w:pPr>
            <w:r>
              <w:rPr>
                <w:rFonts w:ascii="宋体" w:hAnsi="宋体" w:cs="宋体" w:eastAsia="宋体" w:hint="default"/>
                <w:sz w:val="21"/>
                <w:szCs w:val="21"/>
              </w:rPr>
              <w:t>报告期处置固定资产、无形资产和其他长期 资产收回的现金净额较去年同期增加 </w:t>
            </w:r>
            <w:r>
              <w:rPr>
                <w:rFonts w:ascii="宋体" w:hAnsi="宋体" w:cs="宋体" w:eastAsia="宋体" w:hint="default"/>
                <w:sz w:val="21"/>
                <w:szCs w:val="21"/>
              </w:rPr>
              <w:t>4265.00%</w:t>
            </w:r>
            <w:r>
              <w:rPr>
                <w:rFonts w:ascii="宋体" w:hAnsi="宋体" w:cs="宋体" w:eastAsia="宋体" w:hint="default"/>
                <w:sz w:val="21"/>
                <w:szCs w:val="21"/>
              </w:rPr>
              <w:t>，主要系控股子公司江苏亿金公司 处置固定资产所致。</w:t>
            </w:r>
          </w:p>
        </w:tc>
      </w:tr>
      <w:tr>
        <w:trPr>
          <w:trHeight w:val="1406"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2"/>
              <w:ind w:left="103" w:right="274"/>
              <w:jc w:val="left"/>
              <w:rPr>
                <w:rFonts w:ascii="宋体" w:hAnsi="宋体" w:cs="宋体" w:eastAsia="宋体" w:hint="default"/>
                <w:sz w:val="21"/>
                <w:szCs w:val="21"/>
              </w:rPr>
            </w:pPr>
            <w:r>
              <w:rPr>
                <w:rFonts w:ascii="宋体" w:hAnsi="宋体" w:cs="宋体" w:eastAsia="宋体" w:hint="default"/>
                <w:sz w:val="21"/>
                <w:szCs w:val="21"/>
              </w:rPr>
              <w:t>收到其他与投资 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3,268,481.</w:t>
            </w:r>
          </w:p>
          <w:p>
            <w:pPr>
              <w:pStyle w:val="TableParagraph"/>
              <w:spacing w:line="240" w:lineRule="auto" w:before="37"/>
              <w:ind w:left="1" w:right="0"/>
              <w:jc w:val="center"/>
              <w:rPr>
                <w:rFonts w:ascii="宋体" w:hAnsi="宋体" w:cs="宋体" w:eastAsia="宋体" w:hint="default"/>
                <w:sz w:val="21"/>
                <w:szCs w:val="21"/>
              </w:rPr>
            </w:pPr>
            <w:r>
              <w:rPr>
                <w:rFonts w:ascii="宋体"/>
                <w:sz w:val="21"/>
              </w:rPr>
              <w:t>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-100.00</w:t>
            </w:r>
          </w:p>
          <w:p>
            <w:pPr>
              <w:pStyle w:val="TableParagraph"/>
              <w:spacing w:line="240" w:lineRule="auto" w:before="37"/>
              <w:ind w:right="0"/>
              <w:jc w:val="center"/>
              <w:rPr>
                <w:rFonts w:ascii="宋体" w:hAnsi="宋体" w:cs="宋体" w:eastAsia="宋体" w:hint="default"/>
                <w:sz w:val="21"/>
                <w:szCs w:val="21"/>
              </w:rPr>
            </w:pPr>
            <w:r>
              <w:rPr>
                <w:rFonts w:ascii="宋体"/>
                <w:sz w:val="21"/>
              </w:rPr>
              <w:t>%</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0"/>
              <w:ind w:left="103" w:right="101"/>
              <w:jc w:val="both"/>
              <w:rPr>
                <w:rFonts w:ascii="宋体" w:hAnsi="宋体" w:cs="宋体" w:eastAsia="宋体" w:hint="default"/>
                <w:sz w:val="21"/>
                <w:szCs w:val="21"/>
              </w:rPr>
            </w:pPr>
            <w:r>
              <w:rPr>
                <w:rFonts w:ascii="宋体" w:hAnsi="宋体" w:cs="宋体" w:eastAsia="宋体" w:hint="default"/>
                <w:sz w:val="21"/>
                <w:szCs w:val="21"/>
              </w:rPr>
              <w:t>报告期收到其他与投资活动有关的现金较去 年同期减少</w:t>
            </w:r>
            <w:r>
              <w:rPr>
                <w:rFonts w:ascii="宋体" w:hAnsi="宋体" w:cs="宋体" w:eastAsia="宋体" w:hint="default"/>
                <w:spacing w:val="-59"/>
                <w:sz w:val="21"/>
                <w:szCs w:val="21"/>
              </w:rPr>
              <w:t> </w:t>
            </w:r>
            <w:r>
              <w:rPr>
                <w:rFonts w:ascii="宋体" w:hAnsi="宋体" w:cs="宋体" w:eastAsia="宋体" w:hint="default"/>
                <w:sz w:val="21"/>
                <w:szCs w:val="21"/>
              </w:rPr>
              <w:t>100%</w:t>
            </w:r>
            <w:r>
              <w:rPr>
                <w:rFonts w:ascii="宋体" w:hAnsi="宋体" w:cs="宋体" w:eastAsia="宋体" w:hint="default"/>
                <w:sz w:val="21"/>
                <w:szCs w:val="21"/>
              </w:rPr>
              <w:t>，主要系去年同期收到与资 产相关的政府补助，而本报告期未收到与资 产相关的政府补助。</w:t>
            </w:r>
          </w:p>
        </w:tc>
      </w:tr>
      <w:tr>
        <w:trPr>
          <w:trHeight w:val="1883"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5"/>
                <w:sz w:val="21"/>
                <w:szCs w:val="21"/>
              </w:rPr>
              <w:t>购建固定资产、无</w:t>
            </w:r>
            <w:r>
              <w:rPr>
                <w:rFonts w:ascii="宋体" w:hAnsi="宋体" w:cs="宋体" w:eastAsia="宋体" w:hint="default"/>
                <w:sz w:val="21"/>
                <w:szCs w:val="21"/>
              </w:rPr>
              <w:t> 形资产和其他长 期资产支付的现 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
              <w:jc w:val="center"/>
              <w:rPr>
                <w:rFonts w:ascii="宋体" w:hAnsi="宋体" w:cs="宋体" w:eastAsia="宋体" w:hint="default"/>
                <w:sz w:val="21"/>
                <w:szCs w:val="21"/>
              </w:rPr>
            </w:pPr>
            <w:r>
              <w:rPr>
                <w:rFonts w:ascii="宋体"/>
                <w:sz w:val="21"/>
              </w:rPr>
              <w:t>62,483,8</w:t>
            </w:r>
          </w:p>
          <w:p>
            <w:pPr>
              <w:pStyle w:val="TableParagraph"/>
              <w:spacing w:line="240" w:lineRule="auto" w:before="37"/>
              <w:ind w:right="0"/>
              <w:jc w:val="center"/>
              <w:rPr>
                <w:rFonts w:ascii="宋体" w:hAnsi="宋体" w:cs="宋体" w:eastAsia="宋体" w:hint="default"/>
                <w:sz w:val="21"/>
                <w:szCs w:val="21"/>
              </w:rPr>
            </w:pPr>
            <w:r>
              <w:rPr>
                <w:rFonts w:ascii="宋体"/>
                <w:sz w:val="21"/>
              </w:rPr>
              <w:t>88.29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sz w:val="21"/>
              </w:rPr>
              <w:t>4,880,822.</w:t>
            </w:r>
          </w:p>
          <w:p>
            <w:pPr>
              <w:pStyle w:val="TableParagraph"/>
              <w:spacing w:line="240" w:lineRule="auto" w:before="37"/>
              <w:ind w:left="1" w:right="0"/>
              <w:jc w:val="center"/>
              <w:rPr>
                <w:rFonts w:ascii="宋体" w:hAnsi="宋体" w:cs="宋体" w:eastAsia="宋体" w:hint="default"/>
                <w:sz w:val="21"/>
                <w:szCs w:val="21"/>
              </w:rPr>
            </w:pPr>
            <w:r>
              <w:rPr>
                <w:rFonts w:ascii="宋体"/>
                <w:sz w:val="21"/>
              </w:rPr>
              <w:t>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sz w:val="21"/>
              </w:rPr>
              <w:t>1180.19</w:t>
            </w:r>
          </w:p>
          <w:p>
            <w:pPr>
              <w:pStyle w:val="TableParagraph"/>
              <w:spacing w:line="240" w:lineRule="auto" w:before="37"/>
              <w:ind w:right="0"/>
              <w:jc w:val="center"/>
              <w:rPr>
                <w:rFonts w:ascii="宋体" w:hAnsi="宋体" w:cs="宋体" w:eastAsia="宋体" w:hint="default"/>
                <w:sz w:val="21"/>
                <w:szCs w:val="21"/>
              </w:rPr>
            </w:pPr>
            <w:r>
              <w:rPr>
                <w:rFonts w:ascii="宋体"/>
                <w:sz w:val="21"/>
              </w:rPr>
              <w:t>%</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报告期购建固定资产、无形资产和其他长期</w:t>
            </w:r>
          </w:p>
          <w:p>
            <w:pPr>
              <w:pStyle w:val="TableParagraph"/>
              <w:spacing w:line="273" w:lineRule="auto" w:before="37"/>
              <w:ind w:left="103" w:right="95"/>
              <w:jc w:val="both"/>
              <w:rPr>
                <w:rFonts w:ascii="宋体" w:hAnsi="宋体" w:cs="宋体" w:eastAsia="宋体" w:hint="default"/>
                <w:sz w:val="21"/>
                <w:szCs w:val="21"/>
              </w:rPr>
            </w:pPr>
            <w:r>
              <w:rPr>
                <w:rFonts w:ascii="宋体" w:hAnsi="宋体" w:cs="宋体" w:eastAsia="宋体" w:hint="default"/>
                <w:sz w:val="21"/>
                <w:szCs w:val="21"/>
              </w:rPr>
              <w:t>资产支付的现金较去年同期增加</w:t>
            </w:r>
            <w:r>
              <w:rPr>
                <w:rFonts w:ascii="宋体" w:hAnsi="宋体" w:cs="宋体" w:eastAsia="宋体" w:hint="default"/>
                <w:spacing w:val="-52"/>
                <w:sz w:val="21"/>
                <w:szCs w:val="21"/>
              </w:rPr>
              <w:t> </w:t>
            </w:r>
            <w:r>
              <w:rPr>
                <w:rFonts w:ascii="宋体" w:hAnsi="宋体" w:cs="宋体" w:eastAsia="宋体" w:hint="default"/>
                <w:sz w:val="21"/>
                <w:szCs w:val="21"/>
              </w:rPr>
              <w:t>1180.19%</w:t>
            </w:r>
            <w:r>
              <w:rPr>
                <w:rFonts w:ascii="宋体" w:hAnsi="宋体" w:cs="宋体" w:eastAsia="宋体" w:hint="default"/>
                <w:sz w:val="21"/>
                <w:szCs w:val="21"/>
              </w:rPr>
              <w:t>， 主要系控股子公司新建除尘、脱硫、脱硝设 备生产与研发基地募集项目投入资金及公司 支付西区绿色精密环境产业基地建设土地款 所致。</w:t>
            </w:r>
          </w:p>
        </w:tc>
      </w:tr>
      <w:tr>
        <w:trPr>
          <w:trHeight w:val="140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sz w:val="21"/>
              </w:rPr>
              <w:t>9,000,00</w:t>
            </w:r>
          </w:p>
          <w:p>
            <w:pPr>
              <w:pStyle w:val="TableParagraph"/>
              <w:spacing w:line="240" w:lineRule="auto" w:before="37"/>
              <w:ind w:right="1"/>
              <w:jc w:val="center"/>
              <w:rPr>
                <w:rFonts w:ascii="宋体" w:hAnsi="宋体" w:cs="宋体" w:eastAsia="宋体" w:hint="default"/>
                <w:sz w:val="21"/>
                <w:szCs w:val="21"/>
              </w:rPr>
            </w:pPr>
            <w:r>
              <w:rPr>
                <w:rFonts w:ascii="宋体"/>
                <w:sz w:val="21"/>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sz w:val="21"/>
              </w:rPr>
              <w:t>5,522,085.</w:t>
            </w:r>
          </w:p>
          <w:p>
            <w:pPr>
              <w:pStyle w:val="TableParagraph"/>
              <w:spacing w:line="240" w:lineRule="auto" w:before="37"/>
              <w:ind w:left="1" w:right="0"/>
              <w:jc w:val="center"/>
              <w:rPr>
                <w:rFonts w:ascii="宋体" w:hAnsi="宋体" w:cs="宋体" w:eastAsia="宋体" w:hint="default"/>
                <w:sz w:val="21"/>
                <w:szCs w:val="21"/>
              </w:rPr>
            </w:pPr>
            <w:r>
              <w:rPr>
                <w:rFonts w:ascii="宋体"/>
                <w:sz w:val="21"/>
              </w:rPr>
              <w:t>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76" w:right="0"/>
              <w:jc w:val="left"/>
              <w:rPr>
                <w:rFonts w:ascii="宋体" w:hAnsi="宋体" w:cs="宋体" w:eastAsia="宋体" w:hint="default"/>
                <w:sz w:val="21"/>
                <w:szCs w:val="21"/>
              </w:rPr>
            </w:pPr>
            <w:r>
              <w:rPr>
                <w:rFonts w:ascii="宋体"/>
                <w:sz w:val="21"/>
              </w:rPr>
              <w:t>62.98%</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8"/>
              <w:ind w:left="103" w:right="146"/>
              <w:jc w:val="left"/>
              <w:rPr>
                <w:rFonts w:ascii="宋体" w:hAnsi="宋体" w:cs="宋体" w:eastAsia="宋体" w:hint="default"/>
                <w:sz w:val="21"/>
                <w:szCs w:val="21"/>
              </w:rPr>
            </w:pPr>
            <w:r>
              <w:rPr>
                <w:rFonts w:ascii="宋体" w:hAnsi="宋体" w:cs="宋体" w:eastAsia="宋体" w:hint="default"/>
                <w:sz w:val="21"/>
                <w:szCs w:val="21"/>
              </w:rPr>
              <w:t>报告期投资支付的现金较去年同期增加 </w:t>
            </w:r>
            <w:r>
              <w:rPr>
                <w:rFonts w:ascii="宋体" w:hAnsi="宋体" w:cs="宋体" w:eastAsia="宋体" w:hint="default"/>
                <w:sz w:val="21"/>
                <w:szCs w:val="21"/>
              </w:rPr>
              <w:t>62.98%</w:t>
            </w:r>
            <w:r>
              <w:rPr>
                <w:rFonts w:ascii="宋体" w:hAnsi="宋体" w:cs="宋体" w:eastAsia="宋体" w:hint="default"/>
                <w:sz w:val="21"/>
                <w:szCs w:val="21"/>
              </w:rPr>
              <w:t>，主要系本报告期公司投资参股上海 国富光启云计算科技股份有限公司</w:t>
            </w:r>
            <w:r>
              <w:rPr>
                <w:rFonts w:ascii="宋体" w:hAnsi="宋体" w:cs="宋体" w:eastAsia="宋体" w:hint="default"/>
                <w:spacing w:val="-52"/>
                <w:sz w:val="21"/>
                <w:szCs w:val="21"/>
              </w:rPr>
              <w:t> </w:t>
            </w:r>
            <w:r>
              <w:rPr>
                <w:rFonts w:ascii="宋体" w:hAnsi="宋体" w:cs="宋体" w:eastAsia="宋体" w:hint="default"/>
                <w:sz w:val="21"/>
                <w:szCs w:val="21"/>
              </w:rPr>
              <w:t>900</w:t>
            </w:r>
            <w:r>
              <w:rPr>
                <w:rFonts w:ascii="宋体" w:hAnsi="宋体" w:cs="宋体" w:eastAsia="宋体" w:hint="default"/>
                <w:spacing w:val="-52"/>
                <w:sz w:val="21"/>
                <w:szCs w:val="21"/>
              </w:rPr>
              <w:t> </w:t>
            </w:r>
            <w:r>
              <w:rPr>
                <w:rFonts w:ascii="宋体" w:hAnsi="宋体" w:cs="宋体" w:eastAsia="宋体" w:hint="default"/>
                <w:sz w:val="21"/>
                <w:szCs w:val="21"/>
              </w:rPr>
              <w:t>万元 所致。</w:t>
            </w:r>
          </w:p>
        </w:tc>
      </w:tr>
      <w:tr>
        <w:trPr>
          <w:trHeight w:val="219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3" w:lineRule="auto"/>
              <w:ind w:left="103" w:right="274"/>
              <w:jc w:val="left"/>
              <w:rPr>
                <w:rFonts w:ascii="宋体" w:hAnsi="宋体" w:cs="宋体" w:eastAsia="宋体" w:hint="default"/>
                <w:sz w:val="21"/>
                <w:szCs w:val="21"/>
              </w:rPr>
            </w:pPr>
            <w:r>
              <w:rPr>
                <w:rFonts w:ascii="宋体" w:hAnsi="宋体" w:cs="宋体" w:eastAsia="宋体" w:hint="default"/>
                <w:sz w:val="21"/>
                <w:szCs w:val="21"/>
              </w:rPr>
              <w:t>投资活动现金流 出小计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71,483,8</w:t>
            </w:r>
          </w:p>
          <w:p>
            <w:pPr>
              <w:pStyle w:val="TableParagraph"/>
              <w:spacing w:line="240" w:lineRule="auto" w:before="37"/>
              <w:ind w:right="0"/>
              <w:jc w:val="center"/>
              <w:rPr>
                <w:rFonts w:ascii="宋体" w:hAnsi="宋体" w:cs="宋体" w:eastAsia="宋体" w:hint="default"/>
                <w:sz w:val="21"/>
                <w:szCs w:val="21"/>
              </w:rPr>
            </w:pPr>
            <w:r>
              <w:rPr>
                <w:rFonts w:ascii="宋体"/>
                <w:sz w:val="21"/>
              </w:rPr>
              <w:t>88.29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10,402,907</w:t>
            </w:r>
          </w:p>
          <w:p>
            <w:pPr>
              <w:pStyle w:val="TableParagraph"/>
              <w:spacing w:line="240" w:lineRule="auto" w:before="37"/>
              <w:ind w:right="0"/>
              <w:jc w:val="center"/>
              <w:rPr>
                <w:rFonts w:ascii="宋体" w:hAnsi="宋体" w:cs="宋体" w:eastAsia="宋体" w:hint="default"/>
                <w:sz w:val="21"/>
                <w:szCs w:val="21"/>
              </w:rPr>
            </w:pPr>
            <w:r>
              <w:rPr>
                <w:rFonts w:ascii="宋体"/>
                <w:sz w:val="21"/>
              </w:rPr>
              <w:t>.75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23" w:right="0"/>
              <w:jc w:val="left"/>
              <w:rPr>
                <w:rFonts w:ascii="宋体" w:hAnsi="宋体" w:cs="宋体" w:eastAsia="宋体" w:hint="default"/>
                <w:sz w:val="21"/>
                <w:szCs w:val="21"/>
              </w:rPr>
            </w:pPr>
            <w:r>
              <w:rPr>
                <w:rFonts w:ascii="宋体"/>
                <w:sz w:val="21"/>
              </w:rPr>
              <w:t>587.15%</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报告期购建固定资产、无形资产和其他长期</w:t>
            </w:r>
          </w:p>
          <w:p>
            <w:pPr>
              <w:pStyle w:val="TableParagraph"/>
              <w:spacing w:line="273" w:lineRule="auto" w:before="37"/>
              <w:ind w:left="103" w:right="148"/>
              <w:jc w:val="both"/>
              <w:rPr>
                <w:rFonts w:ascii="宋体" w:hAnsi="宋体" w:cs="宋体" w:eastAsia="宋体" w:hint="default"/>
                <w:sz w:val="21"/>
                <w:szCs w:val="21"/>
              </w:rPr>
            </w:pPr>
            <w:r>
              <w:rPr>
                <w:rFonts w:ascii="宋体" w:hAnsi="宋体" w:cs="宋体" w:eastAsia="宋体" w:hint="default"/>
                <w:sz w:val="21"/>
                <w:szCs w:val="21"/>
              </w:rPr>
              <w:t>资产支付的现金较去年同期增加</w:t>
            </w:r>
            <w:r>
              <w:rPr>
                <w:rFonts w:ascii="宋体" w:hAnsi="宋体" w:cs="宋体" w:eastAsia="宋体" w:hint="default"/>
                <w:spacing w:val="-52"/>
                <w:sz w:val="21"/>
                <w:szCs w:val="21"/>
              </w:rPr>
              <w:t> </w:t>
            </w:r>
            <w:r>
              <w:rPr>
                <w:rFonts w:ascii="宋体" w:hAnsi="宋体" w:cs="宋体" w:eastAsia="宋体" w:hint="default"/>
                <w:sz w:val="21"/>
                <w:szCs w:val="21"/>
              </w:rPr>
              <w:t>587.15%</w:t>
            </w:r>
            <w:r>
              <w:rPr>
                <w:rFonts w:ascii="宋体" w:hAnsi="宋体" w:cs="宋体" w:eastAsia="宋体" w:hint="default"/>
                <w:sz w:val="21"/>
                <w:szCs w:val="21"/>
              </w:rPr>
              <w:t>， 主要系控股子公司新建除尘、脱硫、脱硝设 备生产与研发基地募集项目投入资金、本公 司支付西区绿色精密环境产业基地建设土地 款所致以及公司投资参股上海国富光启云计 算科技股份有限公司</w:t>
            </w:r>
            <w:r>
              <w:rPr>
                <w:rFonts w:ascii="宋体" w:hAnsi="宋体" w:cs="宋体" w:eastAsia="宋体" w:hint="default"/>
                <w:spacing w:val="-52"/>
                <w:sz w:val="21"/>
                <w:szCs w:val="21"/>
              </w:rPr>
              <w:t> </w:t>
            </w:r>
            <w:r>
              <w:rPr>
                <w:rFonts w:ascii="宋体" w:hAnsi="宋体" w:cs="宋体" w:eastAsia="宋体" w:hint="default"/>
                <w:sz w:val="21"/>
                <w:szCs w:val="21"/>
              </w:rPr>
              <w:t>900</w:t>
            </w:r>
            <w:r>
              <w:rPr>
                <w:rFonts w:ascii="宋体" w:hAnsi="宋体" w:cs="宋体" w:eastAsia="宋体" w:hint="default"/>
                <w:spacing w:val="-52"/>
                <w:sz w:val="21"/>
                <w:szCs w:val="21"/>
              </w:rPr>
              <w:t> </w:t>
            </w:r>
            <w:r>
              <w:rPr>
                <w:rFonts w:ascii="宋体" w:hAnsi="宋体" w:cs="宋体" w:eastAsia="宋体" w:hint="default"/>
                <w:sz w:val="21"/>
                <w:szCs w:val="21"/>
              </w:rPr>
              <w:t>万元所致。</w:t>
            </w:r>
          </w:p>
        </w:tc>
      </w:tr>
      <w:tr>
        <w:trPr>
          <w:trHeight w:val="219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73" w:lineRule="auto"/>
              <w:ind w:left="103" w:right="274"/>
              <w:jc w:val="left"/>
              <w:rPr>
                <w:rFonts w:ascii="宋体" w:hAnsi="宋体" w:cs="宋体" w:eastAsia="宋体" w:hint="default"/>
                <w:sz w:val="21"/>
                <w:szCs w:val="21"/>
              </w:rPr>
            </w:pPr>
            <w:r>
              <w:rPr>
                <w:rFonts w:ascii="宋体" w:hAnsi="宋体" w:cs="宋体" w:eastAsia="宋体" w:hint="default"/>
                <w:sz w:val="21"/>
                <w:szCs w:val="21"/>
              </w:rPr>
              <w:t>投资活动产生的 现金流量净额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-71,440,</w:t>
            </w:r>
          </w:p>
          <w:p>
            <w:pPr>
              <w:pStyle w:val="TableParagraph"/>
              <w:spacing w:line="240" w:lineRule="auto" w:before="37"/>
              <w:ind w:right="0"/>
              <w:jc w:val="center"/>
              <w:rPr>
                <w:rFonts w:ascii="宋体" w:hAnsi="宋体" w:cs="宋体" w:eastAsia="宋体" w:hint="default"/>
                <w:sz w:val="21"/>
                <w:szCs w:val="21"/>
              </w:rPr>
            </w:pPr>
            <w:r>
              <w:rPr>
                <w:rFonts w:ascii="宋体"/>
                <w:sz w:val="21"/>
              </w:rPr>
              <w:t>238.29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-7,133,425</w:t>
            </w:r>
          </w:p>
          <w:p>
            <w:pPr>
              <w:pStyle w:val="TableParagraph"/>
              <w:spacing w:line="240" w:lineRule="auto" w:before="37"/>
              <w:ind w:right="0"/>
              <w:jc w:val="center"/>
              <w:rPr>
                <w:rFonts w:ascii="宋体" w:hAnsi="宋体" w:cs="宋体" w:eastAsia="宋体" w:hint="default"/>
                <w:sz w:val="21"/>
                <w:szCs w:val="21"/>
              </w:rPr>
            </w:pPr>
            <w:r>
              <w:rPr>
                <w:rFonts w:ascii="宋体"/>
                <w:sz w:val="21"/>
              </w:rPr>
              <w:t>.90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3" w:right="0"/>
              <w:jc w:val="left"/>
              <w:rPr>
                <w:rFonts w:ascii="宋体" w:hAnsi="宋体" w:cs="宋体" w:eastAsia="宋体" w:hint="default"/>
                <w:sz w:val="21"/>
                <w:szCs w:val="21"/>
              </w:rPr>
            </w:pPr>
            <w:r>
              <w:rPr>
                <w:rFonts w:ascii="宋体"/>
                <w:sz w:val="21"/>
              </w:rPr>
              <w:t>901.49%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报告期购建固定资产、无形资产和其他长期</w:t>
            </w:r>
          </w:p>
          <w:p>
            <w:pPr>
              <w:pStyle w:val="TableParagraph"/>
              <w:spacing w:line="273" w:lineRule="auto" w:before="37"/>
              <w:ind w:left="103" w:right="148"/>
              <w:jc w:val="both"/>
              <w:rPr>
                <w:rFonts w:ascii="宋体" w:hAnsi="宋体" w:cs="宋体" w:eastAsia="宋体" w:hint="default"/>
                <w:sz w:val="21"/>
                <w:szCs w:val="21"/>
              </w:rPr>
            </w:pPr>
            <w:r>
              <w:rPr>
                <w:rFonts w:ascii="宋体" w:hAnsi="宋体" w:cs="宋体" w:eastAsia="宋体" w:hint="default"/>
                <w:sz w:val="21"/>
                <w:szCs w:val="21"/>
              </w:rPr>
              <w:t>资产支付的现金较去年同期增加</w:t>
            </w:r>
            <w:r>
              <w:rPr>
                <w:rFonts w:ascii="宋体" w:hAnsi="宋体" w:cs="宋体" w:eastAsia="宋体" w:hint="default"/>
                <w:spacing w:val="-52"/>
                <w:sz w:val="21"/>
                <w:szCs w:val="21"/>
              </w:rPr>
              <w:t> </w:t>
            </w:r>
            <w:r>
              <w:rPr>
                <w:rFonts w:ascii="宋体" w:hAnsi="宋体" w:cs="宋体" w:eastAsia="宋体" w:hint="default"/>
                <w:sz w:val="21"/>
                <w:szCs w:val="21"/>
              </w:rPr>
              <w:t>901.49%</w:t>
            </w:r>
            <w:r>
              <w:rPr>
                <w:rFonts w:ascii="宋体" w:hAnsi="宋体" w:cs="宋体" w:eastAsia="宋体" w:hint="default"/>
                <w:sz w:val="21"/>
                <w:szCs w:val="21"/>
              </w:rPr>
              <w:t>， 主要系控股子公司新建除尘、脱硫、脱硝设 备生产与研发基地募集项目投入资金、本公 司支付西区绿色精密环境产业基地建设土地 款所致以及公司投资参股上海国富光启云计 算科技股份有限公司</w:t>
            </w:r>
            <w:r>
              <w:rPr>
                <w:rFonts w:ascii="宋体" w:hAnsi="宋体" w:cs="宋体" w:eastAsia="宋体" w:hint="default"/>
                <w:spacing w:val="-52"/>
                <w:sz w:val="21"/>
                <w:szCs w:val="21"/>
              </w:rPr>
              <w:t> </w:t>
            </w:r>
            <w:r>
              <w:rPr>
                <w:rFonts w:ascii="宋体" w:hAnsi="宋体" w:cs="宋体" w:eastAsia="宋体" w:hint="default"/>
                <w:sz w:val="21"/>
                <w:szCs w:val="21"/>
              </w:rPr>
              <w:t>900</w:t>
            </w:r>
            <w:r>
              <w:rPr>
                <w:rFonts w:ascii="宋体" w:hAnsi="宋体" w:cs="宋体" w:eastAsia="宋体" w:hint="default"/>
                <w:spacing w:val="-52"/>
                <w:sz w:val="21"/>
                <w:szCs w:val="21"/>
              </w:rPr>
              <w:t> </w:t>
            </w:r>
            <w:r>
              <w:rPr>
                <w:rFonts w:ascii="宋体" w:hAnsi="宋体" w:cs="宋体" w:eastAsia="宋体" w:hint="default"/>
                <w:sz w:val="21"/>
                <w:szCs w:val="21"/>
              </w:rPr>
              <w:t>万元所致。</w:t>
            </w:r>
          </w:p>
        </w:tc>
      </w:tr>
      <w:tr>
        <w:trPr>
          <w:trHeight w:val="140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1"/>
              <w:ind w:left="103" w:right="274"/>
              <w:jc w:val="left"/>
              <w:rPr>
                <w:rFonts w:ascii="宋体" w:hAnsi="宋体" w:cs="宋体" w:eastAsia="宋体" w:hint="default"/>
                <w:sz w:val="21"/>
                <w:szCs w:val="21"/>
              </w:rPr>
            </w:pPr>
            <w:r>
              <w:rPr>
                <w:rFonts w:ascii="宋体" w:hAnsi="宋体" w:cs="宋体" w:eastAsia="宋体" w:hint="default"/>
                <w:sz w:val="21"/>
                <w:szCs w:val="21"/>
              </w:rPr>
              <w:t>吸收投资收到的 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
              <w:jc w:val="center"/>
              <w:rPr>
                <w:rFonts w:ascii="宋体" w:hAnsi="宋体" w:cs="宋体" w:eastAsia="宋体" w:hint="default"/>
                <w:sz w:val="21"/>
                <w:szCs w:val="21"/>
              </w:rPr>
            </w:pPr>
            <w:r>
              <w:rPr>
                <w:rFonts w:ascii="宋体"/>
                <w:sz w:val="21"/>
              </w:rPr>
              <w:t>22,606,8</w:t>
            </w:r>
          </w:p>
          <w:p>
            <w:pPr>
              <w:pStyle w:val="TableParagraph"/>
              <w:spacing w:line="240" w:lineRule="auto" w:before="37"/>
              <w:ind w:right="0"/>
              <w:jc w:val="center"/>
              <w:rPr>
                <w:rFonts w:ascii="宋体" w:hAnsi="宋体" w:cs="宋体" w:eastAsia="宋体" w:hint="default"/>
                <w:sz w:val="21"/>
                <w:szCs w:val="21"/>
              </w:rPr>
            </w:pPr>
            <w:r>
              <w:rPr>
                <w:rFonts w:ascii="宋体"/>
                <w:sz w:val="21"/>
              </w:rPr>
              <w:t>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sz w:val="21"/>
              </w:rPr>
              <w:t>44,065,298</w:t>
            </w:r>
          </w:p>
          <w:p>
            <w:pPr>
              <w:pStyle w:val="TableParagraph"/>
              <w:spacing w:line="240" w:lineRule="auto" w:before="37"/>
              <w:ind w:right="0"/>
              <w:jc w:val="center"/>
              <w:rPr>
                <w:rFonts w:ascii="宋体" w:hAnsi="宋体" w:cs="宋体" w:eastAsia="宋体" w:hint="default"/>
                <w:sz w:val="21"/>
                <w:szCs w:val="21"/>
              </w:rPr>
            </w:pPr>
            <w:r>
              <w:rPr>
                <w:rFonts w:ascii="宋体"/>
                <w:sz w:val="21"/>
              </w:rPr>
              <w:t>.80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宋体" w:hAnsi="宋体" w:cs="宋体" w:eastAsia="宋体" w:hint="default"/>
                <w:sz w:val="21"/>
                <w:szCs w:val="21"/>
              </w:rPr>
            </w:pPr>
            <w:r>
              <w:rPr>
                <w:rFonts w:ascii="宋体"/>
                <w:sz w:val="21"/>
              </w:rPr>
              <w:t>-48.70%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报告期购建吸收投资收到的现金较去年同期 减少</w:t>
            </w:r>
            <w:r>
              <w:rPr>
                <w:rFonts w:ascii="宋体" w:hAnsi="宋体" w:cs="宋体" w:eastAsia="宋体" w:hint="default"/>
                <w:spacing w:val="-59"/>
                <w:sz w:val="21"/>
                <w:szCs w:val="21"/>
              </w:rPr>
              <w:t> </w:t>
            </w:r>
            <w:r>
              <w:rPr>
                <w:rFonts w:ascii="宋体" w:hAnsi="宋体" w:cs="宋体" w:eastAsia="宋体" w:hint="default"/>
                <w:sz w:val="21"/>
                <w:szCs w:val="21"/>
              </w:rPr>
              <w:t>48.70%</w:t>
            </w:r>
            <w:r>
              <w:rPr>
                <w:rFonts w:ascii="宋体" w:hAnsi="宋体" w:cs="宋体" w:eastAsia="宋体" w:hint="default"/>
                <w:sz w:val="21"/>
                <w:szCs w:val="21"/>
              </w:rPr>
              <w:t>，主要系本报告期控股子公司少 数股东增资低于去年同期所致。</w:t>
            </w:r>
          </w:p>
        </w:tc>
      </w:tr>
      <w:tr>
        <w:trPr>
          <w:trHeight w:val="1406"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0"/>
              <w:ind w:left="103" w:right="274"/>
              <w:jc w:val="left"/>
              <w:rPr>
                <w:rFonts w:ascii="宋体" w:hAnsi="宋体" w:cs="宋体" w:eastAsia="宋体" w:hint="default"/>
                <w:sz w:val="21"/>
                <w:szCs w:val="21"/>
              </w:rPr>
            </w:pPr>
            <w:r>
              <w:rPr>
                <w:rFonts w:ascii="宋体" w:hAnsi="宋体" w:cs="宋体" w:eastAsia="宋体" w:hint="default"/>
                <w:sz w:val="21"/>
                <w:szCs w:val="21"/>
              </w:rPr>
              <w:t>取得借款所收到 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sz w:val="21"/>
              </w:rPr>
              <w:t>150,700,</w:t>
            </w:r>
          </w:p>
          <w:p>
            <w:pPr>
              <w:pStyle w:val="TableParagraph"/>
              <w:spacing w:line="240" w:lineRule="auto" w:before="37"/>
              <w:ind w:right="0"/>
              <w:jc w:val="center"/>
              <w:rPr>
                <w:rFonts w:ascii="宋体" w:hAnsi="宋体" w:cs="宋体" w:eastAsia="宋体" w:hint="default"/>
                <w:sz w:val="21"/>
                <w:szCs w:val="21"/>
              </w:rPr>
            </w:pPr>
            <w:r>
              <w:rPr>
                <w:rFonts w:ascii="宋体"/>
                <w:sz w:val="21"/>
              </w:rPr>
              <w:t>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sz w:val="21"/>
              </w:rPr>
              <w:t>35,000,000</w:t>
            </w:r>
          </w:p>
          <w:p>
            <w:pPr>
              <w:pStyle w:val="TableParagraph"/>
              <w:spacing w:line="240" w:lineRule="auto" w:before="37"/>
              <w:ind w:right="0"/>
              <w:jc w:val="center"/>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宋体" w:hAnsi="宋体" w:cs="宋体" w:eastAsia="宋体" w:hint="default"/>
                <w:sz w:val="21"/>
                <w:szCs w:val="21"/>
              </w:rPr>
            </w:pPr>
            <w:r>
              <w:rPr>
                <w:rFonts w:ascii="宋体"/>
                <w:sz w:val="21"/>
              </w:rPr>
              <w:t>330.57%</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8"/>
              <w:ind w:left="103" w:right="148"/>
              <w:jc w:val="left"/>
              <w:rPr>
                <w:rFonts w:ascii="宋体" w:hAnsi="宋体" w:cs="宋体" w:eastAsia="宋体" w:hint="default"/>
                <w:sz w:val="21"/>
                <w:szCs w:val="21"/>
              </w:rPr>
            </w:pPr>
            <w:r>
              <w:rPr>
                <w:rFonts w:ascii="宋体" w:hAnsi="宋体" w:cs="宋体" w:eastAsia="宋体" w:hint="default"/>
                <w:sz w:val="21"/>
                <w:szCs w:val="21"/>
              </w:rPr>
              <w:t>报告期取得借款所收到的现金较去年同期增 加</w:t>
            </w:r>
            <w:r>
              <w:rPr>
                <w:rFonts w:ascii="宋体" w:hAnsi="宋体" w:cs="宋体" w:eastAsia="宋体" w:hint="default"/>
                <w:spacing w:val="-54"/>
                <w:sz w:val="21"/>
                <w:szCs w:val="21"/>
              </w:rPr>
              <w:t> </w:t>
            </w:r>
            <w:r>
              <w:rPr>
                <w:rFonts w:ascii="宋体" w:hAnsi="宋体" w:cs="宋体" w:eastAsia="宋体" w:hint="default"/>
                <w:sz w:val="21"/>
                <w:szCs w:val="21"/>
              </w:rPr>
              <w:t>330.57%</w:t>
            </w:r>
            <w:r>
              <w:rPr>
                <w:rFonts w:ascii="宋体" w:hAnsi="宋体" w:cs="宋体" w:eastAsia="宋体" w:hint="default"/>
                <w:sz w:val="21"/>
                <w:szCs w:val="21"/>
              </w:rPr>
              <w:t>，主要系非同一控制下企业合并 江苏亿金公司现金流量表项目</w:t>
            </w:r>
            <w:r>
              <w:rPr>
                <w:rFonts w:ascii="宋体" w:hAnsi="宋体" w:cs="宋体" w:eastAsia="宋体" w:hint="default"/>
                <w:spacing w:val="-52"/>
                <w:sz w:val="21"/>
                <w:szCs w:val="21"/>
              </w:rPr>
              <w:t> </w:t>
            </w:r>
            <w:r>
              <w:rPr>
                <w:rFonts w:ascii="宋体" w:hAnsi="宋体" w:cs="宋体" w:eastAsia="宋体" w:hint="default"/>
                <w:sz w:val="21"/>
                <w:szCs w:val="21"/>
              </w:rPr>
              <w:t>10,770</w:t>
            </w:r>
            <w:r>
              <w:rPr>
                <w:rFonts w:ascii="宋体" w:hAnsi="宋体" w:cs="宋体" w:eastAsia="宋体" w:hint="default"/>
                <w:spacing w:val="-53"/>
                <w:sz w:val="21"/>
                <w:szCs w:val="21"/>
              </w:rPr>
              <w:t> </w:t>
            </w:r>
            <w:r>
              <w:rPr>
                <w:rFonts w:ascii="宋体" w:hAnsi="宋体" w:cs="宋体" w:eastAsia="宋体" w:hint="default"/>
                <w:sz w:val="21"/>
                <w:szCs w:val="21"/>
              </w:rPr>
              <w:t>万元 所致。</w:t>
            </w:r>
          </w:p>
        </w:tc>
      </w:tr>
    </w:tbl>
    <w:p>
      <w:pPr>
        <w:spacing w:after="0" w:line="273"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419" w:type="dxa"/>
        <w:tblLayout w:type="fixed"/>
        <w:tblCellMar>
          <w:top w:w="0" w:type="dxa"/>
          <w:left w:w="0" w:type="dxa"/>
          <w:bottom w:w="0" w:type="dxa"/>
          <w:right w:w="0" w:type="dxa"/>
        </w:tblCellMar>
        <w:tblLook w:val="01E0"/>
      </w:tblPr>
      <w:tblGrid>
        <w:gridCol w:w="1859"/>
        <w:gridCol w:w="1134"/>
        <w:gridCol w:w="1276"/>
        <w:gridCol w:w="992"/>
        <w:gridCol w:w="4253"/>
      </w:tblGrid>
      <w:tr>
        <w:trPr>
          <w:trHeight w:val="1406" w:hRule="exact"/>
        </w:trPr>
        <w:tc>
          <w:tcPr>
            <w:tcW w:w="185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0"/>
              <w:ind w:left="103" w:right="274"/>
              <w:jc w:val="left"/>
              <w:rPr>
                <w:rFonts w:ascii="宋体" w:hAnsi="宋体" w:cs="宋体" w:eastAsia="宋体" w:hint="default"/>
                <w:sz w:val="21"/>
                <w:szCs w:val="21"/>
              </w:rPr>
            </w:pPr>
            <w:r>
              <w:rPr>
                <w:rFonts w:ascii="宋体" w:hAnsi="宋体" w:cs="宋体" w:eastAsia="宋体" w:hint="default"/>
                <w:sz w:val="21"/>
                <w:szCs w:val="21"/>
              </w:rPr>
              <w:t>收到其他与筹资 活动有关的现金</w:t>
            </w:r>
          </w:p>
        </w:tc>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sz w:val="21"/>
              </w:rPr>
              <w:t>10,460,8</w:t>
            </w:r>
          </w:p>
          <w:p>
            <w:pPr>
              <w:pStyle w:val="TableParagraph"/>
              <w:spacing w:line="240" w:lineRule="auto" w:before="37"/>
              <w:ind w:right="0"/>
              <w:jc w:val="center"/>
              <w:rPr>
                <w:rFonts w:ascii="宋体" w:hAnsi="宋体" w:cs="宋体" w:eastAsia="宋体" w:hint="default"/>
                <w:sz w:val="21"/>
                <w:szCs w:val="21"/>
              </w:rPr>
            </w:pPr>
            <w:r>
              <w:rPr>
                <w:rFonts w:ascii="宋体"/>
                <w:sz w:val="21"/>
              </w:rPr>
              <w:t>44.00</w:t>
            </w:r>
          </w:p>
        </w:tc>
        <w:tc>
          <w:tcPr>
            <w:tcW w:w="12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#REF!</w:t>
            </w:r>
          </w:p>
        </w:tc>
        <w:tc>
          <w:tcPr>
            <w:tcW w:w="992" w:type="dxa"/>
            <w:tcBorders>
              <w:top w:val="single" w:sz="6" w:space="0" w:color="000000"/>
              <w:left w:val="single" w:sz="4" w:space="0" w:color="000000"/>
              <w:bottom w:val="single" w:sz="4" w:space="0" w:color="000000"/>
              <w:right w:val="single" w:sz="4" w:space="0" w:color="000000"/>
            </w:tcBorders>
          </w:tcPr>
          <w:p>
            <w:pPr/>
          </w:p>
        </w:tc>
        <w:tc>
          <w:tcPr>
            <w:tcW w:w="425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报告期收到其他与筹资活动有关的现金为 </w:t>
            </w:r>
            <w:r>
              <w:rPr>
                <w:rFonts w:ascii="宋体" w:hAnsi="宋体" w:cs="宋体" w:eastAsia="宋体" w:hint="default"/>
                <w:sz w:val="21"/>
                <w:szCs w:val="21"/>
              </w:rPr>
              <w:t>1,046.08</w:t>
            </w:r>
            <w:r>
              <w:rPr>
                <w:rFonts w:ascii="宋体" w:hAnsi="宋体" w:cs="宋体" w:eastAsia="宋体" w:hint="default"/>
                <w:spacing w:val="-59"/>
                <w:sz w:val="21"/>
                <w:szCs w:val="21"/>
              </w:rPr>
              <w:t> </w:t>
            </w:r>
            <w:r>
              <w:rPr>
                <w:rFonts w:ascii="宋体" w:hAnsi="宋体" w:cs="宋体" w:eastAsia="宋体" w:hint="default"/>
                <w:sz w:val="21"/>
                <w:szCs w:val="21"/>
              </w:rPr>
              <w:t>万元，主要系控股子公司江苏亿金 向非关联方资金拆借资金所致。</w:t>
            </w:r>
          </w:p>
        </w:tc>
      </w:tr>
      <w:tr>
        <w:trPr>
          <w:trHeight w:val="1406"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2"/>
              <w:ind w:left="103" w:right="274"/>
              <w:jc w:val="left"/>
              <w:rPr>
                <w:rFonts w:ascii="宋体" w:hAnsi="宋体" w:cs="宋体" w:eastAsia="宋体" w:hint="default"/>
                <w:sz w:val="21"/>
                <w:szCs w:val="21"/>
              </w:rPr>
            </w:pPr>
            <w:r>
              <w:rPr>
                <w:rFonts w:ascii="宋体" w:hAnsi="宋体" w:cs="宋体" w:eastAsia="宋体" w:hint="default"/>
                <w:sz w:val="21"/>
                <w:szCs w:val="21"/>
              </w:rPr>
              <w:t>筹资活动现金流 入小计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
              <w:jc w:val="center"/>
              <w:rPr>
                <w:rFonts w:ascii="宋体" w:hAnsi="宋体" w:cs="宋体" w:eastAsia="宋体" w:hint="default"/>
                <w:sz w:val="21"/>
                <w:szCs w:val="21"/>
              </w:rPr>
            </w:pPr>
            <w:r>
              <w:rPr>
                <w:rFonts w:ascii="宋体"/>
                <w:sz w:val="21"/>
              </w:rPr>
              <w:t>183,767,</w:t>
            </w:r>
          </w:p>
          <w:p>
            <w:pPr>
              <w:pStyle w:val="TableParagraph"/>
              <w:spacing w:line="240" w:lineRule="auto" w:before="37"/>
              <w:ind w:right="0"/>
              <w:jc w:val="center"/>
              <w:rPr>
                <w:rFonts w:ascii="宋体" w:hAnsi="宋体" w:cs="宋体" w:eastAsia="宋体" w:hint="default"/>
                <w:sz w:val="21"/>
                <w:szCs w:val="21"/>
              </w:rPr>
            </w:pPr>
            <w:r>
              <w:rPr>
                <w:rFonts w:ascii="宋体"/>
                <w:sz w:val="21"/>
              </w:rPr>
              <w:t>644.00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79,065,298</w:t>
            </w:r>
          </w:p>
          <w:p>
            <w:pPr>
              <w:pStyle w:val="TableParagraph"/>
              <w:spacing w:line="240" w:lineRule="auto" w:before="37"/>
              <w:ind w:right="0"/>
              <w:jc w:val="center"/>
              <w:rPr>
                <w:rFonts w:ascii="宋体" w:hAnsi="宋体" w:cs="宋体" w:eastAsia="宋体" w:hint="default"/>
                <w:sz w:val="21"/>
                <w:szCs w:val="21"/>
              </w:rPr>
            </w:pPr>
            <w:r>
              <w:rPr>
                <w:rFonts w:ascii="宋体"/>
                <w:sz w:val="21"/>
              </w:rPr>
              <w:t>.80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132.43%</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0"/>
              <w:ind w:left="103" w:right="146"/>
              <w:jc w:val="both"/>
              <w:rPr>
                <w:rFonts w:ascii="宋体" w:hAnsi="宋体" w:cs="宋体" w:eastAsia="宋体" w:hint="default"/>
                <w:sz w:val="21"/>
                <w:szCs w:val="21"/>
              </w:rPr>
            </w:pPr>
            <w:r>
              <w:rPr>
                <w:rFonts w:ascii="宋体" w:hAnsi="宋体" w:cs="宋体" w:eastAsia="宋体" w:hint="default"/>
                <w:sz w:val="21"/>
                <w:szCs w:val="21"/>
              </w:rPr>
              <w:t>报告期取得借款所收到的现金较去年同期增 加</w:t>
            </w:r>
            <w:r>
              <w:rPr>
                <w:rFonts w:ascii="宋体" w:hAnsi="宋体" w:cs="宋体" w:eastAsia="宋体" w:hint="default"/>
                <w:spacing w:val="-54"/>
                <w:sz w:val="21"/>
                <w:szCs w:val="21"/>
              </w:rPr>
              <w:t> </w:t>
            </w:r>
            <w:r>
              <w:rPr>
                <w:rFonts w:ascii="宋体" w:hAnsi="宋体" w:cs="宋体" w:eastAsia="宋体" w:hint="default"/>
                <w:sz w:val="21"/>
                <w:szCs w:val="21"/>
              </w:rPr>
              <w:t>132.43%</w:t>
            </w:r>
            <w:r>
              <w:rPr>
                <w:rFonts w:ascii="宋体" w:hAnsi="宋体" w:cs="宋体" w:eastAsia="宋体" w:hint="default"/>
                <w:sz w:val="21"/>
                <w:szCs w:val="21"/>
              </w:rPr>
              <w:t>，主要系非同一控制下企业合并 江苏亿金公司现金流量表项目</w:t>
            </w:r>
            <w:r>
              <w:rPr>
                <w:rFonts w:ascii="宋体" w:hAnsi="宋体" w:cs="宋体" w:eastAsia="宋体" w:hint="default"/>
                <w:spacing w:val="-52"/>
                <w:sz w:val="21"/>
                <w:szCs w:val="21"/>
              </w:rPr>
              <w:t> </w:t>
            </w:r>
            <w:r>
              <w:rPr>
                <w:rFonts w:ascii="宋体" w:hAnsi="宋体" w:cs="宋体" w:eastAsia="宋体" w:hint="default"/>
                <w:sz w:val="21"/>
                <w:szCs w:val="21"/>
              </w:rPr>
              <w:t>13,078.58</w:t>
            </w:r>
            <w:r>
              <w:rPr>
                <w:rFonts w:ascii="宋体" w:hAnsi="宋体" w:cs="宋体" w:eastAsia="宋体" w:hint="default"/>
                <w:spacing w:val="-52"/>
                <w:sz w:val="21"/>
                <w:szCs w:val="21"/>
              </w:rPr>
              <w:t> </w:t>
            </w:r>
            <w:r>
              <w:rPr>
                <w:rFonts w:ascii="宋体" w:hAnsi="宋体" w:cs="宋体" w:eastAsia="宋体" w:hint="default"/>
                <w:sz w:val="21"/>
                <w:szCs w:val="21"/>
              </w:rPr>
              <w:t>万 元所致。</w:t>
            </w:r>
          </w:p>
        </w:tc>
      </w:tr>
      <w:tr>
        <w:trPr>
          <w:trHeight w:val="140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1"/>
              <w:ind w:left="103" w:right="274"/>
              <w:jc w:val="left"/>
              <w:rPr>
                <w:rFonts w:ascii="宋体" w:hAnsi="宋体" w:cs="宋体" w:eastAsia="宋体" w:hint="default"/>
                <w:sz w:val="21"/>
                <w:szCs w:val="21"/>
              </w:rPr>
            </w:pPr>
            <w:r>
              <w:rPr>
                <w:rFonts w:ascii="宋体" w:hAnsi="宋体" w:cs="宋体" w:eastAsia="宋体" w:hint="default"/>
                <w:sz w:val="21"/>
                <w:szCs w:val="21"/>
              </w:rPr>
              <w:t>偿还债务所支付 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
              <w:jc w:val="center"/>
              <w:rPr>
                <w:rFonts w:ascii="宋体" w:hAnsi="宋体" w:cs="宋体" w:eastAsia="宋体" w:hint="default"/>
                <w:sz w:val="21"/>
                <w:szCs w:val="21"/>
              </w:rPr>
            </w:pPr>
            <w:r>
              <w:rPr>
                <w:rFonts w:ascii="宋体"/>
                <w:sz w:val="21"/>
              </w:rPr>
              <w:t>145,500,</w:t>
            </w:r>
          </w:p>
          <w:p>
            <w:pPr>
              <w:pStyle w:val="TableParagraph"/>
              <w:spacing w:line="240" w:lineRule="auto" w:before="37"/>
              <w:ind w:right="0"/>
              <w:jc w:val="center"/>
              <w:rPr>
                <w:rFonts w:ascii="宋体" w:hAnsi="宋体" w:cs="宋体" w:eastAsia="宋体" w:hint="default"/>
                <w:sz w:val="21"/>
                <w:szCs w:val="21"/>
              </w:rPr>
            </w:pPr>
            <w:r>
              <w:rPr>
                <w:rFonts w:ascii="宋体"/>
                <w:sz w:val="21"/>
              </w:rPr>
              <w:t>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sz w:val="21"/>
              </w:rPr>
              <w:t>41,000,000</w:t>
            </w:r>
          </w:p>
          <w:p>
            <w:pPr>
              <w:pStyle w:val="TableParagraph"/>
              <w:spacing w:line="240" w:lineRule="auto" w:before="37"/>
              <w:ind w:right="0"/>
              <w:jc w:val="center"/>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254.88%</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报告期偿还债务所支付的现金较去年同期增 加</w:t>
            </w:r>
            <w:r>
              <w:rPr>
                <w:rFonts w:ascii="宋体" w:hAnsi="宋体" w:cs="宋体" w:eastAsia="宋体" w:hint="default"/>
                <w:spacing w:val="-54"/>
                <w:sz w:val="21"/>
                <w:szCs w:val="21"/>
              </w:rPr>
              <w:t> </w:t>
            </w:r>
            <w:r>
              <w:rPr>
                <w:rFonts w:ascii="宋体" w:hAnsi="宋体" w:cs="宋体" w:eastAsia="宋体" w:hint="default"/>
                <w:sz w:val="21"/>
                <w:szCs w:val="21"/>
              </w:rPr>
              <w:t>254.88%</w:t>
            </w:r>
            <w:r>
              <w:rPr>
                <w:rFonts w:ascii="宋体" w:hAnsi="宋体" w:cs="宋体" w:eastAsia="宋体" w:hint="default"/>
                <w:sz w:val="21"/>
                <w:szCs w:val="21"/>
              </w:rPr>
              <w:t>，主要系归还短期银行借款增加 所致。</w:t>
            </w:r>
          </w:p>
        </w:tc>
      </w:tr>
      <w:tr>
        <w:trPr>
          <w:trHeight w:val="140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5"/>
                <w:sz w:val="21"/>
                <w:szCs w:val="21"/>
              </w:rPr>
              <w:t>分配股利、利润或</w:t>
            </w:r>
            <w:r>
              <w:rPr>
                <w:rFonts w:ascii="宋体" w:hAnsi="宋体" w:cs="宋体" w:eastAsia="宋体" w:hint="default"/>
                <w:sz w:val="21"/>
                <w:szCs w:val="21"/>
              </w:rPr>
              <w:t> 偿付利息所支付 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
              <w:jc w:val="center"/>
              <w:rPr>
                <w:rFonts w:ascii="宋体" w:hAnsi="宋体" w:cs="宋体" w:eastAsia="宋体" w:hint="default"/>
                <w:sz w:val="21"/>
                <w:szCs w:val="21"/>
              </w:rPr>
            </w:pPr>
            <w:r>
              <w:rPr>
                <w:rFonts w:ascii="宋体"/>
                <w:sz w:val="21"/>
              </w:rPr>
              <w:t>12,783,6</w:t>
            </w:r>
          </w:p>
          <w:p>
            <w:pPr>
              <w:pStyle w:val="TableParagraph"/>
              <w:spacing w:line="240" w:lineRule="auto" w:before="37"/>
              <w:ind w:right="0"/>
              <w:jc w:val="center"/>
              <w:rPr>
                <w:rFonts w:ascii="宋体" w:hAnsi="宋体" w:cs="宋体" w:eastAsia="宋体" w:hint="default"/>
                <w:sz w:val="21"/>
                <w:szCs w:val="21"/>
              </w:rPr>
            </w:pPr>
            <w:r>
              <w:rPr>
                <w:rFonts w:ascii="宋体"/>
                <w:sz w:val="21"/>
              </w:rPr>
              <w:t>75.60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sz w:val="21"/>
              </w:rPr>
              <w:t>2,557,276.</w:t>
            </w:r>
          </w:p>
          <w:p>
            <w:pPr>
              <w:pStyle w:val="TableParagraph"/>
              <w:spacing w:line="240" w:lineRule="auto" w:before="37"/>
              <w:ind w:left="1" w:right="0"/>
              <w:jc w:val="center"/>
              <w:rPr>
                <w:rFonts w:ascii="宋体" w:hAnsi="宋体" w:cs="宋体" w:eastAsia="宋体" w:hint="default"/>
                <w:sz w:val="21"/>
                <w:szCs w:val="21"/>
              </w:rPr>
            </w:pPr>
            <w:r>
              <w:rPr>
                <w:rFonts w:ascii="宋体"/>
                <w:sz w:val="21"/>
              </w:rPr>
              <w:t>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399.89%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9"/>
              <w:ind w:left="103" w:right="148"/>
              <w:jc w:val="both"/>
              <w:rPr>
                <w:rFonts w:ascii="宋体" w:hAnsi="宋体" w:cs="宋体" w:eastAsia="宋体" w:hint="default"/>
                <w:sz w:val="21"/>
                <w:szCs w:val="21"/>
              </w:rPr>
            </w:pPr>
            <w:r>
              <w:rPr>
                <w:rFonts w:ascii="宋体" w:hAnsi="宋体" w:cs="宋体" w:eastAsia="宋体" w:hint="default"/>
                <w:sz w:val="21"/>
                <w:szCs w:val="21"/>
              </w:rPr>
              <w:t>报告期分配股利、利润或偿付利息所支付的 现金较去年同期增加</w:t>
            </w:r>
            <w:r>
              <w:rPr>
                <w:rFonts w:ascii="宋体" w:hAnsi="宋体" w:cs="宋体" w:eastAsia="宋体" w:hint="default"/>
                <w:spacing w:val="-53"/>
                <w:sz w:val="21"/>
                <w:szCs w:val="21"/>
              </w:rPr>
              <w:t> </w:t>
            </w:r>
            <w:r>
              <w:rPr>
                <w:rFonts w:ascii="宋体" w:hAnsi="宋体" w:cs="宋体" w:eastAsia="宋体" w:hint="default"/>
                <w:sz w:val="21"/>
                <w:szCs w:val="21"/>
              </w:rPr>
              <w:t>399.89%</w:t>
            </w:r>
            <w:r>
              <w:rPr>
                <w:rFonts w:ascii="宋体" w:hAnsi="宋体" w:cs="宋体" w:eastAsia="宋体" w:hint="default"/>
                <w:sz w:val="21"/>
                <w:szCs w:val="21"/>
              </w:rPr>
              <w:t>，主要系本报 告期分派现金股利及支付短期借款增加导致 利息支出增加所致。</w:t>
            </w:r>
          </w:p>
        </w:tc>
      </w:tr>
      <w:tr>
        <w:trPr>
          <w:trHeight w:val="140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0"/>
              <w:ind w:left="103" w:right="274"/>
              <w:jc w:val="left"/>
              <w:rPr>
                <w:rFonts w:ascii="宋体" w:hAnsi="宋体" w:cs="宋体" w:eastAsia="宋体" w:hint="default"/>
                <w:sz w:val="21"/>
                <w:szCs w:val="21"/>
              </w:rPr>
            </w:pPr>
            <w:r>
              <w:rPr>
                <w:rFonts w:ascii="宋体" w:hAnsi="宋体" w:cs="宋体" w:eastAsia="宋体" w:hint="default"/>
                <w:sz w:val="21"/>
                <w:szCs w:val="21"/>
              </w:rPr>
              <w:t>支付其他与筹资 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sz w:val="21"/>
              </w:rPr>
              <w:t>21,765,2</w:t>
            </w:r>
          </w:p>
          <w:p>
            <w:pPr>
              <w:pStyle w:val="TableParagraph"/>
              <w:spacing w:line="240" w:lineRule="auto" w:before="37"/>
              <w:ind w:right="0"/>
              <w:jc w:val="center"/>
              <w:rPr>
                <w:rFonts w:ascii="宋体" w:hAnsi="宋体" w:cs="宋体" w:eastAsia="宋体" w:hint="default"/>
                <w:sz w:val="21"/>
                <w:szCs w:val="21"/>
              </w:rPr>
            </w:pPr>
            <w:r>
              <w:rPr>
                <w:rFonts w:ascii="宋体"/>
                <w:sz w:val="21"/>
              </w:rPr>
              <w:t>89.39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sz w:val="21"/>
              </w:rPr>
              <w:t>7,176,749.</w:t>
            </w:r>
          </w:p>
          <w:p>
            <w:pPr>
              <w:pStyle w:val="TableParagraph"/>
              <w:spacing w:line="240" w:lineRule="auto" w:before="37"/>
              <w:ind w:left="1" w:right="0"/>
              <w:jc w:val="center"/>
              <w:rPr>
                <w:rFonts w:ascii="宋体" w:hAnsi="宋体" w:cs="宋体" w:eastAsia="宋体" w:hint="default"/>
                <w:sz w:val="21"/>
                <w:szCs w:val="21"/>
              </w:rPr>
            </w:pPr>
            <w:r>
              <w:rPr>
                <w:rFonts w:ascii="宋体"/>
                <w:sz w:val="21"/>
              </w:rPr>
              <w:t>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203.28%</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报告期支付其他与筹资活动有关的现金较去 年同期增加</w:t>
            </w:r>
            <w:r>
              <w:rPr>
                <w:rFonts w:ascii="宋体" w:hAnsi="宋体" w:cs="宋体" w:eastAsia="宋体" w:hint="default"/>
                <w:spacing w:val="-54"/>
                <w:sz w:val="21"/>
                <w:szCs w:val="21"/>
              </w:rPr>
              <w:t> </w:t>
            </w:r>
            <w:r>
              <w:rPr>
                <w:rFonts w:ascii="宋体" w:hAnsi="宋体" w:cs="宋体" w:eastAsia="宋体" w:hint="default"/>
                <w:sz w:val="21"/>
                <w:szCs w:val="21"/>
              </w:rPr>
              <w:t>203.28%</w:t>
            </w:r>
            <w:r>
              <w:rPr>
                <w:rFonts w:ascii="宋体" w:hAnsi="宋体" w:cs="宋体" w:eastAsia="宋体" w:hint="default"/>
                <w:sz w:val="21"/>
                <w:szCs w:val="21"/>
              </w:rPr>
              <w:t>，主要系受限货币资金 增加所致。</w:t>
            </w:r>
          </w:p>
        </w:tc>
      </w:tr>
      <w:tr>
        <w:trPr>
          <w:trHeight w:val="1406"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0"/>
              <w:ind w:left="103" w:right="274"/>
              <w:jc w:val="left"/>
              <w:rPr>
                <w:rFonts w:ascii="宋体" w:hAnsi="宋体" w:cs="宋体" w:eastAsia="宋体" w:hint="default"/>
                <w:sz w:val="21"/>
                <w:szCs w:val="21"/>
              </w:rPr>
            </w:pPr>
            <w:r>
              <w:rPr>
                <w:rFonts w:ascii="宋体" w:hAnsi="宋体" w:cs="宋体" w:eastAsia="宋体" w:hint="default"/>
                <w:sz w:val="21"/>
                <w:szCs w:val="21"/>
              </w:rPr>
              <w:t>筹资活动现金流 出小计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sz w:val="21"/>
              </w:rPr>
              <w:t>180,048,</w:t>
            </w:r>
          </w:p>
          <w:p>
            <w:pPr>
              <w:pStyle w:val="TableParagraph"/>
              <w:spacing w:line="240" w:lineRule="auto" w:before="37"/>
              <w:ind w:right="0"/>
              <w:jc w:val="center"/>
              <w:rPr>
                <w:rFonts w:ascii="宋体" w:hAnsi="宋体" w:cs="宋体" w:eastAsia="宋体" w:hint="default"/>
                <w:sz w:val="21"/>
                <w:szCs w:val="21"/>
              </w:rPr>
            </w:pPr>
            <w:r>
              <w:rPr>
                <w:rFonts w:ascii="宋体"/>
                <w:sz w:val="21"/>
              </w:rPr>
              <w:t>964.99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sz w:val="21"/>
              </w:rPr>
              <w:t>50,734,026</w:t>
            </w:r>
          </w:p>
          <w:p>
            <w:pPr>
              <w:pStyle w:val="TableParagraph"/>
              <w:spacing w:line="240" w:lineRule="auto" w:before="37"/>
              <w:ind w:right="0"/>
              <w:jc w:val="center"/>
              <w:rPr>
                <w:rFonts w:ascii="宋体" w:hAnsi="宋体" w:cs="宋体" w:eastAsia="宋体" w:hint="default"/>
                <w:sz w:val="21"/>
                <w:szCs w:val="21"/>
              </w:rPr>
            </w:pPr>
            <w:r>
              <w:rPr>
                <w:rFonts w:ascii="宋体"/>
                <w:sz w:val="21"/>
              </w:rPr>
              <w:t>.12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254.89%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8"/>
              <w:ind w:left="103" w:right="148"/>
              <w:jc w:val="both"/>
              <w:rPr>
                <w:rFonts w:ascii="宋体" w:hAnsi="宋体" w:cs="宋体" w:eastAsia="宋体" w:hint="default"/>
                <w:sz w:val="21"/>
                <w:szCs w:val="21"/>
              </w:rPr>
            </w:pPr>
            <w:r>
              <w:rPr>
                <w:rFonts w:ascii="宋体" w:hAnsi="宋体" w:cs="宋体" w:eastAsia="宋体" w:hint="default"/>
                <w:sz w:val="21"/>
                <w:szCs w:val="21"/>
              </w:rPr>
              <w:t>报告期筹资活动现金流出小计较去年同期增 加</w:t>
            </w:r>
            <w:r>
              <w:rPr>
                <w:rFonts w:ascii="宋体" w:hAnsi="宋体" w:cs="宋体" w:eastAsia="宋体" w:hint="default"/>
                <w:spacing w:val="-54"/>
                <w:sz w:val="21"/>
                <w:szCs w:val="21"/>
              </w:rPr>
              <w:t> </w:t>
            </w:r>
            <w:r>
              <w:rPr>
                <w:rFonts w:ascii="宋体" w:hAnsi="宋体" w:cs="宋体" w:eastAsia="宋体" w:hint="default"/>
                <w:sz w:val="21"/>
                <w:szCs w:val="21"/>
              </w:rPr>
              <w:t>254.89%</w:t>
            </w:r>
            <w:r>
              <w:rPr>
                <w:rFonts w:ascii="宋体" w:hAnsi="宋体" w:cs="宋体" w:eastAsia="宋体" w:hint="default"/>
                <w:sz w:val="21"/>
                <w:szCs w:val="21"/>
              </w:rPr>
              <w:t>，主要系归还银行借款、分派现 金股利和支付短期借款利息以及受限货币资 金增加所致。</w:t>
            </w:r>
          </w:p>
        </w:tc>
      </w:tr>
      <w:tr>
        <w:trPr>
          <w:trHeight w:val="1570"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274"/>
              <w:jc w:val="left"/>
              <w:rPr>
                <w:rFonts w:ascii="宋体" w:hAnsi="宋体" w:cs="宋体" w:eastAsia="宋体" w:hint="default"/>
                <w:sz w:val="21"/>
                <w:szCs w:val="21"/>
              </w:rPr>
            </w:pPr>
            <w:r>
              <w:rPr>
                <w:rFonts w:ascii="宋体" w:hAnsi="宋体" w:cs="宋体" w:eastAsia="宋体" w:hint="default"/>
                <w:sz w:val="21"/>
                <w:szCs w:val="21"/>
              </w:rPr>
              <w:t>筹资活动产生的 现金流量净额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sz w:val="21"/>
              </w:rPr>
              <w:t>3,718,67</w:t>
            </w:r>
          </w:p>
          <w:p>
            <w:pPr>
              <w:pStyle w:val="TableParagraph"/>
              <w:spacing w:line="240" w:lineRule="auto" w:before="37"/>
              <w:ind w:right="1"/>
              <w:jc w:val="center"/>
              <w:rPr>
                <w:rFonts w:ascii="宋体" w:hAnsi="宋体" w:cs="宋体" w:eastAsia="宋体" w:hint="default"/>
                <w:sz w:val="21"/>
                <w:szCs w:val="21"/>
              </w:rPr>
            </w:pPr>
            <w:r>
              <w:rPr>
                <w:rFonts w:ascii="宋体"/>
                <w:sz w:val="21"/>
              </w:rPr>
              <w:t>9.01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28,331,272</w:t>
            </w:r>
          </w:p>
          <w:p>
            <w:pPr>
              <w:pStyle w:val="TableParagraph"/>
              <w:spacing w:line="240" w:lineRule="auto" w:before="37"/>
              <w:ind w:right="0"/>
              <w:jc w:val="center"/>
              <w:rPr>
                <w:rFonts w:ascii="宋体" w:hAnsi="宋体" w:cs="宋体" w:eastAsia="宋体" w:hint="default"/>
                <w:sz w:val="21"/>
                <w:szCs w:val="21"/>
              </w:rPr>
            </w:pPr>
            <w:r>
              <w:rPr>
                <w:rFonts w:ascii="宋体"/>
                <w:sz w:val="21"/>
              </w:rPr>
              <w:t>.68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0"/>
              <w:jc w:val="center"/>
              <w:rPr>
                <w:rFonts w:ascii="宋体" w:hAnsi="宋体" w:cs="宋体" w:eastAsia="宋体" w:hint="default"/>
                <w:sz w:val="21"/>
                <w:szCs w:val="21"/>
              </w:rPr>
            </w:pPr>
            <w:r>
              <w:rPr>
                <w:rFonts w:ascii="宋体"/>
                <w:sz w:val="21"/>
              </w:rPr>
              <w:t>-86.87%</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报告期筹资活动产生的现金流量净额较去年</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z w:val="21"/>
                <w:szCs w:val="21"/>
              </w:rPr>
              <w:t>同期减少</w:t>
            </w:r>
            <w:r>
              <w:rPr>
                <w:rFonts w:ascii="宋体" w:hAnsi="宋体" w:cs="宋体" w:eastAsia="宋体" w:hint="default"/>
                <w:spacing w:val="-59"/>
                <w:sz w:val="21"/>
                <w:szCs w:val="21"/>
              </w:rPr>
              <w:t> </w:t>
            </w:r>
            <w:r>
              <w:rPr>
                <w:rFonts w:ascii="宋体" w:hAnsi="宋体" w:cs="宋体" w:eastAsia="宋体" w:hint="default"/>
                <w:sz w:val="21"/>
                <w:szCs w:val="21"/>
              </w:rPr>
              <w:t>86.87%</w:t>
            </w:r>
            <w:r>
              <w:rPr>
                <w:rFonts w:ascii="宋体" w:hAnsi="宋体" w:cs="宋体" w:eastAsia="宋体" w:hint="default"/>
                <w:sz w:val="21"/>
                <w:szCs w:val="21"/>
              </w:rPr>
              <w:t>，主要系报告期少数股东增 资同比减少</w:t>
            </w:r>
            <w:r>
              <w:rPr>
                <w:rFonts w:ascii="宋体" w:hAnsi="宋体" w:cs="宋体" w:eastAsia="宋体" w:hint="default"/>
                <w:spacing w:val="-60"/>
                <w:sz w:val="21"/>
                <w:szCs w:val="21"/>
              </w:rPr>
              <w:t> </w:t>
            </w:r>
            <w:r>
              <w:rPr>
                <w:rFonts w:ascii="宋体" w:hAnsi="宋体" w:cs="宋体" w:eastAsia="宋体" w:hint="default"/>
                <w:sz w:val="21"/>
                <w:szCs w:val="21"/>
              </w:rPr>
              <w:t>48.70%</w:t>
            </w:r>
            <w:r>
              <w:rPr>
                <w:rFonts w:ascii="宋体" w:hAnsi="宋体" w:cs="宋体" w:eastAsia="宋体" w:hint="default"/>
                <w:sz w:val="21"/>
                <w:szCs w:val="21"/>
              </w:rPr>
              <w:t>，以及分派现金股利、支 付短期银行借款利息和受限货币资金支出导 致筹资净流入低于同期所致。</w:t>
            </w:r>
          </w:p>
        </w:tc>
      </w:tr>
      <w:tr>
        <w:trPr>
          <w:trHeight w:val="140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汇率变动对现金 及现金等价物的 影响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351" w:right="0"/>
              <w:jc w:val="left"/>
              <w:rPr>
                <w:rFonts w:ascii="宋体" w:hAnsi="宋体" w:cs="宋体" w:eastAsia="宋体" w:hint="default"/>
                <w:sz w:val="21"/>
                <w:szCs w:val="21"/>
              </w:rPr>
            </w:pPr>
            <w:r>
              <w:rPr>
                <w:rFonts w:ascii="宋体"/>
                <w:sz w:val="21"/>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21,714.48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sz w:val="21"/>
              </w:rPr>
              <w:t>-100.00</w:t>
            </w:r>
          </w:p>
          <w:p>
            <w:pPr>
              <w:pStyle w:val="TableParagraph"/>
              <w:spacing w:line="240" w:lineRule="auto" w:before="37"/>
              <w:ind w:right="0"/>
              <w:jc w:val="center"/>
              <w:rPr>
                <w:rFonts w:ascii="宋体" w:hAnsi="宋体" w:cs="宋体" w:eastAsia="宋体" w:hint="default"/>
                <w:sz w:val="21"/>
                <w:szCs w:val="21"/>
              </w:rPr>
            </w:pPr>
            <w:r>
              <w:rPr>
                <w:rFonts w:ascii="宋体"/>
                <w:sz w:val="21"/>
              </w:rPr>
              <w:t>%</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报告期汇率变动对现金及现金等价物的影响 较去年同期减少</w:t>
            </w:r>
            <w:r>
              <w:rPr>
                <w:rFonts w:ascii="宋体" w:hAnsi="宋体" w:cs="宋体" w:eastAsia="宋体" w:hint="default"/>
                <w:spacing w:val="-53"/>
                <w:sz w:val="21"/>
                <w:szCs w:val="21"/>
              </w:rPr>
              <w:t> </w:t>
            </w:r>
            <w:r>
              <w:rPr>
                <w:rFonts w:ascii="宋体" w:hAnsi="宋体" w:cs="宋体" w:eastAsia="宋体" w:hint="default"/>
                <w:sz w:val="21"/>
                <w:szCs w:val="21"/>
              </w:rPr>
              <w:t>100.00%</w:t>
            </w:r>
            <w:r>
              <w:rPr>
                <w:rFonts w:ascii="宋体" w:hAnsi="宋体" w:cs="宋体" w:eastAsia="宋体" w:hint="default"/>
                <w:sz w:val="21"/>
                <w:szCs w:val="21"/>
              </w:rPr>
              <w:t>，主要系以外币交 易的购销业务受汇率波动影响所致。</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203"/>
        <w:ind w:left="1440" w:right="1033"/>
        <w:jc w:val="left"/>
      </w:pPr>
      <w:r>
        <w:rPr/>
        <w:t>报告期内公司经营活动产生的现金净流量与本年度净利润存在重大差异的原因说明</w:t>
      </w:r>
    </w:p>
    <w:p>
      <w:pPr>
        <w:pStyle w:val="BodyText"/>
        <w:spacing w:line="240" w:lineRule="auto" w:before="114"/>
        <w:ind w:left="1440" w:right="1033"/>
        <w:jc w:val="left"/>
      </w:pPr>
      <w:r>
        <w:rPr/>
        <w:t>√适用 □不适用</w:t>
      </w:r>
    </w:p>
    <w:p>
      <w:pPr>
        <w:spacing w:line="240" w:lineRule="auto" w:before="10"/>
        <w:rPr>
          <w:rFonts w:ascii="宋体" w:hAnsi="宋体" w:cs="宋体" w:eastAsia="宋体" w:hint="default"/>
          <w:sz w:val="5"/>
          <w:szCs w:val="5"/>
        </w:rPr>
      </w:pPr>
    </w:p>
    <w:tbl>
      <w:tblPr>
        <w:tblW w:w="0" w:type="auto"/>
        <w:jc w:val="left"/>
        <w:tblInd w:w="1419" w:type="dxa"/>
        <w:tblLayout w:type="fixed"/>
        <w:tblCellMar>
          <w:top w:w="0" w:type="dxa"/>
          <w:left w:w="0" w:type="dxa"/>
          <w:bottom w:w="0" w:type="dxa"/>
          <w:right w:w="0" w:type="dxa"/>
        </w:tblCellMar>
        <w:tblLook w:val="01E0"/>
      </w:tblPr>
      <w:tblGrid>
        <w:gridCol w:w="6162"/>
        <w:gridCol w:w="3501"/>
      </w:tblGrid>
      <w:tr>
        <w:trPr>
          <w:trHeight w:val="450"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将净利润调节为经营活动现金流量：</w:t>
            </w:r>
          </w:p>
        </w:tc>
        <w:tc>
          <w:tcPr>
            <w:tcW w:w="35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z w:val="21"/>
              </w:rPr>
              <w:t>27,286,668.77</w:t>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z w:val="21"/>
              </w:rPr>
              <w:t>25,419,940.41</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tbl>
      <w:tblPr>
        <w:tblW w:w="0" w:type="auto"/>
        <w:jc w:val="left"/>
        <w:tblInd w:w="1419" w:type="dxa"/>
        <w:tblLayout w:type="fixed"/>
        <w:tblCellMar>
          <w:top w:w="0" w:type="dxa"/>
          <w:left w:w="0" w:type="dxa"/>
          <w:bottom w:w="0" w:type="dxa"/>
          <w:right w:w="0" w:type="dxa"/>
        </w:tblCellMar>
        <w:tblLook w:val="01E0"/>
      </w:tblPr>
      <w:tblGrid>
        <w:gridCol w:w="6162"/>
        <w:gridCol w:w="3501"/>
      </w:tblGrid>
      <w:tr>
        <w:trPr>
          <w:trHeight w:val="451" w:hRule="exact"/>
        </w:trPr>
        <w:tc>
          <w:tcPr>
            <w:tcW w:w="616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8"/>
              <w:ind w:left="524"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35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9,288,812.71</w:t>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5,715,055.21</w:t>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1,151,437.20</w:t>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1"/>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处置固定资产、无形资产和其他长期资产的损失（收益以</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填列）</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21"/>
                <w:szCs w:val="21"/>
              </w:rPr>
            </w:pPr>
            <w:r>
              <w:rPr>
                <w:rFonts w:ascii="Times New Roman"/>
                <w:sz w:val="21"/>
              </w:rPr>
              <w:t>24,726.41</w:t>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4"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填列）</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9,264,220.01</w:t>
            </w:r>
          </w:p>
        </w:tc>
      </w:tr>
      <w:tr>
        <w:trPr>
          <w:trHeight w:val="450"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4"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填列）</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3,412,475.36</w:t>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4" w:right="0"/>
              <w:jc w:val="left"/>
              <w:rPr>
                <w:rFonts w:ascii="宋体" w:hAnsi="宋体" w:cs="宋体" w:eastAsia="宋体" w:hint="default"/>
                <w:sz w:val="21"/>
                <w:szCs w:val="21"/>
              </w:rPr>
            </w:pPr>
            <w:r>
              <w:rPr>
                <w:rFonts w:ascii="宋体" w:hAnsi="宋体" w:cs="宋体" w:eastAsia="宋体" w:hint="default"/>
                <w:sz w:val="21"/>
                <w:szCs w:val="21"/>
              </w:rPr>
              <w:t>递延所得税资产的减少（增加以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填列）</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-2,648,886.16</w:t>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4" w:right="0"/>
              <w:jc w:val="left"/>
              <w:rPr>
                <w:rFonts w:ascii="宋体" w:hAnsi="宋体" w:cs="宋体" w:eastAsia="宋体" w:hint="default"/>
                <w:sz w:val="21"/>
                <w:szCs w:val="21"/>
              </w:rPr>
            </w:pPr>
            <w:r>
              <w:rPr>
                <w:rFonts w:ascii="宋体" w:hAnsi="宋体" w:cs="宋体" w:eastAsia="宋体" w:hint="default"/>
                <w:sz w:val="21"/>
                <w:szCs w:val="21"/>
              </w:rPr>
              <w:t>递延所得税负债的增加（减少以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填列）</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-2,022,659.47</w:t>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4"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填列）</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-48,818,298.74</w:t>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4"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填列）</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-159,211,346.92</w:t>
            </w:r>
          </w:p>
        </w:tc>
      </w:tr>
      <w:tr>
        <w:trPr>
          <w:trHeight w:val="449"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4"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填列）</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116,940,310.60</w:t>
            </w:r>
          </w:p>
        </w:tc>
      </w:tr>
      <w:tr>
        <w:trPr>
          <w:trHeight w:val="450" w:hRule="exact"/>
        </w:trPr>
        <w:tc>
          <w:tcPr>
            <w:tcW w:w="6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-14,197,544.61</w:t>
            </w:r>
          </w:p>
        </w:tc>
      </w:tr>
    </w:tbl>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Heading3"/>
        <w:spacing w:line="240" w:lineRule="auto" w:before="26"/>
        <w:ind w:left="1440" w:right="0"/>
        <w:jc w:val="left"/>
        <w:rPr>
          <w:b w:val="0"/>
          <w:bCs w:val="0"/>
        </w:rPr>
      </w:pPr>
      <w:r>
        <w:rPr>
          <w:w w:val="95"/>
        </w:rPr>
        <w:t>三、非主营业务情况</w:t>
      </w:r>
      <w:r>
        <w:rPr>
          <w:b w:val="0"/>
          <w:bCs w:val="0"/>
        </w:rPr>
      </w:r>
    </w:p>
    <w:p>
      <w:pPr>
        <w:pStyle w:val="BodyText"/>
        <w:spacing w:line="240" w:lineRule="auto" w:before="116"/>
        <w:ind w:left="1440" w:right="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0"/>
        <w:ind w:left="1419" w:right="1418"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060" w:bottom="1160" w:left="0" w:right="0"/>
          <w:cols w:num="2" w:equalWidth="0">
            <w:col w:w="3607" w:space="4580"/>
            <w:col w:w="3723"/>
          </w:cols>
        </w:sectPr>
      </w:pPr>
    </w:p>
    <w:p>
      <w:pPr>
        <w:spacing w:line="240" w:lineRule="auto" w:before="0"/>
        <w:rPr>
          <w:rFonts w:ascii="宋体" w:hAnsi="宋体" w:cs="宋体" w:eastAsia="宋体" w:hint="default"/>
          <w:sz w:val="7"/>
          <w:szCs w:val="7"/>
        </w:rPr>
      </w:pPr>
    </w:p>
    <w:tbl>
      <w:tblPr>
        <w:tblW w:w="0" w:type="auto"/>
        <w:jc w:val="left"/>
        <w:tblInd w:w="1446" w:type="dxa"/>
        <w:tblLayout w:type="fixed"/>
        <w:tblCellMar>
          <w:top w:w="0" w:type="dxa"/>
          <w:left w:w="0" w:type="dxa"/>
          <w:bottom w:w="0" w:type="dxa"/>
          <w:right w:w="0" w:type="dxa"/>
        </w:tblCellMar>
        <w:tblLook w:val="01E0"/>
      </w:tblPr>
      <w:tblGrid>
        <w:gridCol w:w="1512"/>
        <w:gridCol w:w="1917"/>
        <w:gridCol w:w="1623"/>
        <w:gridCol w:w="2876"/>
        <w:gridCol w:w="1631"/>
      </w:tblGrid>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2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05" w:right="73" w:hanging="630"/>
              <w:jc w:val="left"/>
              <w:rPr>
                <w:rFonts w:ascii="宋体" w:hAnsi="宋体" w:cs="宋体" w:eastAsia="宋体" w:hint="default"/>
                <w:sz w:val="21"/>
                <w:szCs w:val="21"/>
              </w:rPr>
            </w:pPr>
            <w:r>
              <w:rPr>
                <w:rFonts w:ascii="宋体" w:hAnsi="宋体" w:cs="宋体" w:eastAsia="宋体" w:hint="default"/>
                <w:sz w:val="21"/>
                <w:szCs w:val="21"/>
              </w:rPr>
              <w:t>是否具有可持续 性</w:t>
            </w:r>
          </w:p>
        </w:tc>
      </w:tr>
      <w:tr>
        <w:trPr>
          <w:trHeight w:val="393"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
        </w:tc>
        <w:tc>
          <w:tcPr>
            <w:tcW w:w="19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0"/>
              <w:jc w:val="right"/>
              <w:rPr>
                <w:rFonts w:ascii="宋体" w:hAnsi="宋体" w:cs="宋体" w:eastAsia="宋体" w:hint="default"/>
                <w:sz w:val="21"/>
                <w:szCs w:val="21"/>
              </w:rPr>
            </w:pPr>
            <w:r>
              <w:rPr>
                <w:rFonts w:ascii="宋体" w:hAnsi="宋体" w:cs="宋体" w:eastAsia="宋体" w:hint="default"/>
                <w:sz w:val="21"/>
                <w:szCs w:val="21"/>
              </w:rPr>
              <w:t>占利润总额比例</w:t>
            </w:r>
          </w:p>
        </w:tc>
        <w:tc>
          <w:tcPr>
            <w:tcW w:w="28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803" w:right="0"/>
              <w:jc w:val="left"/>
              <w:rPr>
                <w:rFonts w:ascii="宋体" w:hAnsi="宋体" w:cs="宋体" w:eastAsia="宋体" w:hint="default"/>
                <w:sz w:val="21"/>
                <w:szCs w:val="21"/>
              </w:rPr>
            </w:pPr>
            <w:r>
              <w:rPr>
                <w:rFonts w:ascii="宋体" w:hAnsi="宋体" w:cs="宋体" w:eastAsia="宋体" w:hint="default"/>
                <w:sz w:val="21"/>
                <w:szCs w:val="21"/>
              </w:rPr>
              <w:t>形成原因说明</w:t>
            </w:r>
          </w:p>
        </w:tc>
        <w:tc>
          <w:tcPr>
            <w:tcW w:w="1631" w:type="dxa"/>
            <w:vMerge/>
            <w:tcBorders>
              <w:left w:val="single" w:sz="4" w:space="0" w:color="000000"/>
              <w:right w:val="single" w:sz="4" w:space="0" w:color="000000"/>
            </w:tcBorders>
            <w:shd w:val="clear" w:color="auto" w:fill="D2D2D2"/>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2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03" w:right="0"/>
              <w:jc w:val="left"/>
              <w:rPr>
                <w:rFonts w:ascii="Times New Roman" w:hAnsi="Times New Roman" w:cs="Times New Roman" w:eastAsia="Times New Roman" w:hint="default"/>
                <w:sz w:val="21"/>
                <w:szCs w:val="21"/>
              </w:rPr>
            </w:pPr>
            <w:r>
              <w:rPr>
                <w:rFonts w:ascii="Times New Roman"/>
                <w:sz w:val="21"/>
              </w:rPr>
              <w:t>-3,412,475.36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72" w:right="0"/>
              <w:jc w:val="left"/>
              <w:rPr>
                <w:rFonts w:ascii="Times New Roman" w:hAnsi="Times New Roman" w:cs="Times New Roman" w:eastAsia="Times New Roman" w:hint="default"/>
                <w:sz w:val="21"/>
                <w:szCs w:val="21"/>
              </w:rPr>
            </w:pPr>
            <w:r>
              <w:rPr>
                <w:rFonts w:ascii="Times New Roman"/>
                <w:sz w:val="21"/>
              </w:rPr>
              <w:t>-10.56%</w:t>
            </w:r>
          </w:p>
        </w:tc>
        <w:tc>
          <w:tcPr>
            <w:tcW w:w="2876" w:type="dxa"/>
            <w:vMerge w:val="restart"/>
            <w:tcBorders>
              <w:top w:val="single" w:sz="4" w:space="0" w:color="000000"/>
              <w:left w:val="single" w:sz="4" w:space="0" w:color="000000"/>
              <w:right w:val="single" w:sz="4" w:space="0" w:color="000000"/>
            </w:tcBorders>
            <w:shd w:val="clear" w:color="auto" w:fill="CCE8CF"/>
          </w:tcPr>
          <w:p>
            <w:pPr>
              <w:pStyle w:val="TableParagraph"/>
              <w:spacing w:line="273" w:lineRule="auto" w:before="26"/>
              <w:ind w:left="23" w:right="111"/>
              <w:jc w:val="left"/>
              <w:rPr>
                <w:rFonts w:ascii="宋体" w:hAnsi="宋体" w:cs="宋体" w:eastAsia="宋体" w:hint="default"/>
                <w:sz w:val="21"/>
                <w:szCs w:val="21"/>
              </w:rPr>
            </w:pPr>
            <w:r>
              <w:rPr>
                <w:rFonts w:ascii="宋体" w:hAnsi="宋体" w:cs="宋体" w:eastAsia="宋体" w:hint="default"/>
                <w:sz w:val="21"/>
                <w:szCs w:val="21"/>
              </w:rPr>
              <w:t>联营公司上海虹港本期按参股 比例归属于公司的净利润</w:t>
            </w:r>
          </w:p>
        </w:tc>
        <w:tc>
          <w:tcPr>
            <w:tcW w:w="163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917"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876" w:type="dxa"/>
            <w:vMerge/>
            <w:tcBorders>
              <w:left w:val="single" w:sz="4" w:space="0" w:color="000000"/>
              <w:right w:val="single" w:sz="4" w:space="0" w:color="000000"/>
            </w:tcBorders>
            <w:shd w:val="clear" w:color="auto" w:fill="CCE8CF"/>
          </w:tcPr>
          <w:p>
            <w:pPr/>
          </w:p>
        </w:tc>
        <w:tc>
          <w:tcPr>
            <w:tcW w:w="1631" w:type="dxa"/>
            <w:vMerge/>
            <w:tcBorders>
              <w:left w:val="single" w:sz="4" w:space="0" w:color="000000"/>
              <w:right w:val="single" w:sz="4" w:space="0" w:color="000000"/>
            </w:tcBorders>
            <w:shd w:val="clear" w:color="auto" w:fill="CCE8CF"/>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876" w:type="dxa"/>
            <w:vMerge/>
            <w:tcBorders>
              <w:left w:val="single" w:sz="4" w:space="0" w:color="000000"/>
              <w:bottom w:val="single" w:sz="4" w:space="0" w:color="000000"/>
              <w:right w:val="single" w:sz="4" w:space="0" w:color="000000"/>
            </w:tcBorders>
            <w:shd w:val="clear" w:color="auto" w:fill="CCE8CF"/>
          </w:tcPr>
          <w:p>
            <w:pPr/>
          </w:p>
        </w:tc>
        <w:tc>
          <w:tcPr>
            <w:tcW w:w="1631" w:type="dxa"/>
            <w:vMerge/>
            <w:tcBorders>
              <w:left w:val="single" w:sz="4" w:space="0" w:color="000000"/>
              <w:bottom w:val="single" w:sz="4" w:space="0" w:color="000000"/>
              <w:right w:val="single" w:sz="4" w:space="0" w:color="000000"/>
            </w:tcBorders>
            <w:shd w:val="clear" w:color="auto" w:fill="CCE8CF"/>
          </w:tcPr>
          <w:p>
            <w:pP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669" w:right="0"/>
              <w:jc w:val="left"/>
              <w:rPr>
                <w:rFonts w:ascii="Times New Roman" w:hAnsi="Times New Roman" w:cs="Times New Roman" w:eastAsia="Times New Roman" w:hint="default"/>
                <w:sz w:val="21"/>
                <w:szCs w:val="21"/>
              </w:rPr>
            </w:pPr>
            <w:r>
              <w:rPr>
                <w:rFonts w:ascii="Times New Roman"/>
                <w:sz w:val="21"/>
              </w:rPr>
              <w:t>25,419,940.41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941" w:right="0"/>
              <w:jc w:val="left"/>
              <w:rPr>
                <w:rFonts w:ascii="Times New Roman" w:hAnsi="Times New Roman" w:cs="Times New Roman" w:eastAsia="Times New Roman" w:hint="default"/>
                <w:sz w:val="21"/>
                <w:szCs w:val="21"/>
              </w:rPr>
            </w:pPr>
            <w:r>
              <w:rPr>
                <w:rFonts w:ascii="Times New Roman"/>
                <w:sz w:val="21"/>
              </w:rPr>
              <w:t>78.65%</w:t>
            </w:r>
          </w:p>
        </w:tc>
        <w:tc>
          <w:tcPr>
            <w:tcW w:w="2876" w:type="dxa"/>
            <w:vMerge w:val="restart"/>
            <w:tcBorders>
              <w:top w:val="single" w:sz="4" w:space="0" w:color="000000"/>
              <w:left w:val="single" w:sz="4" w:space="0" w:color="000000"/>
              <w:right w:val="single" w:sz="4" w:space="0" w:color="000000"/>
            </w:tcBorders>
            <w:shd w:val="clear" w:color="auto" w:fill="CCE8CF"/>
          </w:tcPr>
          <w:p>
            <w:pPr>
              <w:pStyle w:val="TableParagraph"/>
              <w:spacing w:line="273" w:lineRule="auto" w:before="27"/>
              <w:ind w:left="23" w:right="111"/>
              <w:jc w:val="both"/>
              <w:rPr>
                <w:rFonts w:ascii="宋体" w:hAnsi="宋体" w:cs="宋体" w:eastAsia="宋体" w:hint="default"/>
                <w:sz w:val="21"/>
                <w:szCs w:val="21"/>
              </w:rPr>
            </w:pPr>
            <w:r>
              <w:rPr>
                <w:rFonts w:ascii="宋体" w:hAnsi="宋体" w:cs="宋体" w:eastAsia="宋体" w:hint="default"/>
                <w:sz w:val="21"/>
                <w:szCs w:val="21"/>
              </w:rPr>
              <w:t>计提应收账款坏账准备，其他 应收款坏账冲回，计提存货跌 价准备</w:t>
            </w:r>
          </w:p>
        </w:tc>
        <w:tc>
          <w:tcPr>
            <w:tcW w:w="163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917"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876" w:type="dxa"/>
            <w:vMerge/>
            <w:tcBorders>
              <w:left w:val="single" w:sz="4" w:space="0" w:color="000000"/>
              <w:right w:val="single" w:sz="4" w:space="0" w:color="000000"/>
            </w:tcBorders>
            <w:shd w:val="clear" w:color="auto" w:fill="CCE8CF"/>
          </w:tcPr>
          <w:p>
            <w:pPr/>
          </w:p>
        </w:tc>
        <w:tc>
          <w:tcPr>
            <w:tcW w:w="1631" w:type="dxa"/>
            <w:vMerge/>
            <w:tcBorders>
              <w:left w:val="single" w:sz="4" w:space="0" w:color="000000"/>
              <w:right w:val="single" w:sz="4" w:space="0" w:color="000000"/>
            </w:tcBorders>
            <w:shd w:val="clear" w:color="auto" w:fill="CCE8CF"/>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876" w:type="dxa"/>
            <w:vMerge/>
            <w:tcBorders>
              <w:left w:val="single" w:sz="4" w:space="0" w:color="000000"/>
              <w:bottom w:val="single" w:sz="4" w:space="0" w:color="000000"/>
              <w:right w:val="single" w:sz="4" w:space="0" w:color="000000"/>
            </w:tcBorders>
            <w:shd w:val="clear" w:color="auto" w:fill="CCE8CF"/>
          </w:tcPr>
          <w:p>
            <w:pPr/>
          </w:p>
        </w:tc>
        <w:tc>
          <w:tcPr>
            <w:tcW w:w="1631"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4,404,956.17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13.63%</w:t>
            </w:r>
          </w:p>
        </w:tc>
        <w:tc>
          <w:tcPr>
            <w:tcW w:w="28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收到政府补助</w:t>
            </w:r>
          </w:p>
        </w:tc>
        <w:tc>
          <w:tcPr>
            <w:tcW w:w="16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467,325.66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1.45%</w:t>
            </w:r>
          </w:p>
        </w:tc>
        <w:tc>
          <w:tcPr>
            <w:tcW w:w="287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6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448" w:lineRule="auto" w:before="26"/>
        <w:ind w:left="1440" w:right="6486"/>
        <w:jc w:val="left"/>
        <w:rPr>
          <w:b w:val="0"/>
          <w:bCs w:val="0"/>
        </w:rPr>
      </w:pPr>
      <w:bookmarkStart w:name="四、资产及负债状况" w:id="39"/>
      <w:bookmarkEnd w:id="39"/>
      <w:r>
        <w:rPr>
          <w:b w:val="0"/>
          <w:bCs w:val="0"/>
        </w:rPr>
      </w:r>
      <w:r>
        <w:rPr/>
        <w:t>四、资产及负债状况</w:t>
      </w:r>
      <w:r>
        <w:rPr>
          <w:w w:val="99"/>
        </w:rPr>
        <w:t> </w:t>
      </w:r>
      <w:bookmarkStart w:name="1、资产构成重大变动情况" w:id="40"/>
      <w:bookmarkEnd w:id="40"/>
      <w:r>
        <w:rPr>
          <w:w w:val="99"/>
        </w:rPr>
      </w:r>
      <w:r>
        <w:rPr>
          <w:rFonts w:ascii="宋体" w:hAnsi="宋体" w:cs="宋体" w:eastAsia="宋体" w:hint="default"/>
          <w:w w:val="95"/>
        </w:rPr>
        <w:t>1</w:t>
      </w:r>
      <w:r>
        <w:rPr>
          <w:w w:val="95"/>
        </w:rPr>
        <w:t>、资产构成重大变动情况</w:t>
      </w:r>
      <w:r>
        <w:rPr>
          <w:b w:val="0"/>
          <w:bCs w:val="0"/>
        </w:rPr>
      </w:r>
    </w:p>
    <w:p>
      <w:pPr>
        <w:spacing w:before="37"/>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46" w:type="dxa"/>
        <w:tblLayout w:type="fixed"/>
        <w:tblCellMar>
          <w:top w:w="0" w:type="dxa"/>
          <w:left w:w="0" w:type="dxa"/>
          <w:bottom w:w="0" w:type="dxa"/>
          <w:right w:w="0" w:type="dxa"/>
        </w:tblCellMar>
        <w:tblLook w:val="01E0"/>
      </w:tblPr>
      <w:tblGrid>
        <w:gridCol w:w="1357"/>
        <w:gridCol w:w="1164"/>
        <w:gridCol w:w="1064"/>
        <w:gridCol w:w="1195"/>
        <w:gridCol w:w="1063"/>
        <w:gridCol w:w="798"/>
        <w:gridCol w:w="2906"/>
      </w:tblGrid>
      <w:tr>
        <w:trPr>
          <w:trHeight w:val="206" w:hRule="exact"/>
        </w:trPr>
        <w:tc>
          <w:tcPr>
            <w:tcW w:w="1357"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6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2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6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6"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8" w:type="dxa"/>
            <w:gridSpan w:val="2"/>
            <w:vMerge/>
            <w:tcBorders>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87" w:right="78" w:hanging="210"/>
              <w:jc w:val="left"/>
              <w:rPr>
                <w:rFonts w:ascii="宋体" w:hAnsi="宋体" w:cs="宋体" w:eastAsia="宋体" w:hint="default"/>
                <w:sz w:val="21"/>
                <w:szCs w:val="21"/>
              </w:rPr>
            </w:pPr>
            <w:r>
              <w:rPr>
                <w:rFonts w:ascii="宋体" w:hAnsi="宋体" w:cs="宋体" w:eastAsia="宋体" w:hint="default"/>
                <w:sz w:val="21"/>
                <w:szCs w:val="21"/>
              </w:rPr>
              <w:t>比重增 减</w:t>
            </w:r>
          </w:p>
        </w:tc>
        <w:tc>
          <w:tcPr>
            <w:tcW w:w="2906"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315" w:right="106" w:hanging="210"/>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315" w:right="107" w:hanging="210"/>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798" w:type="dxa"/>
            <w:vMerge/>
            <w:tcBorders>
              <w:left w:val="single" w:sz="4" w:space="0" w:color="000000"/>
              <w:right w:val="single" w:sz="4" w:space="0" w:color="000000"/>
            </w:tcBorders>
            <w:shd w:val="clear" w:color="auto" w:fill="D2D2D2"/>
          </w:tcPr>
          <w:p>
            <w:pPr/>
          </w:p>
        </w:tc>
        <w:tc>
          <w:tcPr>
            <w:tcW w:w="29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82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906"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06"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06" w:type="dxa"/>
            <w:vMerge/>
            <w:tcBorders>
              <w:left w:val="single" w:sz="4" w:space="0" w:color="000000"/>
              <w:bottom w:val="single" w:sz="4" w:space="0" w:color="000000"/>
              <w:right w:val="single" w:sz="4" w:space="0" w:color="000000"/>
            </w:tcBorders>
            <w:shd w:val="clear" w:color="auto" w:fill="D2D2D2"/>
          </w:tcPr>
          <w:p>
            <w:pPr/>
          </w:p>
        </w:tc>
      </w:tr>
      <w:tr>
        <w:trPr>
          <w:trHeight w:val="29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117,452,334.</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7.43%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177,606,148.</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58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12.37%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52" w:right="0"/>
              <w:jc w:val="left"/>
              <w:rPr>
                <w:rFonts w:ascii="Times New Roman" w:hAnsi="Times New Roman" w:cs="Times New Roman" w:eastAsia="Times New Roman" w:hint="default"/>
                <w:sz w:val="21"/>
                <w:szCs w:val="21"/>
              </w:rPr>
            </w:pPr>
            <w:r>
              <w:rPr>
                <w:rFonts w:ascii="Times New Roman"/>
                <w:sz w:val="21"/>
              </w:rPr>
              <w:t>-4.94%</w:t>
            </w:r>
          </w:p>
        </w:tc>
        <w:tc>
          <w:tcPr>
            <w:tcW w:w="2906" w:type="dxa"/>
            <w:vMerge w:val="restart"/>
            <w:tcBorders>
              <w:top w:val="single" w:sz="4" w:space="0" w:color="000000"/>
              <w:left w:val="single" w:sz="4" w:space="0" w:color="000000"/>
              <w:right w:val="single" w:sz="4" w:space="0" w:color="000000"/>
            </w:tcBorders>
            <w:shd w:val="clear" w:color="auto" w:fill="CCE8CF"/>
          </w:tcPr>
          <w:p>
            <w:pPr>
              <w:pStyle w:val="TableParagraph"/>
              <w:spacing w:line="264" w:lineRule="auto" w:before="27"/>
              <w:ind w:left="23" w:right="9"/>
              <w:jc w:val="left"/>
              <w:rPr>
                <w:rFonts w:ascii="宋体" w:hAnsi="宋体" w:cs="宋体" w:eastAsia="宋体" w:hint="default"/>
                <w:sz w:val="21"/>
                <w:szCs w:val="21"/>
              </w:rPr>
            </w:pPr>
            <w:r>
              <w:rPr>
                <w:rFonts w:ascii="宋体" w:hAnsi="宋体" w:cs="宋体" w:eastAsia="宋体" w:hint="default"/>
                <w:sz w:val="21"/>
                <w:szCs w:val="21"/>
              </w:rPr>
              <w:t>报告期末货币资金较年初减少 </w:t>
            </w:r>
            <w:r>
              <w:rPr>
                <w:rFonts w:ascii="Times New Roman" w:hAnsi="Times New Roman" w:cs="Times New Roman" w:eastAsia="Times New Roman" w:hint="default"/>
                <w:spacing w:val="-6"/>
                <w:sz w:val="21"/>
                <w:szCs w:val="21"/>
              </w:rPr>
              <w:t>33.87%</w:t>
            </w:r>
            <w:r>
              <w:rPr>
                <w:rFonts w:ascii="宋体" w:hAnsi="宋体" w:cs="宋体" w:eastAsia="宋体" w:hint="default"/>
                <w:spacing w:val="-6"/>
                <w:sz w:val="21"/>
                <w:szCs w:val="21"/>
              </w:rPr>
              <w:t>，主要系控股子公司江苏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亿金公司募集项目投入资金及</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06" w:type="dxa"/>
            <w:vMerge/>
            <w:tcBorders>
              <w:left w:val="single" w:sz="4" w:space="0" w:color="000000"/>
              <w:right w:val="single" w:sz="4" w:space="0" w:color="000000"/>
            </w:tcBorders>
            <w:shd w:val="clear" w:color="auto" w:fill="CCE8CF"/>
          </w:tcPr>
          <w:p>
            <w:pPr/>
          </w:p>
        </w:tc>
      </w:tr>
      <w:tr>
        <w:trPr>
          <w:trHeight w:val="29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06" w:type="dxa"/>
            <w:vMerge/>
            <w:tcBorders>
              <w:left w:val="single" w:sz="4" w:space="0" w:color="000000"/>
              <w:bottom w:val="single" w:sz="4" w:space="0" w:color="000000"/>
              <w:right w:val="single" w:sz="4" w:space="0" w:color="000000"/>
            </w:tcBorders>
            <w:shd w:val="clear" w:color="auto" w:fill="CCE8CF"/>
          </w:tcPr>
          <w:p>
            <w:pPr/>
          </w:p>
        </w:tc>
      </w:tr>
    </w:tbl>
    <w:p>
      <w:pPr>
        <w:spacing w:after="0"/>
        <w:sectPr>
          <w:type w:val="continuous"/>
          <w:pgSz w:w="11910" w:h="16840"/>
          <w:pgMar w:top="1060" w:bottom="1160" w:left="0" w:right="0"/>
        </w:sectPr>
      </w:pPr>
    </w:p>
    <w:p>
      <w:pPr>
        <w:spacing w:line="240" w:lineRule="auto" w:before="7"/>
        <w:rPr>
          <w:rFonts w:ascii="宋体" w:hAnsi="宋体" w:cs="宋体" w:eastAsia="宋体" w:hint="default"/>
          <w:sz w:val="2"/>
          <w:szCs w:val="2"/>
        </w:rPr>
      </w:pPr>
    </w:p>
    <w:tbl>
      <w:tblPr>
        <w:tblW w:w="0" w:type="auto"/>
        <w:jc w:val="left"/>
        <w:tblInd w:w="1435" w:type="dxa"/>
        <w:tblLayout w:type="fixed"/>
        <w:tblCellMar>
          <w:top w:w="0" w:type="dxa"/>
          <w:left w:w="0" w:type="dxa"/>
          <w:bottom w:w="0" w:type="dxa"/>
          <w:right w:w="0" w:type="dxa"/>
        </w:tblCellMar>
        <w:tblLook w:val="01E0"/>
      </w:tblPr>
      <w:tblGrid>
        <w:gridCol w:w="1368"/>
        <w:gridCol w:w="1164"/>
        <w:gridCol w:w="1064"/>
        <w:gridCol w:w="1195"/>
        <w:gridCol w:w="1063"/>
        <w:gridCol w:w="798"/>
        <w:gridCol w:w="2918"/>
      </w:tblGrid>
      <w:tr>
        <w:trPr>
          <w:trHeight w:val="1622" w:hRule="exact"/>
        </w:trPr>
        <w:tc>
          <w:tcPr>
            <w:tcW w:w="1368"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10" w:space="0" w:color="000000"/>
              <w:left w:val="single" w:sz="4" w:space="0" w:color="000000"/>
              <w:bottom w:val="single" w:sz="4" w:space="0" w:color="000000"/>
              <w:right w:val="single" w:sz="4" w:space="0" w:color="000000"/>
            </w:tcBorders>
          </w:tcPr>
          <w:p>
            <w:pPr/>
          </w:p>
        </w:tc>
        <w:tc>
          <w:tcPr>
            <w:tcW w:w="1064"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2918" w:type="dxa"/>
            <w:tcBorders>
              <w:top w:val="single" w:sz="10" w:space="0" w:color="000000"/>
              <w:left w:val="single" w:sz="4" w:space="0" w:color="000000"/>
              <w:bottom w:val="single" w:sz="4" w:space="0" w:color="000000"/>
              <w:right w:val="single" w:sz="4" w:space="0" w:color="000000"/>
            </w:tcBorders>
            <w:shd w:val="clear" w:color="auto" w:fill="CCE8CF"/>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6"/>
                <w:sz w:val="21"/>
                <w:szCs w:val="21"/>
              </w:rPr>
              <w:t>增资、公司投资参股上海国富光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启云计算科技股份有限公司以 及支付西区绿色精密环境产业 基地建设土地款及预付工程款 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657,358,969.</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41.57%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594,642,451.</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41.41%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0.16%</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9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1"/>
              <w:jc w:val="right"/>
              <w:rPr>
                <w:rFonts w:ascii="Times New Roman" w:hAnsi="Times New Roman" w:cs="Times New Roman" w:eastAsia="Times New Roman" w:hint="default"/>
                <w:sz w:val="21"/>
                <w:szCs w:val="21"/>
              </w:rPr>
            </w:pPr>
            <w:r>
              <w:rPr>
                <w:rFonts w:ascii="Times New Roman"/>
                <w:sz w:val="21"/>
              </w:rPr>
              <w:t>268,966,784.</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17.01%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1"/>
              <w:jc w:val="right"/>
              <w:rPr>
                <w:rFonts w:ascii="Times New Roman" w:hAnsi="Times New Roman" w:cs="Times New Roman" w:eastAsia="Times New Roman" w:hint="default"/>
                <w:sz w:val="21"/>
                <w:szCs w:val="21"/>
              </w:rPr>
            </w:pPr>
            <w:r>
              <w:rPr>
                <w:rFonts w:ascii="Times New Roman"/>
                <w:sz w:val="21"/>
              </w:rPr>
              <w:t>220,157,136.</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15.33%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1.68%</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61" w:lineRule="auto" w:before="26"/>
              <w:ind w:left="23" w:right="24"/>
              <w:jc w:val="left"/>
              <w:rPr>
                <w:rFonts w:ascii="宋体" w:hAnsi="宋体" w:cs="宋体" w:eastAsia="宋体" w:hint="default"/>
                <w:sz w:val="21"/>
                <w:szCs w:val="21"/>
              </w:rPr>
            </w:pPr>
            <w:r>
              <w:rPr>
                <w:rFonts w:ascii="宋体" w:hAnsi="宋体" w:cs="宋体" w:eastAsia="宋体" w:hint="default"/>
                <w:sz w:val="21"/>
                <w:szCs w:val="21"/>
              </w:rPr>
              <w:t>本公司签订了工程总承包业务 合同，</w:t>
            </w:r>
            <w:r>
              <w:rPr>
                <w:rFonts w:ascii="宋体" w:hAnsi="宋体" w:cs="宋体" w:eastAsia="宋体" w:hint="default"/>
                <w:sz w:val="22"/>
                <w:szCs w:val="22"/>
              </w:rPr>
              <w:t>属新增业务，其收入确</w:t>
            </w:r>
            <w:r>
              <w:rPr>
                <w:rFonts w:ascii="宋体" w:hAnsi="宋体" w:cs="宋体" w:eastAsia="宋体" w:hint="default"/>
                <w:w w:val="99"/>
                <w:sz w:val="22"/>
                <w:szCs w:val="22"/>
              </w:rPr>
              <w:t> </w:t>
            </w:r>
            <w:r>
              <w:rPr>
                <w:rFonts w:ascii="宋体" w:hAnsi="宋体" w:cs="宋体" w:eastAsia="宋体" w:hint="default"/>
                <w:sz w:val="22"/>
                <w:szCs w:val="22"/>
              </w:rPr>
              <w:t>认适用《企业会计准则第</w:t>
            </w:r>
            <w:r>
              <w:rPr>
                <w:rFonts w:ascii="宋体" w:hAnsi="宋体" w:cs="宋体" w:eastAsia="宋体" w:hint="default"/>
                <w:spacing w:val="-2"/>
                <w:sz w:val="22"/>
                <w:szCs w:val="22"/>
              </w:rPr>
              <w:t> </w:t>
            </w:r>
            <w:r>
              <w:rPr>
                <w:rFonts w:ascii="宋体" w:hAnsi="宋体" w:cs="宋体" w:eastAsia="宋体" w:hint="default"/>
                <w:sz w:val="22"/>
                <w:szCs w:val="22"/>
              </w:rPr>
              <w:t>15</w:t>
            </w:r>
            <w:r>
              <w:rPr>
                <w:rFonts w:ascii="宋体" w:hAnsi="宋体" w:cs="宋体" w:eastAsia="宋体" w:hint="default"/>
                <w:w w:val="99"/>
                <w:sz w:val="22"/>
                <w:szCs w:val="22"/>
              </w:rPr>
              <w:t> </w:t>
            </w:r>
            <w:r>
              <w:rPr>
                <w:rFonts w:ascii="宋体" w:hAnsi="宋体" w:cs="宋体" w:eastAsia="宋体" w:hint="default"/>
                <w:sz w:val="22"/>
                <w:szCs w:val="22"/>
              </w:rPr>
              <w:t>号——建造合同》的收入确认</w:t>
            </w:r>
            <w:r>
              <w:rPr>
                <w:rFonts w:ascii="宋体" w:hAnsi="宋体" w:cs="宋体" w:eastAsia="宋体" w:hint="default"/>
                <w:w w:val="99"/>
                <w:sz w:val="22"/>
                <w:szCs w:val="22"/>
              </w:rPr>
              <w:t> </w:t>
            </w:r>
            <w:r>
              <w:rPr>
                <w:rFonts w:ascii="宋体" w:hAnsi="宋体" w:cs="宋体" w:eastAsia="宋体" w:hint="default"/>
                <w:sz w:val="22"/>
                <w:szCs w:val="22"/>
              </w:rPr>
              <w:t>原则，报告期末</w:t>
            </w:r>
            <w:r>
              <w:rPr>
                <w:rFonts w:ascii="宋体" w:hAnsi="宋体" w:cs="宋体" w:eastAsia="宋体" w:hint="default"/>
                <w:sz w:val="21"/>
                <w:szCs w:val="21"/>
              </w:rPr>
              <w:t>工程施工余额</w:t>
            </w:r>
            <w:r>
              <w:rPr>
                <w:rFonts w:ascii="宋体" w:hAnsi="宋体" w:cs="宋体" w:eastAsia="宋体" w:hint="default"/>
                <w:sz w:val="21"/>
                <w:szCs w:val="21"/>
              </w:rPr>
              <w:t> 为</w:t>
            </w:r>
            <w:r>
              <w:rPr>
                <w:rFonts w:ascii="宋体" w:hAnsi="宋体" w:cs="宋体" w:eastAsia="宋体" w:hint="default"/>
                <w:spacing w:val="-54"/>
                <w:sz w:val="21"/>
                <w:szCs w:val="21"/>
              </w:rPr>
              <w:t> </w:t>
            </w:r>
            <w:r>
              <w:rPr>
                <w:rFonts w:ascii="宋体" w:hAnsi="宋体" w:cs="宋体" w:eastAsia="宋体" w:hint="default"/>
                <w:sz w:val="21"/>
                <w:szCs w:val="21"/>
              </w:rPr>
              <w:t>7,056.4</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10,605,082.4</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10,177,032.7</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-0.04%</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12,237,286.5</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21"/>
                <w:szCs w:val="21"/>
              </w:rPr>
            </w:pPr>
            <w:r>
              <w:rPr>
                <w:rFonts w:ascii="Times New Roman"/>
                <w:sz w:val="21"/>
              </w:rPr>
              <w:t>9,769,490.26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0.09%</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94,583,288.8</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96,524,203.6</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-0.74%</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58,753,916.2</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58,274,224.2</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-0.34%</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135,700,000.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130,500,000.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-0.51%</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8"/>
        <w:ind w:left="1440" w:right="1033"/>
        <w:jc w:val="left"/>
        <w:rPr>
          <w:b w:val="0"/>
          <w:bCs w:val="0"/>
        </w:rPr>
      </w:pPr>
      <w:bookmarkStart w:name="2、以公允价值计量的资产和负债" w:id="41"/>
      <w:bookmarkEnd w:id="41"/>
      <w:r>
        <w:rPr>
          <w:b w:val="0"/>
          <w:bCs w:val="0"/>
        </w:rPr>
      </w:r>
      <w:r>
        <w:rPr>
          <w:rFonts w:ascii="宋体" w:hAnsi="宋体" w:cs="宋体" w:eastAsia="宋体" w:hint="default"/>
        </w:rPr>
        <w:t>2</w:t>
      </w:r>
      <w:r>
        <w:rPr/>
        <w:t>、以公允价值计量的资产和负债</w:t>
      </w:r>
      <w:r>
        <w:rPr>
          <w:b w:val="0"/>
          <w:bCs w:val="0"/>
        </w:rPr>
      </w:r>
    </w:p>
    <w:p>
      <w:pPr>
        <w:spacing w:line="240" w:lineRule="auto" w:before="10"/>
        <w:rPr>
          <w:rFonts w:ascii="宋体" w:hAnsi="宋体" w:cs="宋体" w:eastAsia="宋体" w:hint="default"/>
          <w:b/>
          <w:bCs/>
          <w:sz w:val="34"/>
          <w:szCs w:val="34"/>
        </w:rPr>
      </w:pPr>
    </w:p>
    <w:p>
      <w:pPr>
        <w:pStyle w:val="BodyText"/>
        <w:spacing w:line="240" w:lineRule="auto"/>
        <w:ind w:left="1440" w:right="1033"/>
        <w:jc w:val="left"/>
      </w:pPr>
      <w:r>
        <w:rPr/>
        <w:t>√ 适用 □ 不适用</w:t>
      </w:r>
    </w:p>
    <w:p>
      <w:pPr>
        <w:spacing w:line="240" w:lineRule="auto" w:before="2"/>
        <w:rPr>
          <w:rFonts w:ascii="宋体" w:hAnsi="宋体" w:cs="宋体" w:eastAsia="宋体" w:hint="default"/>
          <w:sz w:val="9"/>
          <w:szCs w:val="9"/>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46" w:type="dxa"/>
        <w:tblLayout w:type="fixed"/>
        <w:tblCellMar>
          <w:top w:w="0" w:type="dxa"/>
          <w:left w:w="0" w:type="dxa"/>
          <w:bottom w:w="0" w:type="dxa"/>
          <w:right w:w="0" w:type="dxa"/>
        </w:tblCellMar>
        <w:tblLook w:val="01E0"/>
      </w:tblPr>
      <w:tblGrid>
        <w:gridCol w:w="1208"/>
        <w:gridCol w:w="1219"/>
        <w:gridCol w:w="1208"/>
        <w:gridCol w:w="1213"/>
        <w:gridCol w:w="1213"/>
        <w:gridCol w:w="1214"/>
        <w:gridCol w:w="1074"/>
        <w:gridCol w:w="1212"/>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5" w:right="75"/>
              <w:jc w:val="center"/>
              <w:rPr>
                <w:rFonts w:ascii="宋体" w:hAnsi="宋体" w:cs="宋体" w:eastAsia="宋体" w:hint="default"/>
                <w:sz w:val="21"/>
                <w:szCs w:val="21"/>
              </w:rPr>
            </w:pPr>
            <w:r>
              <w:rPr>
                <w:rFonts w:ascii="宋体" w:hAnsi="宋体" w:cs="宋体" w:eastAsia="宋体" w:hint="default"/>
                <w:sz w:val="21"/>
                <w:szCs w:val="21"/>
              </w:rPr>
              <w:t>计入权益的 累计公允价 值变动</w:t>
            </w: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9" w:right="76"/>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213" w:type="dxa"/>
            <w:vMerge/>
            <w:tcBorders>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92" w:right="74" w:hanging="316"/>
              <w:jc w:val="left"/>
              <w:rPr>
                <w:rFonts w:ascii="宋体" w:hAnsi="宋体" w:cs="宋体" w:eastAsia="宋体" w:hint="default"/>
                <w:sz w:val="21"/>
                <w:szCs w:val="21"/>
              </w:rPr>
            </w:pPr>
            <w:r>
              <w:rPr>
                <w:rFonts w:ascii="宋体" w:hAnsi="宋体" w:cs="宋体" w:eastAsia="宋体" w:hint="default"/>
                <w:sz w:val="21"/>
                <w:szCs w:val="21"/>
              </w:rPr>
              <w:t>本期计提的 减值</w:t>
            </w:r>
          </w:p>
        </w:tc>
        <w:tc>
          <w:tcPr>
            <w:tcW w:w="121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95" w:right="76" w:hanging="420"/>
              <w:jc w:val="left"/>
              <w:rPr>
                <w:rFonts w:ascii="宋体" w:hAnsi="宋体" w:cs="宋体" w:eastAsia="宋体" w:hint="default"/>
                <w:sz w:val="21"/>
                <w:szCs w:val="21"/>
              </w:rPr>
            </w:pPr>
            <w:r>
              <w:rPr>
                <w:rFonts w:ascii="宋体" w:hAnsi="宋体" w:cs="宋体" w:eastAsia="宋体" w:hint="default"/>
                <w:sz w:val="21"/>
                <w:szCs w:val="21"/>
              </w:rPr>
              <w:t>本期购买金 额</w:t>
            </w:r>
          </w:p>
        </w:tc>
        <w:tc>
          <w:tcPr>
            <w:tcW w:w="107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23" w:right="108" w:hanging="210"/>
              <w:jc w:val="left"/>
              <w:rPr>
                <w:rFonts w:ascii="宋体" w:hAnsi="宋体" w:cs="宋体" w:eastAsia="宋体" w:hint="default"/>
                <w:sz w:val="21"/>
                <w:szCs w:val="21"/>
              </w:rPr>
            </w:pPr>
            <w:r>
              <w:rPr>
                <w:rFonts w:ascii="宋体" w:hAnsi="宋体" w:cs="宋体" w:eastAsia="宋体" w:hint="default"/>
                <w:sz w:val="21"/>
                <w:szCs w:val="21"/>
              </w:rPr>
              <w:t>本期出售 金额</w:t>
            </w: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395"/>
              <w:jc w:val="right"/>
              <w:rPr>
                <w:rFonts w:ascii="宋体" w:hAnsi="宋体" w:cs="宋体" w:eastAsia="宋体" w:hint="default"/>
                <w:sz w:val="21"/>
                <w:szCs w:val="21"/>
              </w:rPr>
            </w:pPr>
            <w:r>
              <w:rPr>
                <w:rFonts w:ascii="宋体" w:hAnsi="宋体" w:cs="宋体" w:eastAsia="宋体" w:hint="default"/>
                <w:sz w:val="21"/>
                <w:szCs w:val="21"/>
              </w:rPr>
              <w:t>项目</w:t>
            </w: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8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08"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14" w:type="dxa"/>
            <w:vMerge/>
            <w:tcBorders>
              <w:left w:val="single" w:sz="4" w:space="0" w:color="000000"/>
              <w:right w:val="single" w:sz="4" w:space="0" w:color="000000"/>
            </w:tcBorders>
            <w:shd w:val="clear" w:color="auto" w:fill="D2D2D2"/>
          </w:tcPr>
          <w:p>
            <w:pPr/>
          </w:p>
        </w:tc>
        <w:tc>
          <w:tcPr>
            <w:tcW w:w="1074" w:type="dxa"/>
            <w:vMerge/>
            <w:tcBorders>
              <w:left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8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345"/>
              <w:jc w:val="right"/>
              <w:rPr>
                <w:rFonts w:ascii="宋体" w:hAnsi="宋体" w:cs="宋体" w:eastAsia="宋体" w:hint="default"/>
                <w:sz w:val="21"/>
                <w:szCs w:val="21"/>
              </w:rPr>
            </w:pPr>
            <w:r>
              <w:rPr>
                <w:rFonts w:ascii="宋体" w:hAnsi="宋体" w:cs="宋体" w:eastAsia="宋体" w:hint="default"/>
                <w:sz w:val="21"/>
                <w:szCs w:val="21"/>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35"/>
              <w:jc w:val="left"/>
              <w:rPr>
                <w:rFonts w:ascii="宋体" w:hAnsi="宋体" w:cs="宋体" w:eastAsia="宋体" w:hint="default"/>
                <w:sz w:val="21"/>
                <w:szCs w:val="21"/>
              </w:rPr>
            </w:pPr>
            <w:r>
              <w:rPr>
                <w:rFonts w:ascii="宋体" w:hAnsi="宋体" w:cs="宋体" w:eastAsia="宋体" w:hint="default"/>
                <w:sz w:val="21"/>
                <w:szCs w:val="21"/>
              </w:rPr>
              <w:t>可供出售金 融资产</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7"/>
              <w:jc w:val="right"/>
              <w:rPr>
                <w:rFonts w:ascii="宋体" w:hAnsi="宋体" w:cs="宋体" w:eastAsia="宋体" w:hint="default"/>
                <w:sz w:val="21"/>
                <w:szCs w:val="21"/>
              </w:rPr>
            </w:pPr>
            <w:r>
              <w:rPr>
                <w:rFonts w:ascii="宋体"/>
                <w:sz w:val="21"/>
              </w:rPr>
              <w:t>2,891,345.5</w:t>
            </w:r>
          </w:p>
          <w:p>
            <w:pPr>
              <w:pStyle w:val="TableParagraph"/>
              <w:spacing w:line="240" w:lineRule="auto" w:before="37"/>
              <w:ind w:right="27"/>
              <w:jc w:val="right"/>
              <w:rPr>
                <w:rFonts w:ascii="宋体" w:hAnsi="宋体" w:cs="宋体" w:eastAsia="宋体" w:hint="default"/>
                <w:sz w:val="21"/>
                <w:szCs w:val="21"/>
              </w:rPr>
            </w:pPr>
            <w:r>
              <w:rPr>
                <w:rFonts w:ascii="宋体"/>
                <w:sz w:val="21"/>
              </w:rPr>
              <w:t>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3,395,539.5</w:t>
            </w:r>
          </w:p>
          <w:p>
            <w:pPr>
              <w:pStyle w:val="TableParagraph"/>
              <w:spacing w:line="240" w:lineRule="auto" w:before="37"/>
              <w:ind w:right="21"/>
              <w:jc w:val="right"/>
              <w:rPr>
                <w:rFonts w:ascii="宋体" w:hAnsi="宋体" w:cs="宋体" w:eastAsia="宋体" w:hint="default"/>
                <w:sz w:val="21"/>
                <w:szCs w:val="21"/>
              </w:rPr>
            </w:pPr>
            <w:r>
              <w:rPr>
                <w:rFonts w:ascii="宋体"/>
                <w:sz w:val="21"/>
              </w:rPr>
              <w:t>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764,800.01</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6,286,885.</w:t>
            </w:r>
          </w:p>
          <w:p>
            <w:pPr>
              <w:pStyle w:val="TableParagraph"/>
              <w:spacing w:line="240" w:lineRule="auto" w:before="37"/>
              <w:ind w:right="20"/>
              <w:jc w:val="right"/>
              <w:rPr>
                <w:rFonts w:ascii="宋体" w:hAnsi="宋体" w:cs="宋体" w:eastAsia="宋体" w:hint="default"/>
                <w:sz w:val="21"/>
                <w:szCs w:val="21"/>
              </w:rPr>
            </w:pPr>
            <w:r>
              <w:rPr>
                <w:rFonts w:ascii="宋体"/>
                <w:sz w:val="21"/>
              </w:rPr>
              <w:t>17</w:t>
            </w: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10" w:space="0" w:color="D2D2D2"/>
              <w:right w:val="single" w:sz="4" w:space="0" w:color="000000"/>
            </w:tcBorders>
          </w:tcPr>
          <w:p>
            <w:pPr>
              <w:pStyle w:val="TableParagraph"/>
              <w:spacing w:line="240" w:lineRule="auto" w:before="26"/>
              <w:ind w:right="27"/>
              <w:jc w:val="right"/>
              <w:rPr>
                <w:rFonts w:ascii="宋体" w:hAnsi="宋体" w:cs="宋体" w:eastAsia="宋体" w:hint="default"/>
                <w:sz w:val="21"/>
                <w:szCs w:val="21"/>
              </w:rPr>
            </w:pPr>
            <w:r>
              <w:rPr>
                <w:rFonts w:ascii="宋体"/>
                <w:sz w:val="21"/>
              </w:rPr>
              <w:t>2,891,345.5</w:t>
            </w:r>
          </w:p>
          <w:p>
            <w:pPr>
              <w:pStyle w:val="TableParagraph"/>
              <w:spacing w:line="240" w:lineRule="auto" w:before="37"/>
              <w:ind w:right="27"/>
              <w:jc w:val="right"/>
              <w:rPr>
                <w:rFonts w:ascii="宋体" w:hAnsi="宋体" w:cs="宋体" w:eastAsia="宋体" w:hint="default"/>
                <w:sz w:val="21"/>
                <w:szCs w:val="21"/>
              </w:rPr>
            </w:pPr>
            <w:r>
              <w:rPr>
                <w:rFonts w:ascii="宋体"/>
                <w:sz w:val="21"/>
              </w:rPr>
              <w:t>8</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3,395,539.5</w:t>
            </w:r>
          </w:p>
          <w:p>
            <w:pPr>
              <w:pStyle w:val="TableParagraph"/>
              <w:spacing w:line="240" w:lineRule="auto" w:before="37"/>
              <w:ind w:right="21"/>
              <w:jc w:val="right"/>
              <w:rPr>
                <w:rFonts w:ascii="宋体" w:hAnsi="宋体" w:cs="宋体" w:eastAsia="宋体" w:hint="default"/>
                <w:sz w:val="21"/>
                <w:szCs w:val="21"/>
              </w:rPr>
            </w:pPr>
            <w:r>
              <w:rPr>
                <w:rFonts w:ascii="宋体"/>
                <w:sz w:val="21"/>
              </w:rPr>
              <w:t>9</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764,800.01</w:t>
            </w:r>
          </w:p>
        </w:tc>
        <w:tc>
          <w:tcPr>
            <w:tcW w:w="1213" w:type="dxa"/>
            <w:vMerge w:val="restart"/>
            <w:tcBorders>
              <w:top w:val="single" w:sz="4" w:space="0" w:color="000000"/>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c>
          <w:tcPr>
            <w:tcW w:w="1074"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6,286,885.</w:t>
            </w:r>
          </w:p>
          <w:p>
            <w:pPr>
              <w:pStyle w:val="TableParagraph"/>
              <w:spacing w:line="240" w:lineRule="auto" w:before="37"/>
              <w:ind w:right="20"/>
              <w:jc w:val="right"/>
              <w:rPr>
                <w:rFonts w:ascii="宋体" w:hAnsi="宋体" w:cs="宋体" w:eastAsia="宋体" w:hint="default"/>
                <w:sz w:val="21"/>
                <w:szCs w:val="21"/>
              </w:rPr>
            </w:pPr>
            <w:r>
              <w:rPr>
                <w:rFonts w:ascii="宋体"/>
                <w:sz w:val="21"/>
              </w:rPr>
              <w:t>17</w:t>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345"/>
              <w:jc w:val="right"/>
              <w:rPr>
                <w:rFonts w:ascii="宋体" w:hAnsi="宋体" w:cs="宋体" w:eastAsia="宋体" w:hint="default"/>
                <w:sz w:val="21"/>
                <w:szCs w:val="21"/>
              </w:rPr>
            </w:pPr>
            <w:r>
              <w:rPr>
                <w:rFonts w:ascii="宋体" w:hAnsi="宋体" w:cs="宋体" w:eastAsia="宋体" w:hint="default"/>
                <w:sz w:val="21"/>
                <w:szCs w:val="21"/>
              </w:rPr>
              <w:t>上述合计</w:t>
            </w:r>
          </w:p>
        </w:tc>
        <w:tc>
          <w:tcPr>
            <w:tcW w:w="1219" w:type="dxa"/>
            <w:vMerge/>
            <w:tcBorders>
              <w:left w:val="single" w:sz="10" w:space="0" w:color="D2D2D2"/>
              <w:right w:val="single" w:sz="4" w:space="0" w:color="000000"/>
            </w:tcBorders>
          </w:tcPr>
          <w:p>
            <w:pPr/>
          </w:p>
        </w:tc>
        <w:tc>
          <w:tcPr>
            <w:tcW w:w="1208"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10" w:space="0" w:color="D2D2D2"/>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074"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45"/>
              <w:jc w:val="right"/>
              <w:rPr>
                <w:rFonts w:ascii="宋体" w:hAnsi="宋体" w:cs="宋体" w:eastAsia="宋体" w:hint="default"/>
                <w:sz w:val="21"/>
                <w:szCs w:val="21"/>
              </w:rPr>
            </w:pPr>
            <w:r>
              <w:rPr>
                <w:rFonts w:ascii="宋体" w:hAnsi="宋体" w:cs="宋体" w:eastAsia="宋体" w:hint="default"/>
                <w:sz w:val="21"/>
                <w:szCs w:val="21"/>
              </w:rPr>
              <w:t>金融负债</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747" w:right="0"/>
              <w:jc w:val="left"/>
              <w:rPr>
                <w:rFonts w:ascii="宋体" w:hAnsi="宋体" w:cs="宋体" w:eastAsia="宋体" w:hint="default"/>
                <w:sz w:val="21"/>
                <w:szCs w:val="21"/>
              </w:rPr>
            </w:pPr>
            <w:r>
              <w:rPr>
                <w:rFonts w:ascii="宋体"/>
                <w:sz w:val="21"/>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53" w:right="0"/>
              <w:jc w:val="left"/>
              <w:rPr>
                <w:rFonts w:ascii="宋体" w:hAnsi="宋体" w:cs="宋体" w:eastAsia="宋体" w:hint="default"/>
                <w:sz w:val="21"/>
                <w:szCs w:val="21"/>
              </w:rPr>
            </w:pPr>
            <w:r>
              <w:rPr>
                <w:rFonts w:ascii="宋体"/>
                <w:sz w:val="21"/>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60" w:right="0"/>
              <w:jc w:val="left"/>
              <w:rPr>
                <w:rFonts w:ascii="宋体" w:hAnsi="宋体" w:cs="宋体" w:eastAsia="宋体" w:hint="default"/>
                <w:sz w:val="21"/>
                <w:szCs w:val="21"/>
              </w:rPr>
            </w:pPr>
            <w:r>
              <w:rPr>
                <w:rFonts w:ascii="宋体"/>
                <w:sz w:val="21"/>
              </w:rPr>
              <w:t>0.00</w:t>
            </w:r>
          </w:p>
        </w:tc>
        <w:tc>
          <w:tcPr>
            <w:tcW w:w="107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58" w:right="0"/>
              <w:jc w:val="lef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pStyle w:val="BodyText"/>
        <w:spacing w:line="240" w:lineRule="auto" w:before="172"/>
        <w:ind w:left="1440" w:right="1033"/>
        <w:jc w:val="left"/>
      </w:pPr>
      <w:r>
        <w:rPr/>
        <w:t>报告期内公司主要资产计量属性是否发生重大变化</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spacing w:line="448" w:lineRule="auto" w:before="35"/>
        <w:ind w:left="1440" w:right="8113" w:firstLine="0"/>
        <w:jc w:val="left"/>
        <w:rPr>
          <w:rFonts w:ascii="宋体" w:hAnsi="宋体" w:cs="宋体" w:eastAsia="宋体" w:hint="default"/>
          <w:sz w:val="24"/>
          <w:szCs w:val="24"/>
        </w:rPr>
      </w:pPr>
      <w:r>
        <w:rPr>
          <w:rFonts w:ascii="宋体" w:hAnsi="宋体" w:cs="宋体" w:eastAsia="宋体" w:hint="default"/>
          <w:sz w:val="24"/>
          <w:szCs w:val="24"/>
        </w:rPr>
        <w:t>□ 是 √否 </w:t>
      </w:r>
      <w:bookmarkStart w:name="五、投资状况分析" w:id="42"/>
      <w:bookmarkEnd w:id="42"/>
      <w:r>
        <w:rPr>
          <w:rFonts w:ascii="宋体" w:hAnsi="宋体" w:cs="宋体" w:eastAsia="宋体" w:hint="default"/>
          <w:sz w:val="24"/>
          <w:szCs w:val="24"/>
        </w:rPr>
      </w:r>
      <w:r>
        <w:rPr>
          <w:rFonts w:ascii="宋体" w:hAnsi="宋体" w:cs="宋体" w:eastAsia="宋体" w:hint="default"/>
          <w:b/>
          <w:bCs/>
          <w:sz w:val="24"/>
          <w:szCs w:val="24"/>
        </w:rPr>
        <w:t>五、投资状况分析</w:t>
      </w:r>
      <w:r>
        <w:rPr>
          <w:rFonts w:ascii="宋体" w:hAnsi="宋体" w:cs="宋体" w:eastAsia="宋体" w:hint="default"/>
          <w:sz w:val="24"/>
          <w:szCs w:val="24"/>
        </w:rPr>
      </w:r>
    </w:p>
    <w:p>
      <w:pPr>
        <w:pStyle w:val="Heading3"/>
        <w:spacing w:line="240" w:lineRule="auto" w:before="168"/>
        <w:ind w:left="1440" w:right="1033"/>
        <w:jc w:val="left"/>
        <w:rPr>
          <w:b w:val="0"/>
          <w:bCs w:val="0"/>
        </w:rPr>
      </w:pPr>
      <w:bookmarkStart w:name="1、总体情况" w:id="43"/>
      <w:bookmarkEnd w:id="43"/>
      <w:r>
        <w:rPr>
          <w:b w:val="0"/>
          <w:bCs w:val="0"/>
        </w:rPr>
      </w:r>
      <w:r>
        <w:rPr>
          <w:rFonts w:ascii="宋体" w:hAnsi="宋体" w:cs="宋体" w:eastAsia="宋体" w:hint="default"/>
        </w:rPr>
        <w:t>1</w:t>
      </w:r>
      <w:r>
        <w:rPr/>
        <w:t>、总体情况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1440" w:right="1033"/>
        <w:jc w:val="left"/>
      </w:pPr>
      <w:r>
        <w:rPr/>
        <w:t>√ 适用 □ 不适用</w:t>
      </w:r>
    </w:p>
    <w:p>
      <w:pPr>
        <w:spacing w:line="240" w:lineRule="auto" w:before="2"/>
        <w:rPr>
          <w:rFonts w:ascii="宋体" w:hAnsi="宋体" w:cs="宋体" w:eastAsia="宋体" w:hint="default"/>
          <w:sz w:val="9"/>
          <w:szCs w:val="9"/>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35"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3"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0"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2" w:right="0"/>
              <w:jc w:val="left"/>
              <w:rPr>
                <w:rFonts w:ascii="Times New Roman" w:hAnsi="Times New Roman" w:cs="Times New Roman" w:eastAsia="Times New Roman" w:hint="default"/>
                <w:sz w:val="21"/>
                <w:szCs w:val="21"/>
              </w:rPr>
            </w:pPr>
            <w:r>
              <w:rPr>
                <w:rFonts w:ascii="Times New Roman"/>
                <w:sz w:val="21"/>
              </w:rPr>
              <w:t>77550191.24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46" w:right="0"/>
              <w:jc w:val="left"/>
              <w:rPr>
                <w:rFonts w:ascii="Times New Roman" w:hAnsi="Times New Roman" w:cs="Times New Roman" w:eastAsia="Times New Roman" w:hint="default"/>
                <w:sz w:val="21"/>
                <w:szCs w:val="21"/>
              </w:rPr>
            </w:pPr>
            <w:r>
              <w:rPr>
                <w:rFonts w:ascii="Times New Roman"/>
                <w:sz w:val="21"/>
              </w:rPr>
              <w:t>149,718,175.41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-48.20%</w:t>
            </w:r>
            <w:r>
              <w:rPr>
                <w:rFonts w:ascii="Times New Roman"/>
                <w:sz w:val="21"/>
              </w:rPr>
            </w:r>
          </w:p>
        </w:tc>
      </w:tr>
    </w:tbl>
    <w:p>
      <w:pPr>
        <w:spacing w:line="240" w:lineRule="auto" w:before="2"/>
        <w:rPr>
          <w:rFonts w:ascii="宋体" w:hAnsi="宋体" w:cs="宋体" w:eastAsia="宋体" w:hint="default"/>
          <w:sz w:val="18"/>
          <w:szCs w:val="18"/>
        </w:rPr>
      </w:pPr>
    </w:p>
    <w:p>
      <w:pPr>
        <w:pStyle w:val="Heading3"/>
        <w:spacing w:line="240" w:lineRule="auto" w:before="26"/>
        <w:ind w:left="1440" w:right="1033"/>
        <w:jc w:val="left"/>
        <w:rPr>
          <w:b w:val="0"/>
          <w:bCs w:val="0"/>
        </w:rPr>
      </w:pPr>
      <w:bookmarkStart w:name="2、报告期内获取的重大的股权投资情况" w:id="44"/>
      <w:bookmarkEnd w:id="44"/>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11"/>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747" w:footer="979" w:top="1060" w:bottom="1160" w:left="0" w:right="0"/>
        </w:sectPr>
      </w:pPr>
    </w:p>
    <w:p>
      <w:pPr>
        <w:pStyle w:val="BodyText"/>
        <w:spacing w:line="240" w:lineRule="auto" w:before="26"/>
        <w:ind w:left="1440" w:right="-2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6"/>
          <w:szCs w:val="16"/>
        </w:rPr>
      </w:pPr>
    </w:p>
    <w:p>
      <w:pPr>
        <w:spacing w:before="0"/>
        <w:ind w:left="1419" w:right="1418"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060" w:bottom="1160" w:left="0" w:right="0"/>
          <w:cols w:num="2" w:equalWidth="0">
            <w:col w:w="3481" w:space="4707"/>
            <w:col w:w="372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44"/>
        <w:ind w:left="0" w:right="836" w:firstLine="0"/>
        <w:jc w:val="right"/>
        <w:rPr>
          <w:rFonts w:ascii="宋体" w:hAnsi="宋体" w:cs="宋体" w:eastAsia="宋体" w:hint="default"/>
          <w:sz w:val="18"/>
          <w:szCs w:val="18"/>
        </w:rPr>
      </w:pPr>
      <w:r>
        <w:rPr/>
        <w:pict>
          <v:shape style="position:absolute;margin-left:71.760002pt;margin-top:-228.26828pt;width:478.45pt;height:283.7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71"/>
                  </w:tblGrid>
                  <w:tr>
                    <w:trPr>
                      <w:trHeight w:val="1021"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5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7" w:hRule="exact"/>
                    </w:trPr>
                    <w:tc>
                      <w:tcPr>
                        <w:tcW w:w="6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111"/>
                          <w:jc w:val="both"/>
                          <w:rPr>
                            <w:rFonts w:ascii="宋体" w:hAnsi="宋体" w:cs="宋体" w:eastAsia="宋体" w:hint="default"/>
                            <w:sz w:val="18"/>
                            <w:szCs w:val="18"/>
                          </w:rPr>
                        </w:pPr>
                        <w:r>
                          <w:rPr>
                            <w:rFonts w:ascii="宋体" w:hAnsi="宋体" w:cs="宋体" w:eastAsia="宋体" w:hint="default"/>
                            <w:sz w:val="18"/>
                            <w:szCs w:val="18"/>
                          </w:rPr>
                          <w:t>上海国 富光启 云计算 科技股 份有限 公司</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云计算 基础设 施服务 及技术 开发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88"/>
                          <w:jc w:val="righ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2" w:right="108"/>
                          <w:jc w:val="both"/>
                          <w:rPr>
                            <w:rFonts w:ascii="宋体" w:hAnsi="宋体" w:cs="宋体" w:eastAsia="宋体" w:hint="default"/>
                            <w:sz w:val="18"/>
                            <w:szCs w:val="18"/>
                          </w:rPr>
                        </w:pPr>
                        <w:r>
                          <w:rPr>
                            <w:rFonts w:ascii="宋体" w:hAnsi="宋体" w:cs="宋体" w:eastAsia="宋体" w:hint="default"/>
                            <w:sz w:val="18"/>
                            <w:szCs w:val="18"/>
                          </w:rPr>
                          <w:t>上海国 富光启 其他股 东</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信息数 据领域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2,955,7</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98"/>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2"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2015011</w:t>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013</w:t>
                        </w:r>
                        <w:r>
                          <w:rPr>
                            <w:rFonts w:ascii="宋体" w:hAnsi="宋体" w:cs="宋体" w:eastAsia="宋体" w:hint="default"/>
                            <w:sz w:val="18"/>
                            <w:szCs w:val="18"/>
                          </w:rPr>
                          <w:t>）</w:t>
                        </w:r>
                      </w:p>
                    </w:tc>
                  </w:tr>
                  <w:tr>
                    <w:trPr>
                      <w:trHeight w:val="1962" w:hRule="exact"/>
                    </w:trPr>
                    <w:tc>
                      <w:tcPr>
                        <w:tcW w:w="6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四川康 为嘉信 息技术 有限公 司</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both"/>
                          <w:rPr>
                            <w:rFonts w:ascii="宋体" w:hAnsi="宋体" w:cs="宋体" w:eastAsia="宋体" w:hint="default"/>
                            <w:sz w:val="18"/>
                            <w:szCs w:val="18"/>
                          </w:rPr>
                        </w:pPr>
                        <w:r>
                          <w:rPr>
                            <w:rFonts w:ascii="宋体" w:hAnsi="宋体" w:cs="宋体" w:eastAsia="宋体" w:hint="default"/>
                            <w:sz w:val="18"/>
                            <w:szCs w:val="18"/>
                          </w:rPr>
                          <w:t>计算机 系统集 成及技 术开发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88"/>
                          <w:jc w:val="right"/>
                          <w:rPr>
                            <w:rFonts w:ascii="宋体" w:hAnsi="宋体" w:cs="宋体" w:eastAsia="宋体" w:hint="default"/>
                            <w:sz w:val="18"/>
                            <w:szCs w:val="18"/>
                          </w:rPr>
                        </w:pPr>
                        <w:r>
                          <w:rPr>
                            <w:rFonts w:ascii="宋体" w:hAnsi="宋体" w:cs="宋体" w:eastAsia="宋体" w:hint="default"/>
                            <w:sz w:val="18"/>
                            <w:szCs w:val="18"/>
                          </w:rPr>
                          <w:t>新设</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李志、 深圳高 鸿盛投 资咨询 有限公 司</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信息数 据领域</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pacing w:val="28"/>
                            <w:sz w:val="18"/>
                            <w:szCs w:val="18"/>
                          </w:rPr>
                          <w:t>巨潮资</w:t>
                        </w:r>
                        <w:r>
                          <w:rPr>
                            <w:rFonts w:ascii="宋体" w:hAnsi="宋体" w:cs="宋体" w:eastAsia="宋体" w:hint="default"/>
                            <w:spacing w:val="-47"/>
                            <w:sz w:val="18"/>
                            <w:szCs w:val="18"/>
                          </w:rPr>
                          <w:t> </w:t>
                        </w:r>
                        <w:r>
                          <w:rPr>
                            <w:rFonts w:ascii="宋体" w:hAnsi="宋体" w:cs="宋体" w:eastAsia="宋体" w:hint="default"/>
                            <w:sz w:val="18"/>
                            <w:szCs w:val="18"/>
                          </w:rPr>
                          <w:t>讯 </w:t>
                        </w:r>
                        <w:r>
                          <w:rPr>
                            <w:rFonts w:ascii="宋体" w:hAnsi="宋体" w:cs="宋体" w:eastAsia="宋体" w:hint="default"/>
                            <w:spacing w:val="86"/>
                            <w:sz w:val="18"/>
                            <w:szCs w:val="18"/>
                          </w:rPr>
                          <w:t> </w:t>
                        </w:r>
                        <w:r>
                          <w:rPr>
                            <w:rFonts w:ascii="宋体" w:hAnsi="宋体" w:cs="宋体" w:eastAsia="宋体" w:hint="default"/>
                            <w:sz w:val="18"/>
                            <w:szCs w:val="18"/>
                          </w:rPr>
                          <w:t>网</w:t>
                        </w:r>
                      </w:p>
                      <w:p>
                        <w:pPr>
                          <w:pStyle w:val="TableParagraph"/>
                          <w:spacing w:line="338" w:lineRule="auto" w:before="19"/>
                          <w:ind w:left="22" w:right="-31"/>
                          <w:jc w:val="both"/>
                          <w:rPr>
                            <w:rFonts w:ascii="Times New Roman" w:hAnsi="Times New Roman" w:cs="Times New Roman" w:eastAsia="Times New Roman" w:hint="default"/>
                            <w:sz w:val="18"/>
                            <w:szCs w:val="18"/>
                          </w:rPr>
                        </w:pPr>
                        <w:r>
                          <w:rPr>
                            <w:rFonts w:ascii="宋体" w:hAnsi="宋体" w:cs="宋体" w:eastAsia="宋体" w:hint="default"/>
                            <w:spacing w:val="28"/>
                            <w:sz w:val="18"/>
                            <w:szCs w:val="18"/>
                          </w:rPr>
                          <w:t>（公告</w:t>
                        </w:r>
                        <w:r>
                          <w:rPr>
                            <w:rFonts w:ascii="宋体" w:hAnsi="宋体" w:cs="宋体" w:eastAsia="宋体" w:hint="default"/>
                            <w:spacing w:val="-47"/>
                            <w:sz w:val="18"/>
                            <w:szCs w:val="18"/>
                          </w:rPr>
                          <w:t> </w:t>
                        </w:r>
                        <w:r>
                          <w:rPr>
                            <w:rFonts w:ascii="宋体" w:hAnsi="宋体" w:cs="宋体" w:eastAsia="宋体" w:hint="default"/>
                            <w:spacing w:val="28"/>
                            <w:sz w:val="18"/>
                            <w:szCs w:val="18"/>
                          </w:rPr>
                          <w:t>编号：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201502</w:t>
                        </w:r>
                      </w:p>
                      <w:p>
                        <w:pPr>
                          <w:pStyle w:val="TableParagraph"/>
                          <w:spacing w:line="234" w:lineRule="exact"/>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023</w:t>
                        </w: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2,955,7</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3"/>
        <w:spacing w:line="240" w:lineRule="auto" w:before="26"/>
        <w:ind w:left="1440" w:right="1033"/>
        <w:jc w:val="left"/>
        <w:rPr>
          <w:b w:val="0"/>
          <w:bCs w:val="0"/>
        </w:rPr>
      </w:pPr>
      <w:bookmarkStart w:name="3、报告期内正在进行的重大的非股权投资情况" w:id="45"/>
      <w:bookmarkEnd w:id="45"/>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1440" w:right="1033"/>
        <w:jc w:val="left"/>
      </w:pPr>
      <w:r>
        <w:rPr/>
        <w:t>√ 适用 □ 不适用</w:t>
      </w:r>
    </w:p>
    <w:p>
      <w:pPr>
        <w:spacing w:line="240" w:lineRule="auto" w:before="3"/>
        <w:rPr>
          <w:rFonts w:ascii="宋体" w:hAnsi="宋体" w:cs="宋体" w:eastAsia="宋体" w:hint="default"/>
          <w:sz w:val="9"/>
          <w:szCs w:val="9"/>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35"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24"/>
      </w:tblGrid>
      <w:tr>
        <w:trPr>
          <w:trHeight w:val="10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77"/>
              <w:ind w:left="255" w:right="45" w:hanging="211"/>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77"/>
              <w:ind w:left="257" w:right="47" w:hanging="210"/>
              <w:jc w:val="left"/>
              <w:rPr>
                <w:rFonts w:ascii="宋体" w:hAnsi="宋体" w:cs="宋体" w:eastAsia="宋体" w:hint="default"/>
                <w:sz w:val="21"/>
                <w:szCs w:val="21"/>
              </w:rPr>
            </w:pPr>
            <w:r>
              <w:rPr>
                <w:rFonts w:ascii="宋体" w:hAnsi="宋体" w:cs="宋体" w:eastAsia="宋体" w:hint="default"/>
                <w:sz w:val="21"/>
                <w:szCs w:val="21"/>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1"/>
              <w:ind w:left="49" w:right="47"/>
              <w:jc w:val="both"/>
              <w:rPr>
                <w:rFonts w:ascii="宋体" w:hAnsi="宋体" w:cs="宋体" w:eastAsia="宋体" w:hint="default"/>
                <w:sz w:val="21"/>
                <w:szCs w:val="21"/>
              </w:rPr>
            </w:pPr>
            <w:r>
              <w:rPr>
                <w:rFonts w:ascii="宋体" w:hAnsi="宋体" w:cs="宋体" w:eastAsia="宋体" w:hint="default"/>
                <w:sz w:val="21"/>
                <w:szCs w:val="21"/>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1"/>
              <w:ind w:left="47" w:right="47"/>
              <w:jc w:val="both"/>
              <w:rPr>
                <w:rFonts w:ascii="宋体" w:hAnsi="宋体" w:cs="宋体" w:eastAsia="宋体" w:hint="default"/>
                <w:sz w:val="21"/>
                <w:szCs w:val="21"/>
              </w:rPr>
            </w:pPr>
            <w:r>
              <w:rPr>
                <w:rFonts w:ascii="宋体" w:hAnsi="宋体" w:cs="宋体" w:eastAsia="宋体" w:hint="default"/>
                <w:sz w:val="21"/>
                <w:szCs w:val="21"/>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1"/>
              <w:ind w:left="48" w:right="46"/>
              <w:jc w:val="both"/>
              <w:rPr>
                <w:rFonts w:ascii="宋体" w:hAnsi="宋体" w:cs="宋体" w:eastAsia="宋体" w:hint="default"/>
                <w:sz w:val="21"/>
                <w:szCs w:val="21"/>
              </w:rPr>
            </w:pPr>
            <w:r>
              <w:rPr>
                <w:rFonts w:ascii="宋体" w:hAnsi="宋体" w:cs="宋体" w:eastAsia="宋体" w:hint="default"/>
                <w:sz w:val="21"/>
                <w:szCs w:val="21"/>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41"/>
              <w:ind w:left="49" w:right="47"/>
              <w:jc w:val="both"/>
              <w:rPr>
                <w:rFonts w:ascii="宋体" w:hAnsi="宋体" w:cs="宋体" w:eastAsia="宋体" w:hint="default"/>
                <w:sz w:val="21"/>
                <w:szCs w:val="21"/>
              </w:rPr>
            </w:pPr>
            <w:r>
              <w:rPr>
                <w:rFonts w:ascii="宋体" w:hAnsi="宋体" w:cs="宋体" w:eastAsia="宋体" w:hint="default"/>
                <w:sz w:val="21"/>
                <w:szCs w:val="21"/>
              </w:rPr>
              <w:t>截至报 告期末 累计实</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77"/>
              <w:ind w:left="257" w:right="47" w:hanging="210"/>
              <w:jc w:val="left"/>
              <w:rPr>
                <w:rFonts w:ascii="宋体" w:hAnsi="宋体" w:cs="宋体" w:eastAsia="宋体" w:hint="default"/>
                <w:sz w:val="21"/>
                <w:szCs w:val="21"/>
              </w:rPr>
            </w:pPr>
            <w:r>
              <w:rPr>
                <w:rFonts w:ascii="宋体" w:hAnsi="宋体" w:cs="宋体" w:eastAsia="宋体" w:hint="default"/>
                <w:sz w:val="21"/>
                <w:szCs w:val="21"/>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77"/>
              <w:ind w:left="257" w:right="47" w:hanging="210"/>
              <w:jc w:val="left"/>
              <w:rPr>
                <w:rFonts w:ascii="宋体" w:hAnsi="宋体" w:cs="宋体" w:eastAsia="宋体" w:hint="default"/>
                <w:sz w:val="21"/>
                <w:szCs w:val="21"/>
              </w:rPr>
            </w:pPr>
            <w:r>
              <w:rPr>
                <w:rFonts w:ascii="宋体" w:hAnsi="宋体" w:cs="宋体" w:eastAsia="宋体" w:hint="default"/>
                <w:sz w:val="21"/>
                <w:szCs w:val="21"/>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77"/>
              <w:ind w:left="259" w:right="47"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41"/>
              <w:ind w:left="47" w:right="46"/>
              <w:jc w:val="both"/>
              <w:rPr>
                <w:rFonts w:ascii="宋体" w:hAnsi="宋体" w:cs="宋体" w:eastAsia="宋体" w:hint="default"/>
                <w:sz w:val="21"/>
                <w:szCs w:val="21"/>
              </w:rPr>
            </w:pPr>
            <w:r>
              <w:rPr>
                <w:rFonts w:ascii="宋体" w:hAnsi="宋体" w:cs="宋体" w:eastAsia="宋体" w:hint="default"/>
                <w:sz w:val="21"/>
                <w:szCs w:val="21"/>
              </w:rPr>
              <w:t>截止报 告期末 累计实</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41"/>
              <w:ind w:left="47" w:right="47"/>
              <w:jc w:val="both"/>
              <w:rPr>
                <w:rFonts w:ascii="宋体" w:hAnsi="宋体" w:cs="宋体" w:eastAsia="宋体" w:hint="default"/>
                <w:sz w:val="21"/>
                <w:szCs w:val="21"/>
              </w:rPr>
            </w:pPr>
            <w:r>
              <w:rPr>
                <w:rFonts w:ascii="宋体" w:hAnsi="宋体" w:cs="宋体" w:eastAsia="宋体" w:hint="default"/>
                <w:sz w:val="21"/>
                <w:szCs w:val="21"/>
              </w:rPr>
              <w:t>未达到 计划进 度和预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1"/>
              <w:ind w:left="49" w:right="47"/>
              <w:jc w:val="both"/>
              <w:rPr>
                <w:rFonts w:ascii="宋体" w:hAnsi="宋体" w:cs="宋体" w:eastAsia="宋体" w:hint="default"/>
                <w:sz w:val="21"/>
                <w:szCs w:val="21"/>
              </w:rPr>
            </w:pPr>
            <w:r>
              <w:rPr>
                <w:rFonts w:ascii="宋体" w:hAnsi="宋体" w:cs="宋体" w:eastAsia="宋体" w:hint="default"/>
                <w:sz w:val="21"/>
                <w:szCs w:val="21"/>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92" w:right="80"/>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9" w:lineRule="auto"/>
        <w:jc w:val="both"/>
        <w:rPr>
          <w:rFonts w:ascii="宋体" w:hAnsi="宋体" w:cs="宋体" w:eastAsia="宋体" w:hint="default"/>
          <w:sz w:val="18"/>
          <w:szCs w:val="18"/>
        </w:rPr>
        <w:sectPr>
          <w:type w:val="continuous"/>
          <w:pgSz w:w="11910" w:h="16840"/>
          <w:pgMar w:top="1060" w:bottom="1160" w:left="0" w:right="0"/>
        </w:sectPr>
      </w:pPr>
    </w:p>
    <w:p>
      <w:pPr>
        <w:spacing w:line="240" w:lineRule="auto" w:before="12"/>
        <w:rPr>
          <w:rFonts w:ascii="宋体" w:hAnsi="宋体" w:cs="宋体" w:eastAsia="宋体" w:hint="default"/>
          <w:sz w:val="2"/>
          <w:szCs w:val="2"/>
        </w:rPr>
      </w:pPr>
    </w:p>
    <w:tbl>
      <w:tblPr>
        <w:tblW w:w="0" w:type="auto"/>
        <w:jc w:val="left"/>
        <w:tblInd w:w="1435"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7" w:hRule="exact"/>
        </w:trPr>
        <w:tc>
          <w:tcPr>
            <w:tcW w:w="73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际投入</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3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现的收</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73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7" w:right="0"/>
              <w:jc w:val="left"/>
              <w:rPr>
                <w:rFonts w:ascii="宋体" w:hAnsi="宋体" w:cs="宋体" w:eastAsia="宋体" w:hint="default"/>
                <w:sz w:val="21"/>
                <w:szCs w:val="21"/>
              </w:rPr>
            </w:pPr>
            <w:r>
              <w:rPr>
                <w:rFonts w:ascii="宋体" w:hAnsi="宋体" w:cs="宋体" w:eastAsia="宋体" w:hint="default"/>
                <w:sz w:val="21"/>
                <w:szCs w:val="21"/>
              </w:rPr>
              <w:t>计收益</w:t>
            </w:r>
          </w:p>
          <w:p>
            <w:pPr>
              <w:pStyle w:val="TableParagraph"/>
              <w:spacing w:line="240" w:lineRule="auto" w:before="38"/>
              <w:ind w:left="47" w:right="0"/>
              <w:jc w:val="left"/>
              <w:rPr>
                <w:rFonts w:ascii="宋体" w:hAnsi="宋体" w:cs="宋体" w:eastAsia="宋体" w:hint="default"/>
                <w:sz w:val="21"/>
                <w:szCs w:val="21"/>
              </w:rPr>
            </w:pPr>
            <w:r>
              <w:rPr>
                <w:rFonts w:ascii="宋体" w:hAnsi="宋体" w:cs="宋体" w:eastAsia="宋体" w:hint="default"/>
                <w:sz w:val="21"/>
                <w:szCs w:val="21"/>
              </w:rPr>
              <w:t>的原因</w:t>
            </w:r>
          </w:p>
        </w:tc>
        <w:tc>
          <w:tcPr>
            <w:tcW w:w="73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1655" w:hRule="exact"/>
        </w:trPr>
        <w:tc>
          <w:tcPr>
            <w:tcW w:w="7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30"/>
              <w:ind w:left="22" w:right="69"/>
              <w:jc w:val="both"/>
              <w:rPr>
                <w:rFonts w:ascii="宋体" w:hAnsi="宋体" w:cs="宋体" w:eastAsia="宋体" w:hint="default"/>
                <w:sz w:val="21"/>
                <w:szCs w:val="21"/>
              </w:rPr>
            </w:pPr>
            <w:r>
              <w:rPr>
                <w:rFonts w:ascii="宋体" w:hAnsi="宋体" w:cs="宋体" w:eastAsia="宋体" w:hint="default"/>
                <w:sz w:val="21"/>
                <w:szCs w:val="21"/>
              </w:rPr>
              <w:t>依米康 绿色精 密环境 产业基 地项目</w:t>
            </w:r>
          </w:p>
        </w:tc>
        <w:tc>
          <w:tcPr>
            <w:tcW w:w="73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81"/>
              <w:jc w:val="right"/>
              <w:rPr>
                <w:rFonts w:ascii="宋体" w:hAnsi="宋体" w:cs="宋体" w:eastAsia="宋体" w:hint="default"/>
                <w:sz w:val="21"/>
                <w:szCs w:val="21"/>
              </w:rPr>
            </w:pPr>
            <w:r>
              <w:rPr>
                <w:rFonts w:ascii="宋体" w:hAnsi="宋体" w:cs="宋体" w:eastAsia="宋体" w:hint="default"/>
                <w:sz w:val="21"/>
                <w:szCs w:val="21"/>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22" w:right="71"/>
              <w:jc w:val="left"/>
              <w:rPr>
                <w:rFonts w:ascii="宋体" w:hAnsi="宋体" w:cs="宋体" w:eastAsia="宋体" w:hint="default"/>
                <w:sz w:val="21"/>
                <w:szCs w:val="21"/>
              </w:rPr>
            </w:pPr>
            <w:r>
              <w:rPr>
                <w:rFonts w:ascii="宋体" w:hAnsi="宋体" w:cs="宋体" w:eastAsia="宋体" w:hint="default"/>
                <w:sz w:val="21"/>
                <w:szCs w:val="21"/>
              </w:rPr>
              <w:t>信息数 据领域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21"/>
                <w:szCs w:val="21"/>
              </w:rPr>
            </w:pPr>
            <w:r>
              <w:rPr>
                <w:rFonts w:ascii="宋体"/>
                <w:sz w:val="21"/>
              </w:rPr>
              <w:t>16,611</w:t>
            </w:r>
          </w:p>
          <w:p>
            <w:pPr>
              <w:pStyle w:val="TableParagraph"/>
              <w:spacing w:line="240" w:lineRule="auto" w:before="36"/>
              <w:ind w:right="21"/>
              <w:jc w:val="right"/>
              <w:rPr>
                <w:rFonts w:ascii="宋体" w:hAnsi="宋体" w:cs="宋体" w:eastAsia="宋体" w:hint="default"/>
                <w:sz w:val="21"/>
                <w:szCs w:val="21"/>
              </w:rPr>
            </w:pPr>
            <w:r>
              <w:rPr>
                <w:rFonts w:ascii="宋体"/>
                <w:sz w:val="21"/>
              </w:rPr>
              <w:t>,991.2</w:t>
            </w:r>
          </w:p>
          <w:p>
            <w:pPr>
              <w:pStyle w:val="TableParagraph"/>
              <w:spacing w:line="240" w:lineRule="auto" w:before="38"/>
              <w:ind w:right="20"/>
              <w:jc w:val="right"/>
              <w:rPr>
                <w:rFonts w:ascii="宋体" w:hAnsi="宋体" w:cs="宋体" w:eastAsia="宋体" w:hint="default"/>
                <w:sz w:val="21"/>
                <w:szCs w:val="21"/>
              </w:rPr>
            </w:pPr>
            <w:r>
              <w:rPr>
                <w:rFonts w:ascii="宋体"/>
                <w:sz w:val="21"/>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21"/>
                <w:szCs w:val="21"/>
              </w:rPr>
            </w:pPr>
            <w:r>
              <w:rPr>
                <w:rFonts w:ascii="宋体"/>
                <w:sz w:val="21"/>
              </w:rPr>
              <w:t>16,611</w:t>
            </w:r>
          </w:p>
          <w:p>
            <w:pPr>
              <w:pStyle w:val="TableParagraph"/>
              <w:spacing w:line="240" w:lineRule="auto" w:before="36"/>
              <w:ind w:right="20"/>
              <w:jc w:val="right"/>
              <w:rPr>
                <w:rFonts w:ascii="宋体" w:hAnsi="宋体" w:cs="宋体" w:eastAsia="宋体" w:hint="default"/>
                <w:sz w:val="21"/>
                <w:szCs w:val="21"/>
              </w:rPr>
            </w:pPr>
            <w:r>
              <w:rPr>
                <w:rFonts w:ascii="宋体"/>
                <w:sz w:val="21"/>
              </w:rPr>
              <w:t>,991.2</w:t>
            </w:r>
          </w:p>
          <w:p>
            <w:pPr>
              <w:pStyle w:val="TableParagraph"/>
              <w:spacing w:line="240" w:lineRule="auto" w:before="38"/>
              <w:ind w:right="20"/>
              <w:jc w:val="right"/>
              <w:rPr>
                <w:rFonts w:ascii="宋体" w:hAnsi="宋体" w:cs="宋体" w:eastAsia="宋体" w:hint="default"/>
                <w:sz w:val="21"/>
                <w:szCs w:val="21"/>
              </w:rPr>
            </w:pPr>
            <w:r>
              <w:rPr>
                <w:rFonts w:ascii="宋体"/>
                <w:sz w:val="21"/>
              </w:rPr>
              <w:t>4</w:t>
            </w: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22" w:right="71"/>
              <w:jc w:val="left"/>
              <w:rPr>
                <w:rFonts w:ascii="宋体" w:hAnsi="宋体" w:cs="宋体" w:eastAsia="宋体" w:hint="default"/>
                <w:sz w:val="21"/>
                <w:szCs w:val="21"/>
              </w:rPr>
            </w:pPr>
            <w:r>
              <w:rPr>
                <w:rFonts w:ascii="宋体" w:hAnsi="宋体" w:cs="宋体" w:eastAsia="宋体" w:hint="default"/>
                <w:sz w:val="21"/>
                <w:szCs w:val="21"/>
              </w:rPr>
              <w:t>自有资 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74" w:right="0"/>
              <w:jc w:val="left"/>
              <w:rPr>
                <w:rFonts w:ascii="宋体" w:hAnsi="宋体" w:cs="宋体" w:eastAsia="宋体" w:hint="default"/>
                <w:sz w:val="18"/>
                <w:szCs w:val="18"/>
              </w:rPr>
            </w:pPr>
            <w:r>
              <w:rPr>
                <w:rFonts w:ascii="宋体"/>
                <w:sz w:val="18"/>
              </w:rPr>
              <w:t>6000000</w:t>
            </w:r>
          </w:p>
          <w:p>
            <w:pPr>
              <w:pStyle w:val="TableParagraph"/>
              <w:spacing w:line="240" w:lineRule="auto" w:before="77"/>
              <w:ind w:left="344" w:right="0"/>
              <w:jc w:val="left"/>
              <w:rPr>
                <w:rFonts w:ascii="宋体" w:hAnsi="宋体" w:cs="宋体" w:eastAsia="宋体" w:hint="default"/>
                <w:sz w:val="18"/>
                <w:szCs w:val="18"/>
              </w:rPr>
            </w:pPr>
            <w:r>
              <w:rPr>
                <w:rFonts w:ascii="宋体"/>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54"/>
              <w:jc w:val="righ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16,611</w:t>
            </w:r>
          </w:p>
          <w:p>
            <w:pPr>
              <w:pStyle w:val="TableParagraph"/>
              <w:spacing w:line="240" w:lineRule="auto" w:before="36"/>
              <w:ind w:right="21"/>
              <w:jc w:val="right"/>
              <w:rPr>
                <w:rFonts w:ascii="宋体" w:hAnsi="宋体" w:cs="宋体" w:eastAsia="宋体" w:hint="default"/>
                <w:sz w:val="21"/>
                <w:szCs w:val="21"/>
              </w:rPr>
            </w:pPr>
            <w:r>
              <w:rPr>
                <w:rFonts w:ascii="宋体"/>
                <w:sz w:val="21"/>
              </w:rPr>
              <w:t>,991.2</w:t>
            </w:r>
          </w:p>
          <w:p>
            <w:pPr>
              <w:pStyle w:val="TableParagraph"/>
              <w:spacing w:line="240" w:lineRule="auto" w:before="38"/>
              <w:ind w:right="20"/>
              <w:jc w:val="right"/>
              <w:rPr>
                <w:rFonts w:ascii="宋体" w:hAnsi="宋体" w:cs="宋体" w:eastAsia="宋体" w:hint="default"/>
                <w:sz w:val="21"/>
                <w:szCs w:val="21"/>
              </w:rPr>
            </w:pPr>
            <w:r>
              <w:rPr>
                <w:rFonts w:ascii="宋体"/>
                <w:sz w:val="21"/>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16,611</w:t>
            </w:r>
          </w:p>
          <w:p>
            <w:pPr>
              <w:pStyle w:val="TableParagraph"/>
              <w:spacing w:line="240" w:lineRule="auto" w:before="36"/>
              <w:ind w:right="20"/>
              <w:jc w:val="right"/>
              <w:rPr>
                <w:rFonts w:ascii="宋体" w:hAnsi="宋体" w:cs="宋体" w:eastAsia="宋体" w:hint="default"/>
                <w:sz w:val="21"/>
                <w:szCs w:val="21"/>
              </w:rPr>
            </w:pPr>
            <w:r>
              <w:rPr>
                <w:rFonts w:ascii="宋体"/>
                <w:sz w:val="21"/>
              </w:rPr>
              <w:t>,991.2</w:t>
            </w:r>
          </w:p>
          <w:p>
            <w:pPr>
              <w:pStyle w:val="TableParagraph"/>
              <w:spacing w:line="240" w:lineRule="auto" w:before="38"/>
              <w:ind w:right="20"/>
              <w:jc w:val="right"/>
              <w:rPr>
                <w:rFonts w:ascii="宋体" w:hAnsi="宋体" w:cs="宋体" w:eastAsia="宋体" w:hint="default"/>
                <w:sz w:val="21"/>
                <w:szCs w:val="21"/>
              </w:rPr>
            </w:pPr>
            <w:r>
              <w:rPr>
                <w:rFonts w:ascii="宋体"/>
                <w:sz w:val="21"/>
              </w:rPr>
              <w:t>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6000000</w:t>
            </w:r>
          </w:p>
          <w:p>
            <w:pPr>
              <w:pStyle w:val="TableParagraph"/>
              <w:spacing w:line="240" w:lineRule="auto" w:before="76"/>
              <w:ind w:left="344" w:right="0"/>
              <w:jc w:val="left"/>
              <w:rPr>
                <w:rFonts w:ascii="宋体" w:hAnsi="宋体" w:cs="宋体" w:eastAsia="宋体" w:hint="default"/>
                <w:sz w:val="18"/>
                <w:szCs w:val="18"/>
              </w:rPr>
            </w:pPr>
            <w:r>
              <w:rPr>
                <w:rFonts w:ascii="宋体"/>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left="1440" w:right="1033"/>
        <w:jc w:val="left"/>
        <w:rPr>
          <w:b w:val="0"/>
          <w:bCs w:val="0"/>
        </w:rPr>
      </w:pPr>
      <w:bookmarkStart w:name="4、以公允价值计量的金融资产" w:id="46"/>
      <w:bookmarkEnd w:id="46"/>
      <w:r>
        <w:rPr>
          <w:b w:val="0"/>
          <w:bCs w:val="0"/>
        </w:rPr>
      </w:r>
      <w:r>
        <w:rPr>
          <w:rFonts w:ascii="宋体" w:hAnsi="宋体" w:cs="宋体" w:eastAsia="宋体" w:hint="default"/>
        </w:rPr>
        <w:t>4</w:t>
      </w:r>
      <w:r>
        <w:rPr/>
        <w:t>、以公允价值计量的金融资产</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1440" w:right="1033"/>
        <w:jc w:val="left"/>
      </w:pPr>
      <w:r>
        <w:rPr/>
        <w:t>□ 适用 √ 不适用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3"/>
        <w:spacing w:line="240" w:lineRule="auto"/>
        <w:ind w:left="1440" w:right="1033"/>
        <w:jc w:val="left"/>
        <w:rPr>
          <w:b w:val="0"/>
          <w:bCs w:val="0"/>
        </w:rPr>
      </w:pPr>
      <w:bookmarkStart w:name="5、募集资金使用情况" w:id="47"/>
      <w:bookmarkEnd w:id="47"/>
      <w:r>
        <w:rPr>
          <w:b w:val="0"/>
          <w:bCs w:val="0"/>
        </w:rPr>
      </w:r>
      <w:r>
        <w:rPr>
          <w:rFonts w:ascii="宋体" w:hAnsi="宋体" w:cs="宋体" w:eastAsia="宋体" w:hint="default"/>
        </w:rPr>
        <w:t>5</w:t>
      </w:r>
      <w:r>
        <w:rPr/>
        <w:t>、募集资金使用情况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1440" w:right="1033"/>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3"/>
        <w:spacing w:line="240" w:lineRule="auto"/>
        <w:ind w:left="1440" w:right="1033"/>
        <w:jc w:val="left"/>
        <w:rPr>
          <w:b w:val="0"/>
          <w:bCs w:val="0"/>
        </w:rPr>
      </w:pPr>
      <w:bookmarkStart w:name="（1）募集资金总体使用情况" w:id="48"/>
      <w:bookmarkEnd w:id="48"/>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1440" w:right="1033"/>
        <w:jc w:val="left"/>
      </w:pPr>
      <w:r>
        <w:rPr/>
        <w:t>√ 适用 □ 不适用</w:t>
      </w:r>
    </w:p>
    <w:p>
      <w:pPr>
        <w:spacing w:line="240" w:lineRule="auto" w:before="3"/>
        <w:rPr>
          <w:rFonts w:ascii="宋体" w:hAnsi="宋体" w:cs="宋体" w:eastAsia="宋体" w:hint="default"/>
          <w:sz w:val="9"/>
          <w:szCs w:val="9"/>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35"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23" w:right="112" w:hanging="211"/>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21" w:right="109" w:hanging="210"/>
              <w:jc w:val="left"/>
              <w:rPr>
                <w:rFonts w:ascii="宋体" w:hAnsi="宋体" w:cs="宋体" w:eastAsia="宋体" w:hint="default"/>
                <w:sz w:val="21"/>
                <w:szCs w:val="21"/>
              </w:rPr>
            </w:pPr>
            <w:r>
              <w:rPr>
                <w:rFonts w:ascii="宋体" w:hAnsi="宋体" w:cs="宋体" w:eastAsia="宋体" w:hint="default"/>
                <w:sz w:val="21"/>
                <w:szCs w:val="21"/>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17" w:right="119"/>
              <w:jc w:val="left"/>
              <w:rPr>
                <w:rFonts w:ascii="宋体" w:hAnsi="宋体" w:cs="宋体" w:eastAsia="宋体" w:hint="default"/>
                <w:sz w:val="21"/>
                <w:szCs w:val="21"/>
              </w:rPr>
            </w:pPr>
            <w:r>
              <w:rPr>
                <w:rFonts w:ascii="宋体" w:hAnsi="宋体" w:cs="宋体" w:eastAsia="宋体" w:hint="default"/>
                <w:sz w:val="21"/>
                <w:szCs w:val="21"/>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4" w:right="114"/>
              <w:jc w:val="both"/>
              <w:rPr>
                <w:rFonts w:ascii="宋体" w:hAnsi="宋体" w:cs="宋体" w:eastAsia="宋体" w:hint="default"/>
                <w:sz w:val="21"/>
                <w:szCs w:val="21"/>
              </w:rPr>
            </w:pPr>
            <w:r>
              <w:rPr>
                <w:rFonts w:ascii="宋体" w:hAnsi="宋体" w:cs="宋体" w:eastAsia="宋体" w:hint="default"/>
                <w:sz w:val="21"/>
                <w:szCs w:val="21"/>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3" w:right="114"/>
              <w:jc w:val="both"/>
              <w:rPr>
                <w:rFonts w:ascii="宋体" w:hAnsi="宋体" w:cs="宋体" w:eastAsia="宋体" w:hint="default"/>
                <w:sz w:val="21"/>
                <w:szCs w:val="21"/>
              </w:rPr>
            </w:pPr>
            <w:r>
              <w:rPr>
                <w:rFonts w:ascii="宋体" w:hAnsi="宋体" w:cs="宋体" w:eastAsia="宋体" w:hint="default"/>
                <w:sz w:val="21"/>
                <w:szCs w:val="21"/>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3" w:right="113"/>
              <w:jc w:val="both"/>
              <w:rPr>
                <w:rFonts w:ascii="宋体" w:hAnsi="宋体" w:cs="宋体" w:eastAsia="宋体" w:hint="default"/>
                <w:sz w:val="21"/>
                <w:szCs w:val="21"/>
              </w:rPr>
            </w:pPr>
            <w:r>
              <w:rPr>
                <w:rFonts w:ascii="宋体" w:hAnsi="宋体" w:cs="宋体" w:eastAsia="宋体" w:hint="default"/>
                <w:sz w:val="21"/>
                <w:szCs w:val="21"/>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3" w:right="114"/>
              <w:jc w:val="center"/>
              <w:rPr>
                <w:rFonts w:ascii="宋体" w:hAnsi="宋体" w:cs="宋体" w:eastAsia="宋体" w:hint="default"/>
                <w:sz w:val="21"/>
                <w:szCs w:val="21"/>
              </w:rPr>
            </w:pPr>
            <w:r>
              <w:rPr>
                <w:rFonts w:ascii="宋体" w:hAnsi="宋体" w:cs="宋体" w:eastAsia="宋体" w:hint="default"/>
                <w:sz w:val="21"/>
                <w:szCs w:val="21"/>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3" w:right="114"/>
              <w:jc w:val="both"/>
              <w:rPr>
                <w:rFonts w:ascii="宋体" w:hAnsi="宋体" w:cs="宋体" w:eastAsia="宋体" w:hint="default"/>
                <w:sz w:val="21"/>
                <w:szCs w:val="21"/>
              </w:rPr>
            </w:pPr>
            <w:r>
              <w:rPr>
                <w:rFonts w:ascii="宋体" w:hAnsi="宋体" w:cs="宋体" w:eastAsia="宋体" w:hint="default"/>
                <w:sz w:val="21"/>
                <w:szCs w:val="21"/>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3" w:right="114"/>
              <w:jc w:val="center"/>
              <w:rPr>
                <w:rFonts w:ascii="宋体" w:hAnsi="宋体" w:cs="宋体" w:eastAsia="宋体" w:hint="default"/>
                <w:sz w:val="21"/>
                <w:szCs w:val="21"/>
              </w:rPr>
            </w:pPr>
            <w:r>
              <w:rPr>
                <w:rFonts w:ascii="宋体" w:hAnsi="宋体" w:cs="宋体" w:eastAsia="宋体" w:hint="default"/>
                <w:sz w:val="21"/>
                <w:szCs w:val="21"/>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3" w:right="114"/>
              <w:jc w:val="center"/>
              <w:rPr>
                <w:rFonts w:ascii="宋体" w:hAnsi="宋体" w:cs="宋体" w:eastAsia="宋体" w:hint="default"/>
                <w:sz w:val="21"/>
                <w:szCs w:val="21"/>
              </w:rPr>
            </w:pPr>
            <w:r>
              <w:rPr>
                <w:rFonts w:ascii="宋体" w:hAnsi="宋体" w:cs="宋体" w:eastAsia="宋体" w:hint="default"/>
                <w:sz w:val="21"/>
                <w:szCs w:val="21"/>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3" w:right="113"/>
              <w:jc w:val="both"/>
              <w:rPr>
                <w:rFonts w:ascii="宋体" w:hAnsi="宋体" w:cs="宋体" w:eastAsia="宋体" w:hint="default"/>
                <w:sz w:val="21"/>
                <w:szCs w:val="21"/>
              </w:rPr>
            </w:pPr>
            <w:r>
              <w:rPr>
                <w:rFonts w:ascii="宋体" w:hAnsi="宋体" w:cs="宋体" w:eastAsia="宋体" w:hint="default"/>
                <w:sz w:val="21"/>
                <w:szCs w:val="21"/>
              </w:rPr>
              <w:t>闲置两 年以上 募集资 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98"/>
              <w:jc w:val="left"/>
              <w:rPr>
                <w:rFonts w:ascii="宋体" w:hAnsi="宋体" w:cs="宋体" w:eastAsia="宋体" w:hint="default"/>
                <w:sz w:val="21"/>
                <w:szCs w:val="21"/>
              </w:rPr>
            </w:pPr>
            <w:r>
              <w:rPr>
                <w:rFonts w:ascii="宋体" w:hAnsi="宋体" w:cs="宋体" w:eastAsia="宋体" w:hint="default"/>
                <w:sz w:val="21"/>
                <w:szCs w:val="21"/>
              </w:rPr>
              <w:t>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29,724.</w:t>
            </w:r>
          </w:p>
          <w:p>
            <w:pPr>
              <w:pStyle w:val="TableParagraph"/>
              <w:spacing w:line="240" w:lineRule="auto" w:before="38"/>
              <w:ind w:right="20"/>
              <w:jc w:val="right"/>
              <w:rPr>
                <w:rFonts w:ascii="宋体" w:hAnsi="宋体" w:cs="宋体" w:eastAsia="宋体" w:hint="default"/>
                <w:sz w:val="21"/>
                <w:szCs w:val="21"/>
              </w:rPr>
            </w:pPr>
            <w:r>
              <w:rPr>
                <w:rFonts w:ascii="宋体"/>
                <w:sz w:val="21"/>
              </w:rPr>
              <w:t>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1,095.0</w:t>
            </w:r>
          </w:p>
          <w:p>
            <w:pPr>
              <w:pStyle w:val="TableParagraph"/>
              <w:spacing w:line="240" w:lineRule="auto" w:before="38"/>
              <w:ind w:right="21"/>
              <w:jc w:val="right"/>
              <w:rPr>
                <w:rFonts w:ascii="宋体" w:hAnsi="宋体" w:cs="宋体" w:eastAsia="宋体" w:hint="default"/>
                <w:sz w:val="21"/>
                <w:szCs w:val="21"/>
              </w:rPr>
            </w:pPr>
            <w:r>
              <w:rPr>
                <w:rFonts w:ascii="宋体"/>
                <w:sz w:val="21"/>
              </w:rPr>
              <w:t>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30,596.</w:t>
            </w:r>
          </w:p>
          <w:p>
            <w:pPr>
              <w:pStyle w:val="TableParagraph"/>
              <w:spacing w:line="240" w:lineRule="auto" w:before="38"/>
              <w:ind w:right="20"/>
              <w:jc w:val="right"/>
              <w:rPr>
                <w:rFonts w:ascii="宋体" w:hAnsi="宋体" w:cs="宋体" w:eastAsia="宋体" w:hint="default"/>
                <w:sz w:val="21"/>
                <w:szCs w:val="21"/>
              </w:rPr>
            </w:pPr>
            <w:r>
              <w:rPr>
                <w:rFonts w:ascii="宋体"/>
                <w:sz w:val="21"/>
              </w:rPr>
              <w:t>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sz w:val="21"/>
              </w:rPr>
              <w:t>296.69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5"/>
              <w:jc w:val="both"/>
              <w:rPr>
                <w:rFonts w:ascii="宋体" w:hAnsi="宋体" w:cs="宋体" w:eastAsia="宋体" w:hint="default"/>
                <w:sz w:val="21"/>
                <w:szCs w:val="21"/>
              </w:rPr>
            </w:pPr>
            <w:r>
              <w:rPr>
                <w:rFonts w:ascii="宋体" w:hAnsi="宋体" w:cs="宋体" w:eastAsia="宋体" w:hint="default"/>
                <w:sz w:val="21"/>
                <w:szCs w:val="21"/>
              </w:rPr>
              <w:t>存放于 募集资 金专项 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98"/>
              <w:jc w:val="both"/>
              <w:rPr>
                <w:rFonts w:ascii="宋体" w:hAnsi="宋体" w:cs="宋体" w:eastAsia="宋体" w:hint="default"/>
                <w:sz w:val="21"/>
                <w:szCs w:val="21"/>
              </w:rPr>
            </w:pPr>
            <w:r>
              <w:rPr>
                <w:rFonts w:ascii="宋体" w:hAnsi="宋体" w:cs="宋体" w:eastAsia="宋体" w:hint="default"/>
                <w:sz w:val="21"/>
                <w:szCs w:val="21"/>
              </w:rPr>
              <w:t>非公开 发行股 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4,151.0</w:t>
            </w:r>
          </w:p>
          <w:p>
            <w:pPr>
              <w:pStyle w:val="TableParagraph"/>
              <w:spacing w:line="240" w:lineRule="auto" w:before="38"/>
              <w:ind w:right="21"/>
              <w:jc w:val="right"/>
              <w:rPr>
                <w:rFonts w:ascii="宋体" w:hAnsi="宋体" w:cs="宋体" w:eastAsia="宋体" w:hint="default"/>
                <w:sz w:val="21"/>
                <w:szCs w:val="21"/>
              </w:rPr>
            </w:pPr>
            <w:r>
              <w:rPr>
                <w:rFonts w:ascii="宋体"/>
                <w:sz w:val="21"/>
              </w:rPr>
              <w:t>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21"/>
                <w:szCs w:val="21"/>
              </w:rPr>
            </w:pPr>
            <w:r>
              <w:rPr>
                <w:rFonts w:ascii="宋体"/>
                <w:sz w:val="21"/>
              </w:rPr>
              <w:t>4,152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1" w:right="0"/>
              <w:jc w:val="left"/>
              <w:rPr>
                <w:rFonts w:ascii="宋体" w:hAnsi="宋体" w:cs="宋体" w:eastAsia="宋体" w:hint="default"/>
                <w:sz w:val="21"/>
                <w:szCs w:val="21"/>
              </w:rPr>
            </w:pPr>
            <w:r>
              <w:rPr>
                <w:rFonts w:ascii="宋体"/>
                <w:sz w:val="21"/>
              </w:rPr>
              <w:t>4,152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5"/>
              <w:jc w:val="both"/>
              <w:rPr>
                <w:rFonts w:ascii="宋体" w:hAnsi="宋体" w:cs="宋体" w:eastAsia="宋体" w:hint="default"/>
                <w:sz w:val="21"/>
                <w:szCs w:val="21"/>
              </w:rPr>
            </w:pPr>
            <w:r>
              <w:rPr>
                <w:rFonts w:ascii="宋体" w:hAnsi="宋体" w:cs="宋体" w:eastAsia="宋体" w:hint="default"/>
                <w:sz w:val="21"/>
                <w:szCs w:val="21"/>
              </w:rPr>
              <w:t>存放于 募集资 金专项 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161" w:hRule="exact"/>
        </w:trPr>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77" w:type="dxa"/>
            <w:vMerge w:val="restart"/>
            <w:tcBorders>
              <w:top w:val="single" w:sz="4" w:space="0" w:color="000000"/>
              <w:left w:val="single" w:sz="9" w:space="0" w:color="D2D2D2"/>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33,875.</w:t>
            </w:r>
          </w:p>
          <w:p>
            <w:pPr>
              <w:pStyle w:val="TableParagraph"/>
              <w:spacing w:line="240" w:lineRule="auto" w:before="38"/>
              <w:ind w:right="20"/>
              <w:jc w:val="right"/>
              <w:rPr>
                <w:rFonts w:ascii="宋体" w:hAnsi="宋体" w:cs="宋体" w:eastAsia="宋体" w:hint="default"/>
                <w:sz w:val="21"/>
                <w:szCs w:val="21"/>
              </w:rPr>
            </w:pPr>
            <w:r>
              <w:rPr>
                <w:rFonts w:ascii="宋体"/>
                <w:sz w:val="21"/>
              </w:rPr>
              <w:t>92</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5,247.0</w:t>
            </w:r>
          </w:p>
          <w:p>
            <w:pPr>
              <w:pStyle w:val="TableParagraph"/>
              <w:spacing w:line="240" w:lineRule="auto" w:before="38"/>
              <w:ind w:right="21"/>
              <w:jc w:val="right"/>
              <w:rPr>
                <w:rFonts w:ascii="宋体" w:hAnsi="宋体" w:cs="宋体" w:eastAsia="宋体" w:hint="default"/>
                <w:sz w:val="21"/>
                <w:szCs w:val="21"/>
              </w:rPr>
            </w:pPr>
            <w:r>
              <w:rPr>
                <w:rFonts w:ascii="宋体"/>
                <w:sz w:val="21"/>
              </w:rPr>
              <w:t>8</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34,748.</w:t>
            </w:r>
          </w:p>
          <w:p>
            <w:pPr>
              <w:pStyle w:val="TableParagraph"/>
              <w:spacing w:line="240" w:lineRule="auto" w:before="38"/>
              <w:ind w:right="20"/>
              <w:jc w:val="right"/>
              <w:rPr>
                <w:rFonts w:ascii="宋体" w:hAnsi="宋体" w:cs="宋体" w:eastAsia="宋体" w:hint="default"/>
                <w:sz w:val="21"/>
                <w:szCs w:val="21"/>
              </w:rPr>
            </w:pPr>
            <w:r>
              <w:rPr>
                <w:rFonts w:ascii="宋体"/>
                <w:sz w:val="21"/>
              </w:rPr>
              <w:t>25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1" w:right="0"/>
              <w:jc w:val="left"/>
              <w:rPr>
                <w:rFonts w:ascii="宋体" w:hAnsi="宋体" w:cs="宋体" w:eastAsia="宋体" w:hint="default"/>
                <w:sz w:val="21"/>
                <w:szCs w:val="21"/>
              </w:rPr>
            </w:pPr>
            <w:r>
              <w:rPr>
                <w:rFonts w:ascii="宋体"/>
                <w:sz w:val="21"/>
              </w:rPr>
              <w:t>0.00%</w:t>
            </w:r>
          </w:p>
        </w:tc>
        <w:tc>
          <w:tcPr>
            <w:tcW w:w="870"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21"/>
                <w:szCs w:val="21"/>
              </w:rPr>
            </w:pPr>
            <w:r>
              <w:rPr>
                <w:rFonts w:ascii="宋体"/>
                <w:sz w:val="21"/>
              </w:rPr>
              <w:t>296.99</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393" w:hRule="exact"/>
        </w:trPr>
        <w:tc>
          <w:tcPr>
            <w:tcW w:w="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877"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9" w:space="0" w:color="D2D2D2"/>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869" w:type="dxa"/>
            <w:vMerge/>
            <w:tcBorders>
              <w:left w:val="single" w:sz="10" w:space="0" w:color="D2D2D2"/>
              <w:right w:val="single" w:sz="4" w:space="0" w:color="000000"/>
            </w:tcBorders>
          </w:tcPr>
          <w:p>
            <w:pPr/>
          </w:p>
        </w:tc>
      </w:tr>
      <w:tr>
        <w:trPr>
          <w:trHeight w:val="161" w:hRule="exact"/>
        </w:trPr>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77"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9" w:space="0" w:color="D2D2D2"/>
            </w:tcBorders>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10" w:space="0" w:color="D2D2D2"/>
              <w:bottom w:val="single" w:sz="4" w:space="0" w:color="000000"/>
              <w:right w:val="single" w:sz="4" w:space="0" w:color="000000"/>
            </w:tcBorders>
          </w:tcPr>
          <w:p>
            <w:pP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67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年首次公开发行募集资金情况经中国证券监督管理委员会证监许可</w:t>
            </w:r>
            <w:r>
              <w:rPr>
                <w:rFonts w:ascii="宋体" w:hAnsi="宋体" w:cs="宋体" w:eastAsia="宋体" w:hint="default"/>
                <w:sz w:val="21"/>
                <w:szCs w:val="21"/>
              </w:rPr>
              <w:t>[2011]1104</w:t>
            </w:r>
            <w:r>
              <w:rPr>
                <w:rFonts w:ascii="宋体" w:hAnsi="宋体" w:cs="宋体" w:eastAsia="宋体" w:hint="default"/>
                <w:spacing w:val="-54"/>
                <w:sz w:val="21"/>
                <w:szCs w:val="21"/>
              </w:rPr>
              <w:t> </w:t>
            </w:r>
            <w:r>
              <w:rPr>
                <w:rFonts w:ascii="宋体" w:hAnsi="宋体" w:cs="宋体" w:eastAsia="宋体" w:hint="default"/>
                <w:spacing w:val="-7"/>
                <w:sz w:val="21"/>
                <w:szCs w:val="21"/>
              </w:rPr>
              <w:t>号《关于核准四</w:t>
            </w:r>
            <w:r>
              <w:rPr>
                <w:rFonts w:ascii="宋体" w:hAnsi="宋体" w:cs="宋体" w:eastAsia="宋体" w:hint="default"/>
                <w:sz w:val="21"/>
                <w:szCs w:val="21"/>
              </w:rPr>
              <w:t> 川依米康环境科技股份有限公司首次公开发行股票并在创业板上市的批复》核准，四川依米康环境科技</w:t>
            </w:r>
          </w:p>
        </w:tc>
      </w:tr>
    </w:tbl>
    <w:p>
      <w:pPr>
        <w:spacing w:after="0" w:line="273"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r>
        <w:rPr/>
        <w:pict>
          <v:group style="position:absolute;margin-left:154.759995pt;margin-top:743.279968pt;width:36.450pt;height:28pt;mso-position-horizontal-relative:page;mso-position-vertical-relative:page;z-index:-1061560" coordorigin="3095,14866" coordsize="729,560">
            <v:group style="position:absolute;left:3095;top:14866;width:729;height:156" coordorigin="3095,14866" coordsize="729,156">
              <v:shape style="position:absolute;left:3095;top:14866;width:729;height:156" coordorigin="3095,14866" coordsize="729,156" path="m3095,15022l3824,15022,3824,14866,3095,14866,3095,15022xe" filled="true" fillcolor="#ffffff" stroked="false">
                <v:path arrowok="t"/>
                <v:fill type="solid"/>
              </v:shape>
            </v:group>
            <v:group style="position:absolute;left:3107;top:15022;width:2;height:393" coordorigin="3107,15022" coordsize="2,393">
              <v:shape style="position:absolute;left:3107;top:15022;width:2;height:393" coordorigin="3107,15022" coordsize="0,393" path="m3107,15022l3107,15414e" filled="false" stroked="true" strokeweight="1.140pt" strokecolor="#ffffff">
                <v:path arrowok="t"/>
              </v:shape>
            </v:group>
            <v:group style="position:absolute;left:3118;top:15022;width:683;height:393" coordorigin="3118,15022" coordsize="683,393">
              <v:shape style="position:absolute;left:3118;top:15022;width:683;height:393" coordorigin="3118,15022" coordsize="683,393" path="m3118,15414l3801,15414,3801,15022,3118,15022,3118,15414xe" filled="true" fillcolor="#ffffff" stroked="false">
                <v:path arrowok="t"/>
                <v:fill type="solid"/>
              </v:shape>
            </v:group>
            <w10:wrap type="none"/>
          </v:group>
        </w:pict>
      </w:r>
    </w:p>
    <w:p>
      <w:pPr>
        <w:spacing w:line="4175" w:lineRule="exact"/>
        <w:ind w:left="1402" w:right="0" w:firstLine="0"/>
        <w:rPr>
          <w:rFonts w:ascii="宋体" w:hAnsi="宋体" w:cs="宋体" w:eastAsia="宋体" w:hint="default"/>
          <w:sz w:val="20"/>
          <w:szCs w:val="20"/>
        </w:rPr>
      </w:pPr>
      <w:r>
        <w:rPr>
          <w:rFonts w:ascii="宋体" w:hAnsi="宋体" w:cs="宋体" w:eastAsia="宋体" w:hint="default"/>
          <w:position w:val="-83"/>
          <w:sz w:val="20"/>
          <w:szCs w:val="20"/>
        </w:rPr>
        <w:pict>
          <v:group style="width:480.4pt;height:208.8pt;mso-position-horizontal-relative:char;mso-position-vertical-relative:line" coordorigin="0,0" coordsize="9608,4176">
            <v:group style="position:absolute;left:7;top:7;width:9088;height:2" coordorigin="7,7" coordsize="9088,2">
              <v:shape style="position:absolute;left:7;top:7;width:9088;height:2" coordorigin="7,7" coordsize="9088,0" path="m7,7l9095,7e" filled="false" stroked="true" strokeweight=".72pt" strokecolor="#000000">
                <v:path arrowok="t"/>
              </v:shape>
            </v:group>
            <v:group style="position:absolute;left:42;top:19;width:9556;height:2" coordorigin="42,19" coordsize="9556,2">
              <v:shape style="position:absolute;left:42;top:19;width:9556;height:2" coordorigin="42,19" coordsize="9556,0" path="m42,19l9598,19e" filled="false" stroked="true" strokeweight=".48pt" strokecolor="#000000">
                <v:path arrowok="t"/>
              </v:shape>
            </v:group>
            <v:group style="position:absolute;left:37;top:14;width:2;height:4156" coordorigin="37,14" coordsize="2,4156">
              <v:shape style="position:absolute;left:37;top:14;width:2;height:4156" coordorigin="37,14" coordsize="0,4156" path="m37,14l37,4170e" filled="false" stroked="true" strokeweight=".48pt" strokecolor="#000000">
                <v:path arrowok="t"/>
              </v:shape>
            </v:group>
            <v:group style="position:absolute;left:42;top:4166;width:9556;height:2" coordorigin="42,4166" coordsize="9556,2">
              <v:shape style="position:absolute;left:42;top:4166;width:9556;height:2" coordorigin="42,4166" coordsize="9556,0" path="m42,4166l9598,4166e" filled="false" stroked="true" strokeweight=".48pt" strokecolor="#000000">
                <v:path arrowok="t"/>
              </v:shape>
            </v:group>
            <v:group style="position:absolute;left:9602;top:14;width:2;height:4156" coordorigin="9602,14" coordsize="2,4156">
              <v:shape style="position:absolute;left:9602;top:14;width:2;height:4156" coordorigin="9602,14" coordsize="0,4156" path="m9602,14l9602,4170e" filled="false" stroked="true" strokeweight=".48pt" strokecolor="#000000">
                <v:path arrowok="t"/>
              </v:shape>
              <v:shape style="position:absolute;left:37;top:12;width:9566;height:4154" type="#_x0000_t202" filled="false" stroked="false">
                <v:textbox inset="0,0,0,0">
                  <w:txbxContent>
                    <w:p>
                      <w:pPr>
                        <w:spacing w:line="273" w:lineRule="auto" w:before="0"/>
                        <w:ind w:left="27" w:right="26" w:firstLine="0"/>
                        <w:jc w:val="both"/>
                        <w:rPr>
                          <w:rFonts w:ascii="宋体" w:hAnsi="宋体" w:cs="宋体" w:eastAsia="宋体" w:hint="default"/>
                          <w:sz w:val="21"/>
                          <w:szCs w:val="21"/>
                        </w:rPr>
                      </w:pPr>
                      <w:r>
                        <w:rPr>
                          <w:rFonts w:ascii="宋体" w:hAnsi="宋体" w:cs="宋体" w:eastAsia="宋体" w:hint="default"/>
                          <w:sz w:val="21"/>
                          <w:szCs w:val="21"/>
                        </w:rPr>
                        <w:t>股份有限公司（以下简称“公司”或“依米康”）公开发行人民币普通股（</w:t>
                      </w:r>
                      <w:r>
                        <w:rPr>
                          <w:rFonts w:ascii="宋体" w:hAnsi="宋体" w:cs="宋体" w:eastAsia="宋体" w:hint="default"/>
                          <w:sz w:val="21"/>
                          <w:szCs w:val="21"/>
                        </w:rPr>
                        <w:t>A</w:t>
                      </w:r>
                      <w:r>
                        <w:rPr>
                          <w:rFonts w:ascii="宋体" w:hAnsi="宋体" w:cs="宋体" w:eastAsia="宋体" w:hint="default"/>
                          <w:spacing w:val="-39"/>
                          <w:sz w:val="21"/>
                          <w:szCs w:val="21"/>
                        </w:rPr>
                        <w:t> </w:t>
                      </w:r>
                      <w:r>
                        <w:rPr>
                          <w:rFonts w:ascii="宋体" w:hAnsi="宋体" w:cs="宋体" w:eastAsia="宋体" w:hint="default"/>
                          <w:spacing w:val="-3"/>
                          <w:sz w:val="21"/>
                          <w:szCs w:val="21"/>
                        </w:rPr>
                        <w:t>股）</w:t>
                      </w:r>
                      <w:r>
                        <w:rPr>
                          <w:rFonts w:ascii="宋体" w:hAnsi="宋体" w:cs="宋体" w:eastAsia="宋体" w:hint="default"/>
                          <w:spacing w:val="-3"/>
                          <w:sz w:val="21"/>
                          <w:szCs w:val="21"/>
                        </w:rPr>
                        <w:t>1,960</w:t>
                      </w:r>
                      <w:r>
                        <w:rPr>
                          <w:rFonts w:ascii="宋体" w:hAnsi="宋体" w:cs="宋体" w:eastAsia="宋体" w:hint="default"/>
                          <w:spacing w:val="-72"/>
                          <w:sz w:val="21"/>
                          <w:szCs w:val="21"/>
                        </w:rPr>
                        <w:t> </w:t>
                      </w:r>
                      <w:r>
                        <w:rPr>
                          <w:rFonts w:ascii="宋体" w:hAnsi="宋体" w:cs="宋体" w:eastAsia="宋体" w:hint="default"/>
                          <w:spacing w:val="-3"/>
                          <w:sz w:val="21"/>
                          <w:szCs w:val="21"/>
                        </w:rPr>
                        <w:t>万股。本次新股</w:t>
                      </w:r>
                      <w:r>
                        <w:rPr>
                          <w:rFonts w:ascii="宋体" w:hAnsi="宋体" w:cs="宋体" w:eastAsia="宋体" w:hint="default"/>
                          <w:sz w:val="21"/>
                          <w:szCs w:val="21"/>
                        </w:rPr>
                        <w:t> 发行价格为每股人民币</w:t>
                      </w:r>
                      <w:r>
                        <w:rPr>
                          <w:rFonts w:ascii="宋体" w:hAnsi="宋体" w:cs="宋体" w:eastAsia="宋体" w:hint="default"/>
                          <w:spacing w:val="-53"/>
                          <w:sz w:val="21"/>
                          <w:szCs w:val="21"/>
                        </w:rPr>
                        <w:t> </w:t>
                      </w:r>
                      <w:r>
                        <w:rPr>
                          <w:rFonts w:ascii="宋体" w:hAnsi="宋体" w:cs="宋体" w:eastAsia="宋体" w:hint="default"/>
                          <w:sz w:val="21"/>
                          <w:szCs w:val="21"/>
                        </w:rPr>
                        <w:t>17.50</w:t>
                      </w:r>
                      <w:r>
                        <w:rPr>
                          <w:rFonts w:ascii="宋体" w:hAnsi="宋体" w:cs="宋体" w:eastAsia="宋体" w:hint="default"/>
                          <w:spacing w:val="-53"/>
                          <w:sz w:val="21"/>
                          <w:szCs w:val="21"/>
                        </w:rPr>
                        <w:t> </w:t>
                      </w:r>
                      <w:r>
                        <w:rPr>
                          <w:rFonts w:ascii="宋体" w:hAnsi="宋体" w:cs="宋体" w:eastAsia="宋体" w:hint="default"/>
                          <w:sz w:val="21"/>
                          <w:szCs w:val="21"/>
                        </w:rPr>
                        <w:t>元，募集资金总额为人民币</w:t>
                      </w:r>
                      <w:r>
                        <w:rPr>
                          <w:rFonts w:ascii="宋体" w:hAnsi="宋体" w:cs="宋体" w:eastAsia="宋体" w:hint="default"/>
                          <w:spacing w:val="-1"/>
                          <w:sz w:val="21"/>
                          <w:szCs w:val="21"/>
                        </w:rPr>
                        <w:t> </w:t>
                      </w:r>
                      <w:r>
                        <w:rPr>
                          <w:rFonts w:ascii="宋体" w:hAnsi="宋体" w:cs="宋体" w:eastAsia="宋体" w:hint="default"/>
                          <w:sz w:val="21"/>
                          <w:szCs w:val="21"/>
                        </w:rPr>
                        <w:t>343,000,000.00</w:t>
                      </w:r>
                      <w:r>
                        <w:rPr>
                          <w:rFonts w:ascii="宋体" w:hAnsi="宋体" w:cs="宋体" w:eastAsia="宋体" w:hint="default"/>
                          <w:spacing w:val="-1"/>
                          <w:sz w:val="21"/>
                          <w:szCs w:val="21"/>
                        </w:rPr>
                        <w:t> </w:t>
                      </w:r>
                      <w:r>
                        <w:rPr>
                          <w:rFonts w:ascii="宋体" w:hAnsi="宋体" w:cs="宋体" w:eastAsia="宋体" w:hint="default"/>
                          <w:sz w:val="21"/>
                          <w:szCs w:val="21"/>
                        </w:rPr>
                        <w:t>元，扣除发行费用人民币</w:t>
                      </w:r>
                    </w:p>
                    <w:p>
                      <w:pPr>
                        <w:spacing w:before="7"/>
                        <w:ind w:left="27" w:right="0" w:firstLine="0"/>
                        <w:jc w:val="both"/>
                        <w:rPr>
                          <w:rFonts w:ascii="宋体" w:hAnsi="宋体" w:cs="宋体" w:eastAsia="宋体" w:hint="default"/>
                          <w:sz w:val="21"/>
                          <w:szCs w:val="21"/>
                        </w:rPr>
                      </w:pPr>
                      <w:r>
                        <w:rPr>
                          <w:rFonts w:ascii="宋体" w:hAnsi="宋体" w:cs="宋体" w:eastAsia="宋体" w:hint="default"/>
                          <w:sz w:val="21"/>
                          <w:szCs w:val="21"/>
                        </w:rPr>
                        <w:t>45,751,200.00</w:t>
                      </w:r>
                      <w:r>
                        <w:rPr>
                          <w:rFonts w:ascii="宋体" w:hAnsi="宋体" w:cs="宋体" w:eastAsia="宋体" w:hint="default"/>
                          <w:spacing w:val="-53"/>
                          <w:sz w:val="21"/>
                          <w:szCs w:val="21"/>
                        </w:rPr>
                        <w:t> </w:t>
                      </w:r>
                      <w:r>
                        <w:rPr>
                          <w:rFonts w:ascii="宋体" w:hAnsi="宋体" w:cs="宋体" w:eastAsia="宋体" w:hint="default"/>
                          <w:sz w:val="21"/>
                          <w:szCs w:val="21"/>
                        </w:rPr>
                        <w:t>元后，募集资金净额为人民币</w:t>
                      </w:r>
                      <w:r>
                        <w:rPr>
                          <w:rFonts w:ascii="宋体" w:hAnsi="宋体" w:cs="宋体" w:eastAsia="宋体" w:hint="default"/>
                          <w:spacing w:val="-53"/>
                          <w:sz w:val="21"/>
                          <w:szCs w:val="21"/>
                        </w:rPr>
                        <w:t> </w:t>
                      </w:r>
                      <w:r>
                        <w:rPr>
                          <w:rFonts w:ascii="宋体" w:hAnsi="宋体" w:cs="宋体" w:eastAsia="宋体" w:hint="default"/>
                          <w:sz w:val="21"/>
                          <w:szCs w:val="21"/>
                        </w:rPr>
                        <w:t>297,248,800.00</w:t>
                      </w:r>
                      <w:r>
                        <w:rPr>
                          <w:rFonts w:ascii="宋体" w:hAnsi="宋体" w:cs="宋体" w:eastAsia="宋体" w:hint="default"/>
                          <w:spacing w:val="-55"/>
                          <w:sz w:val="21"/>
                          <w:szCs w:val="21"/>
                        </w:rPr>
                        <w:t> </w:t>
                      </w:r>
                      <w:r>
                        <w:rPr>
                          <w:rFonts w:ascii="宋体" w:hAnsi="宋体" w:cs="宋体" w:eastAsia="宋体" w:hint="default"/>
                          <w:sz w:val="21"/>
                          <w:szCs w:val="21"/>
                        </w:rPr>
                        <w:t>元，超过计划募集资金人民币</w:t>
                      </w:r>
                    </w:p>
                    <w:p>
                      <w:pPr>
                        <w:spacing w:line="273" w:lineRule="auto" w:before="37"/>
                        <w:ind w:left="27" w:right="873" w:firstLine="0"/>
                        <w:jc w:val="left"/>
                        <w:rPr>
                          <w:rFonts w:ascii="宋体" w:hAnsi="宋体" w:cs="宋体" w:eastAsia="宋体" w:hint="default"/>
                          <w:sz w:val="21"/>
                          <w:szCs w:val="21"/>
                        </w:rPr>
                      </w:pPr>
                      <w:r>
                        <w:rPr>
                          <w:rFonts w:ascii="宋体" w:hAnsi="宋体" w:cs="宋体" w:eastAsia="宋体" w:hint="default"/>
                          <w:sz w:val="21"/>
                          <w:szCs w:val="21"/>
                        </w:rPr>
                        <w:t>157,248,800.00</w:t>
                      </w:r>
                      <w:r>
                        <w:rPr>
                          <w:rFonts w:ascii="宋体" w:hAnsi="宋体" w:cs="宋体" w:eastAsia="宋体" w:hint="default"/>
                          <w:spacing w:val="-54"/>
                          <w:sz w:val="21"/>
                          <w:szCs w:val="21"/>
                        </w:rPr>
                        <w:t> </w:t>
                      </w:r>
                      <w:r>
                        <w:rPr>
                          <w:rFonts w:ascii="宋体" w:hAnsi="宋体" w:cs="宋体" w:eastAsia="宋体" w:hint="default"/>
                          <w:sz w:val="21"/>
                          <w:szCs w:val="21"/>
                        </w:rPr>
                        <w:t>元。信永中和会计师事务所有限责任公司已审验上述资金到位情况，并出具了 </w:t>
                      </w:r>
                      <w:r>
                        <w:rPr>
                          <w:rFonts w:ascii="宋体" w:hAnsi="宋体" w:cs="宋体" w:eastAsia="宋体" w:hint="default"/>
                          <w:sz w:val="21"/>
                          <w:szCs w:val="21"/>
                        </w:rPr>
                        <w:t>XYZH/2011CDA4005</w:t>
                      </w:r>
                      <w:r>
                        <w:rPr>
                          <w:rFonts w:ascii="宋体" w:hAnsi="宋体" w:cs="宋体" w:eastAsia="宋体" w:hint="default"/>
                          <w:spacing w:val="-29"/>
                          <w:sz w:val="21"/>
                          <w:szCs w:val="21"/>
                        </w:rPr>
                        <w:t> </w:t>
                      </w:r>
                      <w:r>
                        <w:rPr>
                          <w:rFonts w:ascii="宋体" w:hAnsi="宋体" w:cs="宋体" w:eastAsia="宋体" w:hint="default"/>
                          <w:spacing w:val="-4"/>
                          <w:sz w:val="21"/>
                          <w:szCs w:val="21"/>
                        </w:rPr>
                        <w:t>号《验资报告》。公司已将发行的全部募集资金存放于募集资金专户管理。</w:t>
                      </w:r>
                    </w:p>
                    <w:p>
                      <w:pPr>
                        <w:spacing w:line="273" w:lineRule="auto" w:before="47"/>
                        <w:ind w:left="27" w:right="27" w:firstLine="0"/>
                        <w:jc w:val="both"/>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年非公开发行股票经中国证劵监督管理委员会《关于核准四川依米康环境科技股份有限公司 向宋正兴等发行股份购买资产并募集配套资金的批复》</w:t>
                      </w:r>
                      <w:r>
                        <w:rPr>
                          <w:rFonts w:ascii="宋体" w:hAnsi="宋体" w:cs="宋体" w:eastAsia="宋体" w:hint="default"/>
                          <w:sz w:val="21"/>
                          <w:szCs w:val="21"/>
                        </w:rPr>
                        <w:t>(</w:t>
                      </w:r>
                      <w:r>
                        <w:rPr>
                          <w:rFonts w:ascii="宋体" w:hAnsi="宋体" w:cs="宋体" w:eastAsia="宋体" w:hint="default"/>
                          <w:sz w:val="21"/>
                          <w:szCs w:val="21"/>
                        </w:rPr>
                        <w:t>证监许可</w:t>
                      </w:r>
                      <w:r>
                        <w:rPr>
                          <w:rFonts w:ascii="宋体" w:hAnsi="宋体" w:cs="宋体" w:eastAsia="宋体" w:hint="default"/>
                          <w:sz w:val="21"/>
                          <w:szCs w:val="21"/>
                        </w:rPr>
                        <w:t>[2014]1139</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核准，本公司非公开发 行人民币普通股</w:t>
                      </w:r>
                      <w:r>
                        <w:rPr>
                          <w:rFonts w:ascii="宋体" w:hAnsi="宋体" w:cs="宋体" w:eastAsia="宋体" w:hint="default"/>
                          <w:spacing w:val="-53"/>
                          <w:sz w:val="21"/>
                          <w:szCs w:val="21"/>
                        </w:rPr>
                        <w:t> </w:t>
                      </w:r>
                      <w:r>
                        <w:rPr>
                          <w:rFonts w:ascii="宋体" w:hAnsi="宋体" w:cs="宋体" w:eastAsia="宋体" w:hint="default"/>
                          <w:sz w:val="21"/>
                          <w:szCs w:val="21"/>
                        </w:rPr>
                        <w:t>3,061,484</w:t>
                      </w:r>
                      <w:r>
                        <w:rPr>
                          <w:rFonts w:ascii="宋体" w:hAnsi="宋体" w:cs="宋体" w:eastAsia="宋体" w:hint="default"/>
                          <w:spacing w:val="-53"/>
                          <w:sz w:val="21"/>
                          <w:szCs w:val="21"/>
                        </w:rPr>
                        <w:t> </w:t>
                      </w:r>
                      <w:r>
                        <w:rPr>
                          <w:rFonts w:ascii="宋体" w:hAnsi="宋体" w:cs="宋体" w:eastAsia="宋体" w:hint="default"/>
                          <w:sz w:val="21"/>
                          <w:szCs w:val="21"/>
                        </w:rPr>
                        <w:t>股新股用于募集发行股份票购买江苏亿金环保科技有限公司（以下简称江苏 </w:t>
                      </w:r>
                      <w:r>
                        <w:rPr>
                          <w:rFonts w:ascii="宋体" w:hAnsi="宋体" w:cs="宋体" w:eastAsia="宋体" w:hint="default"/>
                          <w:spacing w:val="-2"/>
                          <w:sz w:val="21"/>
                          <w:szCs w:val="21"/>
                        </w:rPr>
                        <w:t>亿金公司）</w:t>
                      </w:r>
                      <w:r>
                        <w:rPr>
                          <w:rFonts w:ascii="宋体" w:hAnsi="宋体" w:cs="宋体" w:eastAsia="宋体" w:hint="default"/>
                          <w:spacing w:val="-2"/>
                          <w:sz w:val="21"/>
                          <w:szCs w:val="21"/>
                        </w:rPr>
                        <w:t>53%</w:t>
                      </w:r>
                      <w:r>
                        <w:rPr>
                          <w:rFonts w:ascii="宋体" w:hAnsi="宋体" w:cs="宋体" w:eastAsia="宋体" w:hint="default"/>
                          <w:spacing w:val="-2"/>
                          <w:sz w:val="21"/>
                          <w:szCs w:val="21"/>
                        </w:rPr>
                        <w:t>股份资产的配套资金，分别由第一创业证券股份有限公司、财通基金管理有限公司及安信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证券股份有限公司以现金按人民币</w:t>
                      </w:r>
                      <w:r>
                        <w:rPr>
                          <w:rFonts w:ascii="宋体" w:hAnsi="宋体" w:cs="宋体" w:eastAsia="宋体" w:hint="default"/>
                          <w:spacing w:val="-53"/>
                          <w:sz w:val="21"/>
                          <w:szCs w:val="21"/>
                        </w:rPr>
                        <w:t> </w:t>
                      </w:r>
                      <w:r>
                        <w:rPr>
                          <w:rFonts w:ascii="宋体" w:hAnsi="宋体" w:cs="宋体" w:eastAsia="宋体" w:hint="default"/>
                          <w:sz w:val="21"/>
                          <w:szCs w:val="21"/>
                        </w:rPr>
                        <w:t>15.7</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股认购，募集资金总额为人民币</w:t>
                      </w:r>
                      <w:r>
                        <w:rPr>
                          <w:rFonts w:ascii="宋体" w:hAnsi="宋体" w:cs="宋体" w:eastAsia="宋体" w:hint="default"/>
                          <w:spacing w:val="-53"/>
                          <w:sz w:val="21"/>
                          <w:szCs w:val="21"/>
                        </w:rPr>
                        <w:t> </w:t>
                      </w:r>
                      <w:r>
                        <w:rPr>
                          <w:rFonts w:ascii="宋体" w:hAnsi="宋体" w:cs="宋体" w:eastAsia="宋体" w:hint="default"/>
                          <w:sz w:val="21"/>
                          <w:szCs w:val="21"/>
                        </w:rPr>
                        <w:t>48,065,298.80</w:t>
                      </w:r>
                      <w:r>
                        <w:rPr>
                          <w:rFonts w:ascii="宋体" w:hAnsi="宋体" w:cs="宋体" w:eastAsia="宋体" w:hint="default"/>
                          <w:spacing w:val="-53"/>
                          <w:sz w:val="21"/>
                          <w:szCs w:val="21"/>
                        </w:rPr>
                        <w:t> </w:t>
                      </w:r>
                      <w:r>
                        <w:rPr>
                          <w:rFonts w:ascii="宋体" w:hAnsi="宋体" w:cs="宋体" w:eastAsia="宋体" w:hint="default"/>
                          <w:sz w:val="21"/>
                          <w:szCs w:val="21"/>
                        </w:rPr>
                        <w:t>元，扣除本</w:t>
                      </w:r>
                    </w:p>
                    <w:p>
                      <w:pPr>
                        <w:spacing w:before="7"/>
                        <w:ind w:left="27" w:right="0" w:firstLine="0"/>
                        <w:jc w:val="both"/>
                        <w:rPr>
                          <w:rFonts w:ascii="宋体" w:hAnsi="宋体" w:cs="宋体" w:eastAsia="宋体" w:hint="default"/>
                          <w:sz w:val="21"/>
                          <w:szCs w:val="21"/>
                        </w:rPr>
                      </w:pPr>
                      <w:r>
                        <w:rPr>
                          <w:rFonts w:ascii="宋体" w:hAnsi="宋体" w:cs="宋体" w:eastAsia="宋体" w:hint="default"/>
                          <w:sz w:val="21"/>
                          <w:szCs w:val="21"/>
                        </w:rPr>
                        <w:t>次发行费后，募集资金净额为人民币</w:t>
                      </w:r>
                      <w:r>
                        <w:rPr>
                          <w:rFonts w:ascii="宋体" w:hAnsi="宋体" w:cs="宋体" w:eastAsia="宋体" w:hint="default"/>
                          <w:spacing w:val="-53"/>
                          <w:sz w:val="21"/>
                          <w:szCs w:val="21"/>
                        </w:rPr>
                        <w:t> </w:t>
                      </w:r>
                      <w:r>
                        <w:rPr>
                          <w:rFonts w:ascii="宋体" w:hAnsi="宋体" w:cs="宋体" w:eastAsia="宋体" w:hint="default"/>
                          <w:sz w:val="21"/>
                          <w:szCs w:val="21"/>
                        </w:rPr>
                        <w:t>41,510,366.02</w:t>
                      </w:r>
                      <w:r>
                        <w:rPr>
                          <w:rFonts w:ascii="宋体" w:hAnsi="宋体" w:cs="宋体" w:eastAsia="宋体" w:hint="default"/>
                          <w:spacing w:val="-53"/>
                          <w:sz w:val="21"/>
                          <w:szCs w:val="21"/>
                        </w:rPr>
                        <w:t> </w:t>
                      </w:r>
                      <w:r>
                        <w:rPr>
                          <w:rFonts w:ascii="宋体" w:hAnsi="宋体" w:cs="宋体" w:eastAsia="宋体" w:hint="default"/>
                          <w:sz w:val="21"/>
                          <w:szCs w:val="21"/>
                        </w:rPr>
                        <w:t>元。以上募集资金已由信永中和会计师事务所（特</w:t>
                      </w:r>
                    </w:p>
                    <w:p>
                      <w:pPr>
                        <w:spacing w:line="273" w:lineRule="auto" w:before="37"/>
                        <w:ind w:left="27" w:right="85" w:firstLine="0"/>
                        <w:jc w:val="both"/>
                        <w:rPr>
                          <w:rFonts w:ascii="宋体" w:hAnsi="宋体" w:cs="宋体" w:eastAsia="宋体" w:hint="default"/>
                          <w:sz w:val="21"/>
                          <w:szCs w:val="21"/>
                        </w:rPr>
                      </w:pPr>
                      <w:r>
                        <w:rPr>
                          <w:rFonts w:ascii="宋体" w:hAnsi="宋体" w:cs="宋体" w:eastAsia="宋体" w:hint="default"/>
                          <w:sz w:val="21"/>
                          <w:szCs w:val="21"/>
                        </w:rPr>
                        <w:t>殊普通合伙）进行审验，并于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日出具了</w:t>
                      </w:r>
                      <w:r>
                        <w:rPr>
                          <w:rFonts w:ascii="宋体" w:hAnsi="宋体" w:cs="宋体" w:eastAsia="宋体" w:hint="default"/>
                          <w:spacing w:val="-54"/>
                          <w:sz w:val="21"/>
                          <w:szCs w:val="21"/>
                        </w:rPr>
                        <w:t> </w:t>
                      </w:r>
                      <w:r>
                        <w:rPr>
                          <w:rFonts w:ascii="宋体" w:hAnsi="宋体" w:cs="宋体" w:eastAsia="宋体" w:hint="default"/>
                          <w:sz w:val="21"/>
                          <w:szCs w:val="21"/>
                        </w:rPr>
                        <w:t>XYZH/2014CDA4033-3</w:t>
                      </w:r>
                      <w:r>
                        <w:rPr>
                          <w:rFonts w:ascii="宋体" w:hAnsi="宋体" w:cs="宋体" w:eastAsia="宋体" w:hint="default"/>
                          <w:spacing w:val="-53"/>
                          <w:sz w:val="21"/>
                          <w:szCs w:val="21"/>
                        </w:rPr>
                        <w:t> </w:t>
                      </w:r>
                      <w:r>
                        <w:rPr>
                          <w:rFonts w:ascii="宋体" w:hAnsi="宋体" w:cs="宋体" w:eastAsia="宋体" w:hint="default"/>
                          <w:sz w:val="21"/>
                          <w:szCs w:val="21"/>
                        </w:rPr>
                        <w:t>号《四川依米康环境科技 </w:t>
                      </w:r>
                      <w:r>
                        <w:rPr>
                          <w:rFonts w:ascii="宋体" w:hAnsi="宋体" w:cs="宋体" w:eastAsia="宋体" w:hint="default"/>
                          <w:spacing w:val="-4"/>
                          <w:sz w:val="21"/>
                          <w:szCs w:val="21"/>
                        </w:rPr>
                        <w:t>股份有限公司依米康非公开发行股票新增注册资本验资报告》。</w:t>
                      </w:r>
                    </w:p>
                  </w:txbxContent>
                </v:textbox>
                <w10:wrap type="none"/>
              </v:shape>
            </v:group>
          </v:group>
        </w:pict>
      </w:r>
      <w:r>
        <w:rPr>
          <w:rFonts w:ascii="宋体" w:hAnsi="宋体" w:cs="宋体" w:eastAsia="宋体" w:hint="default"/>
          <w:position w:val="-83"/>
          <w:sz w:val="20"/>
          <w:szCs w:val="20"/>
        </w:rPr>
      </w:r>
    </w:p>
    <w:p>
      <w:pPr>
        <w:spacing w:line="240" w:lineRule="auto" w:before="10"/>
        <w:rPr>
          <w:rFonts w:ascii="宋体" w:hAnsi="宋体" w:cs="宋体" w:eastAsia="宋体" w:hint="default"/>
          <w:sz w:val="17"/>
          <w:szCs w:val="17"/>
        </w:rPr>
      </w:pPr>
    </w:p>
    <w:p>
      <w:pPr>
        <w:pStyle w:val="Heading3"/>
        <w:spacing w:line="240" w:lineRule="auto" w:before="26"/>
        <w:ind w:left="1440" w:right="1033"/>
        <w:jc w:val="left"/>
        <w:rPr>
          <w:b w:val="0"/>
          <w:bCs w:val="0"/>
        </w:rPr>
      </w:pPr>
      <w:bookmarkStart w:name="（2）募集资金承诺项目情况" w:id="49"/>
      <w:bookmarkEnd w:id="49"/>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1440" w:right="1033"/>
        <w:jc w:val="left"/>
      </w:pPr>
      <w:r>
        <w:rPr/>
        <w:t>√ 适用 □ 不适用</w:t>
      </w:r>
    </w:p>
    <w:p>
      <w:pPr>
        <w:spacing w:line="240" w:lineRule="auto" w:before="3"/>
        <w:rPr>
          <w:rFonts w:ascii="宋体" w:hAnsi="宋体" w:cs="宋体" w:eastAsia="宋体" w:hint="default"/>
          <w:sz w:val="9"/>
          <w:szCs w:val="9"/>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35"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7"/>
        <w:gridCol w:w="718"/>
        <w:gridCol w:w="718"/>
        <w:gridCol w:w="718"/>
        <w:gridCol w:w="710"/>
      </w:tblGrid>
      <w:tr>
        <w:trPr>
          <w:trHeight w:val="196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189" w:right="84" w:hanging="106"/>
              <w:jc w:val="left"/>
              <w:rPr>
                <w:rFonts w:ascii="宋体" w:hAnsi="宋体" w:cs="宋体" w:eastAsia="宋体" w:hint="default"/>
                <w:sz w:val="21"/>
                <w:szCs w:val="21"/>
              </w:rPr>
            </w:pPr>
            <w:r>
              <w:rPr>
                <w:rFonts w:ascii="宋体" w:hAnsi="宋体" w:cs="宋体" w:eastAsia="宋体" w:hint="default"/>
                <w:sz w:val="21"/>
                <w:szCs w:val="21"/>
              </w:rPr>
              <w:t>承诺投资项目和 超募资金投向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8" w:right="48"/>
              <w:jc w:val="center"/>
              <w:rPr>
                <w:rFonts w:ascii="宋体" w:hAnsi="宋体" w:cs="宋体" w:eastAsia="宋体" w:hint="default"/>
                <w:sz w:val="21"/>
                <w:szCs w:val="21"/>
              </w:rPr>
            </w:pPr>
            <w:r>
              <w:rPr>
                <w:rFonts w:ascii="宋体" w:hAnsi="宋体" w:cs="宋体" w:eastAsia="宋体" w:hint="default"/>
                <w:sz w:val="21"/>
                <w:szCs w:val="21"/>
              </w:rPr>
              <w:t>是否已 变更项 目</w:t>
            </w:r>
            <w:r>
              <w:rPr>
                <w:rFonts w:ascii="宋体" w:hAnsi="宋体" w:cs="宋体" w:eastAsia="宋体" w:hint="default"/>
                <w:sz w:val="21"/>
                <w:szCs w:val="21"/>
              </w:rPr>
              <w:t>(</w:t>
            </w:r>
            <w:r>
              <w:rPr>
                <w:rFonts w:ascii="宋体" w:hAnsi="宋体" w:cs="宋体" w:eastAsia="宋体" w:hint="default"/>
                <w:sz w:val="21"/>
                <w:szCs w:val="21"/>
              </w:rPr>
              <w:t>含 部分变 更</w:t>
            </w:r>
            <w:r>
              <w:rPr>
                <w:rFonts w:ascii="宋体" w:hAnsi="宋体" w:cs="宋体" w:eastAsia="宋体" w:hint="default"/>
                <w:sz w:val="21"/>
                <w:szCs w:val="21"/>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8" w:right="44"/>
              <w:jc w:val="center"/>
              <w:rPr>
                <w:rFonts w:ascii="宋体" w:hAnsi="宋体" w:cs="宋体" w:eastAsia="宋体" w:hint="default"/>
                <w:sz w:val="21"/>
                <w:szCs w:val="21"/>
              </w:rPr>
            </w:pPr>
            <w:r>
              <w:rPr>
                <w:rFonts w:ascii="宋体" w:hAnsi="宋体" w:cs="宋体" w:eastAsia="宋体" w:hint="default"/>
                <w:sz w:val="21"/>
                <w:szCs w:val="21"/>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5" w:right="40"/>
              <w:jc w:val="both"/>
              <w:rPr>
                <w:rFonts w:ascii="宋体" w:hAnsi="宋体" w:cs="宋体" w:eastAsia="宋体" w:hint="default"/>
                <w:sz w:val="21"/>
                <w:szCs w:val="21"/>
              </w:rPr>
            </w:pPr>
            <w:r>
              <w:rPr>
                <w:rFonts w:ascii="宋体" w:hAnsi="宋体" w:cs="宋体" w:eastAsia="宋体" w:hint="default"/>
                <w:sz w:val="21"/>
                <w:szCs w:val="21"/>
              </w:rPr>
              <w:t>调整后 投资总 额</w:t>
            </w:r>
            <w:r>
              <w:rPr>
                <w:rFonts w:ascii="宋体" w:hAnsi="宋体" w:cs="宋体" w:eastAsia="宋体" w:hint="default"/>
                <w:sz w:val="21"/>
                <w:szCs w:val="21"/>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3" w:right="40"/>
              <w:jc w:val="both"/>
              <w:rPr>
                <w:rFonts w:ascii="宋体" w:hAnsi="宋体" w:cs="宋体" w:eastAsia="宋体" w:hint="default"/>
                <w:sz w:val="21"/>
                <w:szCs w:val="21"/>
              </w:rPr>
            </w:pPr>
            <w:r>
              <w:rPr>
                <w:rFonts w:ascii="宋体" w:hAnsi="宋体" w:cs="宋体" w:eastAsia="宋体" w:hint="default"/>
                <w:sz w:val="21"/>
                <w:szCs w:val="21"/>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5" w:right="42"/>
              <w:jc w:val="both"/>
              <w:rPr>
                <w:rFonts w:ascii="宋体" w:hAnsi="宋体" w:cs="宋体" w:eastAsia="宋体" w:hint="default"/>
                <w:sz w:val="21"/>
                <w:szCs w:val="21"/>
              </w:rPr>
            </w:pPr>
            <w:r>
              <w:rPr>
                <w:rFonts w:ascii="宋体" w:hAnsi="宋体" w:cs="宋体" w:eastAsia="宋体" w:hint="default"/>
                <w:sz w:val="21"/>
                <w:szCs w:val="21"/>
              </w:rPr>
              <w:t>截至期 末累计 投入金 额</w:t>
            </w:r>
            <w:r>
              <w:rPr>
                <w:rFonts w:ascii="宋体" w:hAnsi="宋体" w:cs="宋体" w:eastAsia="宋体" w:hint="default"/>
                <w:sz w:val="21"/>
                <w:szCs w:val="21"/>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4" w:right="41"/>
              <w:jc w:val="center"/>
              <w:rPr>
                <w:rFonts w:ascii="宋体" w:hAnsi="宋体" w:cs="宋体" w:eastAsia="宋体" w:hint="default"/>
                <w:sz w:val="21"/>
                <w:szCs w:val="21"/>
              </w:rPr>
            </w:pPr>
            <w:r>
              <w:rPr>
                <w:rFonts w:ascii="宋体" w:hAnsi="宋体" w:cs="宋体" w:eastAsia="宋体" w:hint="default"/>
                <w:sz w:val="21"/>
                <w:szCs w:val="21"/>
              </w:rPr>
              <w:t>截至期 末投资 进度 </w:t>
            </w:r>
            <w:r>
              <w:rPr>
                <w:rFonts w:ascii="宋体" w:hAnsi="宋体" w:cs="宋体" w:eastAsia="宋体" w:hint="default"/>
                <w:sz w:val="21"/>
                <w:szCs w:val="21"/>
              </w:rPr>
              <w:t>(3)</w:t>
            </w:r>
            <w:r>
              <w:rPr>
                <w:rFonts w:ascii="宋体" w:hAnsi="宋体" w:cs="宋体" w:eastAsia="宋体" w:hint="default"/>
                <w:sz w:val="21"/>
                <w:szCs w:val="21"/>
              </w:rPr>
              <w:t>＝ </w:t>
            </w:r>
            <w:r>
              <w:rPr>
                <w:rFonts w:ascii="宋体" w:hAnsi="宋体" w:cs="宋体" w:eastAsia="宋体" w:hint="default"/>
                <w:sz w:val="21"/>
                <w:szCs w:val="21"/>
              </w:rPr>
              <w:t>(2)/(1</w:t>
            </w:r>
          </w:p>
          <w:p>
            <w:pPr>
              <w:pStyle w:val="TableParagraph"/>
              <w:spacing w:line="240" w:lineRule="auto" w:before="9"/>
              <w:ind w:right="6"/>
              <w:jc w:val="center"/>
              <w:rPr>
                <w:rFonts w:ascii="宋体" w:hAnsi="宋体" w:cs="宋体" w:eastAsia="宋体" w:hint="default"/>
                <w:sz w:val="21"/>
                <w:szCs w:val="21"/>
              </w:rPr>
            </w:pPr>
            <w:r>
              <w:rPr>
                <w:rFonts w:ascii="宋体"/>
                <w:sz w:val="21"/>
              </w:rPr>
              <w:t>)</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4" w:right="42"/>
              <w:jc w:val="center"/>
              <w:rPr>
                <w:rFonts w:ascii="宋体" w:hAnsi="宋体" w:cs="宋体" w:eastAsia="宋体" w:hint="default"/>
                <w:sz w:val="21"/>
                <w:szCs w:val="21"/>
              </w:rPr>
            </w:pPr>
            <w:r>
              <w:rPr>
                <w:rFonts w:ascii="宋体" w:hAnsi="宋体" w:cs="宋体" w:eastAsia="宋体" w:hint="default"/>
                <w:sz w:val="21"/>
                <w:szCs w:val="21"/>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5" w:right="41"/>
              <w:jc w:val="both"/>
              <w:rPr>
                <w:rFonts w:ascii="宋体" w:hAnsi="宋体" w:cs="宋体" w:eastAsia="宋体" w:hint="default"/>
                <w:sz w:val="21"/>
                <w:szCs w:val="21"/>
              </w:rPr>
            </w:pPr>
            <w:r>
              <w:rPr>
                <w:rFonts w:ascii="宋体" w:hAnsi="宋体" w:cs="宋体" w:eastAsia="宋体" w:hint="default"/>
                <w:sz w:val="21"/>
                <w:szCs w:val="21"/>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4" w:right="41"/>
              <w:jc w:val="center"/>
              <w:rPr>
                <w:rFonts w:ascii="宋体" w:hAnsi="宋体" w:cs="宋体" w:eastAsia="宋体" w:hint="default"/>
                <w:sz w:val="21"/>
                <w:szCs w:val="21"/>
              </w:rPr>
            </w:pPr>
            <w:r>
              <w:rPr>
                <w:rFonts w:ascii="宋体" w:hAnsi="宋体" w:cs="宋体" w:eastAsia="宋体" w:hint="default"/>
                <w:sz w:val="21"/>
                <w:szCs w:val="21"/>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4" w:right="41"/>
              <w:jc w:val="both"/>
              <w:rPr>
                <w:rFonts w:ascii="宋体" w:hAnsi="宋体" w:cs="宋体" w:eastAsia="宋体" w:hint="default"/>
                <w:sz w:val="21"/>
                <w:szCs w:val="21"/>
              </w:rPr>
            </w:pPr>
            <w:r>
              <w:rPr>
                <w:rFonts w:ascii="宋体" w:hAnsi="宋体" w:cs="宋体" w:eastAsia="宋体" w:hint="default"/>
                <w:sz w:val="21"/>
                <w:szCs w:val="21"/>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2" w:right="35"/>
              <w:jc w:val="center"/>
              <w:rPr>
                <w:rFonts w:ascii="宋体" w:hAnsi="宋体" w:cs="宋体" w:eastAsia="宋体" w:hint="default"/>
                <w:sz w:val="21"/>
                <w:szCs w:val="21"/>
              </w:rPr>
            </w:pPr>
            <w:r>
              <w:rPr>
                <w:rFonts w:ascii="宋体" w:hAnsi="宋体" w:cs="宋体" w:eastAsia="宋体" w:hint="default"/>
                <w:sz w:val="21"/>
                <w:szCs w:val="21"/>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47"/>
              <w:jc w:val="left"/>
              <w:rPr>
                <w:rFonts w:ascii="宋体" w:hAnsi="宋体" w:cs="宋体" w:eastAsia="宋体" w:hint="default"/>
                <w:sz w:val="21"/>
                <w:szCs w:val="21"/>
              </w:rPr>
            </w:pPr>
            <w:r>
              <w:rPr>
                <w:rFonts w:ascii="宋体" w:hAnsi="宋体" w:cs="宋体" w:eastAsia="宋体" w:hint="default"/>
                <w:sz w:val="21"/>
                <w:szCs w:val="21"/>
              </w:rPr>
              <w:t>精密机房空调生 产技术改造项目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4,000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21"/>
                <w:szCs w:val="21"/>
              </w:rPr>
            </w:pPr>
            <w:r>
              <w:rPr>
                <w:rFonts w:ascii="宋体"/>
                <w:sz w:val="21"/>
              </w:rPr>
              <w:t>4,000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宋体" w:hAnsi="宋体" w:cs="宋体" w:eastAsia="宋体" w:hint="default"/>
                <w:sz w:val="21"/>
                <w:szCs w:val="21"/>
              </w:rPr>
            </w:pPr>
            <w:r>
              <w:rPr>
                <w:rFonts w:ascii="宋体"/>
                <w:sz w:val="21"/>
              </w:rPr>
              <w:t>4.48</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21"/>
                <w:szCs w:val="21"/>
              </w:rPr>
            </w:pPr>
            <w:r>
              <w:rPr>
                <w:rFonts w:ascii="宋体"/>
                <w:sz w:val="21"/>
              </w:rPr>
              <w:t>2,929.</w:t>
            </w:r>
          </w:p>
          <w:p>
            <w:pPr>
              <w:pStyle w:val="TableParagraph"/>
              <w:spacing w:line="240" w:lineRule="auto" w:before="38"/>
              <w:ind w:right="17"/>
              <w:jc w:val="right"/>
              <w:rPr>
                <w:rFonts w:ascii="宋体" w:hAnsi="宋体" w:cs="宋体" w:eastAsia="宋体" w:hint="default"/>
                <w:sz w:val="21"/>
                <w:szCs w:val="21"/>
              </w:rPr>
            </w:pPr>
            <w:r>
              <w:rPr>
                <w:rFonts w:ascii="宋体"/>
                <w:sz w:val="21"/>
              </w:rPr>
              <w:t>02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
              <w:jc w:val="right"/>
              <w:rPr>
                <w:rFonts w:ascii="宋体" w:hAnsi="宋体" w:cs="宋体" w:eastAsia="宋体" w:hint="default"/>
                <w:sz w:val="21"/>
                <w:szCs w:val="21"/>
              </w:rPr>
            </w:pPr>
            <w:r>
              <w:rPr>
                <w:rFonts w:ascii="宋体"/>
                <w:sz w:val="21"/>
              </w:rPr>
              <w:t>100.00</w:t>
            </w:r>
          </w:p>
          <w:p>
            <w:pPr>
              <w:pStyle w:val="TableParagraph"/>
              <w:spacing w:line="240" w:lineRule="auto" w:before="38"/>
              <w:ind w:right="17"/>
              <w:jc w:val="right"/>
              <w:rPr>
                <w:rFonts w:ascii="宋体" w:hAnsi="宋体" w:cs="宋体" w:eastAsia="宋体" w:hint="default"/>
                <w:sz w:val="21"/>
                <w:szCs w:val="21"/>
              </w:rPr>
            </w:pPr>
            <w:r>
              <w:rPr>
                <w:rFonts w:ascii="宋体"/>
                <w:sz w:val="21"/>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47"/>
              <w:jc w:val="left"/>
              <w:rPr>
                <w:rFonts w:ascii="宋体" w:hAnsi="宋体" w:cs="宋体" w:eastAsia="宋体" w:hint="default"/>
                <w:sz w:val="21"/>
                <w:szCs w:val="21"/>
              </w:rPr>
            </w:pPr>
            <w:r>
              <w:rPr>
                <w:rFonts w:ascii="宋体" w:hAnsi="宋体" w:cs="宋体" w:eastAsia="宋体" w:hint="default"/>
                <w:sz w:val="21"/>
                <w:szCs w:val="21"/>
              </w:rPr>
              <w:t>技术研发中心技 术改造</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3,000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21"/>
                <w:szCs w:val="21"/>
              </w:rPr>
            </w:pPr>
            <w:r>
              <w:rPr>
                <w:rFonts w:ascii="宋体"/>
                <w:sz w:val="21"/>
              </w:rPr>
              <w:t>3,000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48.78</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21"/>
                <w:szCs w:val="21"/>
              </w:rPr>
            </w:pPr>
            <w:r>
              <w:rPr>
                <w:rFonts w:ascii="宋体"/>
                <w:sz w:val="21"/>
              </w:rPr>
              <w:t>1,575.</w:t>
            </w:r>
          </w:p>
          <w:p>
            <w:pPr>
              <w:pStyle w:val="TableParagraph"/>
              <w:spacing w:line="240" w:lineRule="auto" w:before="38"/>
              <w:ind w:right="17"/>
              <w:jc w:val="right"/>
              <w:rPr>
                <w:rFonts w:ascii="宋体" w:hAnsi="宋体" w:cs="宋体" w:eastAsia="宋体" w:hint="default"/>
                <w:sz w:val="21"/>
                <w:szCs w:val="21"/>
              </w:rPr>
            </w:pPr>
            <w:r>
              <w:rPr>
                <w:rFonts w:ascii="宋体"/>
                <w:sz w:val="21"/>
              </w:rPr>
              <w:t>27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
              <w:jc w:val="right"/>
              <w:rPr>
                <w:rFonts w:ascii="宋体" w:hAnsi="宋体" w:cs="宋体" w:eastAsia="宋体" w:hint="default"/>
                <w:sz w:val="21"/>
                <w:szCs w:val="21"/>
              </w:rPr>
            </w:pPr>
            <w:r>
              <w:rPr>
                <w:rFonts w:ascii="宋体"/>
                <w:sz w:val="21"/>
              </w:rPr>
              <w:t>100.00</w:t>
            </w:r>
          </w:p>
          <w:p>
            <w:pPr>
              <w:pStyle w:val="TableParagraph"/>
              <w:spacing w:line="240" w:lineRule="auto" w:before="38"/>
              <w:ind w:right="17"/>
              <w:jc w:val="right"/>
              <w:rPr>
                <w:rFonts w:ascii="宋体" w:hAnsi="宋体" w:cs="宋体" w:eastAsia="宋体" w:hint="default"/>
                <w:sz w:val="21"/>
                <w:szCs w:val="21"/>
              </w:rPr>
            </w:pPr>
            <w:r>
              <w:rPr>
                <w:rFonts w:ascii="宋体"/>
                <w:sz w:val="21"/>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47"/>
              <w:jc w:val="left"/>
              <w:rPr>
                <w:rFonts w:ascii="宋体" w:hAnsi="宋体" w:cs="宋体" w:eastAsia="宋体" w:hint="default"/>
                <w:sz w:val="21"/>
                <w:szCs w:val="21"/>
              </w:rPr>
            </w:pPr>
            <w:r>
              <w:rPr>
                <w:rFonts w:ascii="宋体" w:hAnsi="宋体" w:cs="宋体" w:eastAsia="宋体" w:hint="default"/>
                <w:sz w:val="21"/>
                <w:szCs w:val="21"/>
              </w:rPr>
              <w:t>营销服务网络建 设技术改造</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2,500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21"/>
                <w:szCs w:val="21"/>
              </w:rPr>
            </w:pPr>
            <w:r>
              <w:rPr>
                <w:rFonts w:ascii="宋体"/>
                <w:sz w:val="21"/>
              </w:rPr>
              <w:t>2,500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21"/>
                <w:szCs w:val="21"/>
              </w:rPr>
            </w:pPr>
            <w:r>
              <w:rPr>
                <w:rFonts w:ascii="宋体"/>
                <w:sz w:val="21"/>
              </w:rPr>
              <w:t>1,710.</w:t>
            </w:r>
          </w:p>
          <w:p>
            <w:pPr>
              <w:pStyle w:val="TableParagraph"/>
              <w:spacing w:line="240" w:lineRule="auto" w:before="38"/>
              <w:ind w:right="17"/>
              <w:jc w:val="right"/>
              <w:rPr>
                <w:rFonts w:ascii="宋体" w:hAnsi="宋体" w:cs="宋体" w:eastAsia="宋体" w:hint="default"/>
                <w:sz w:val="21"/>
                <w:szCs w:val="21"/>
              </w:rPr>
            </w:pPr>
            <w:r>
              <w:rPr>
                <w:rFonts w:ascii="宋体"/>
                <w:sz w:val="21"/>
              </w:rPr>
              <w:t>43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
              <w:jc w:val="right"/>
              <w:rPr>
                <w:rFonts w:ascii="宋体" w:hAnsi="宋体" w:cs="宋体" w:eastAsia="宋体" w:hint="default"/>
                <w:sz w:val="21"/>
                <w:szCs w:val="21"/>
              </w:rPr>
            </w:pPr>
            <w:r>
              <w:rPr>
                <w:rFonts w:ascii="宋体"/>
                <w:sz w:val="21"/>
              </w:rPr>
              <w:t>100.00</w:t>
            </w:r>
          </w:p>
          <w:p>
            <w:pPr>
              <w:pStyle w:val="TableParagraph"/>
              <w:spacing w:line="240" w:lineRule="auto" w:before="38"/>
              <w:ind w:right="17"/>
              <w:jc w:val="right"/>
              <w:rPr>
                <w:rFonts w:ascii="宋体" w:hAnsi="宋体" w:cs="宋体" w:eastAsia="宋体" w:hint="default"/>
                <w:sz w:val="21"/>
                <w:szCs w:val="21"/>
              </w:rPr>
            </w:pPr>
            <w:r>
              <w:rPr>
                <w:rFonts w:ascii="宋体"/>
                <w:sz w:val="21"/>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593.46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
              <w:jc w:val="right"/>
              <w:rPr>
                <w:rFonts w:ascii="宋体" w:hAnsi="宋体" w:cs="宋体" w:eastAsia="宋体" w:hint="default"/>
                <w:sz w:val="21"/>
                <w:szCs w:val="21"/>
              </w:rPr>
            </w:pPr>
            <w:r>
              <w:rPr>
                <w:rFonts w:ascii="宋体"/>
                <w:sz w:val="21"/>
              </w:rPr>
              <w:t>1,643.</w:t>
            </w:r>
          </w:p>
          <w:p>
            <w:pPr>
              <w:pStyle w:val="TableParagraph"/>
              <w:spacing w:line="240" w:lineRule="auto" w:before="38"/>
              <w:ind w:right="15"/>
              <w:jc w:val="right"/>
              <w:rPr>
                <w:rFonts w:ascii="宋体" w:hAnsi="宋体" w:cs="宋体" w:eastAsia="宋体" w:hint="default"/>
                <w:sz w:val="21"/>
                <w:szCs w:val="21"/>
              </w:rPr>
            </w:pPr>
            <w:r>
              <w:rPr>
                <w:rFonts w:ascii="宋体"/>
                <w:sz w:val="21"/>
              </w:rPr>
              <w:t>05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47"/>
              <w:jc w:val="left"/>
              <w:rPr>
                <w:rFonts w:ascii="宋体" w:hAnsi="宋体" w:cs="宋体" w:eastAsia="宋体" w:hint="default"/>
                <w:sz w:val="21"/>
                <w:szCs w:val="21"/>
              </w:rPr>
            </w:pPr>
            <w:r>
              <w:rPr>
                <w:rFonts w:ascii="宋体" w:hAnsi="宋体" w:cs="宋体" w:eastAsia="宋体" w:hint="default"/>
                <w:sz w:val="21"/>
                <w:szCs w:val="21"/>
              </w:rPr>
              <w:t>工程承包业务营 运资金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4,500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21"/>
                <w:szCs w:val="21"/>
              </w:rPr>
            </w:pPr>
            <w:r>
              <w:rPr>
                <w:rFonts w:ascii="宋体"/>
                <w:sz w:val="21"/>
              </w:rPr>
              <w:t>4,500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21"/>
                <w:szCs w:val="21"/>
              </w:rPr>
            </w:pPr>
            <w:r>
              <w:rPr>
                <w:rFonts w:ascii="宋体"/>
                <w:sz w:val="21"/>
              </w:rPr>
              <w:t>4,575.</w:t>
            </w:r>
          </w:p>
          <w:p>
            <w:pPr>
              <w:pStyle w:val="TableParagraph"/>
              <w:spacing w:line="240" w:lineRule="auto" w:before="38"/>
              <w:ind w:right="17"/>
              <w:jc w:val="right"/>
              <w:rPr>
                <w:rFonts w:ascii="宋体" w:hAnsi="宋体" w:cs="宋体" w:eastAsia="宋体" w:hint="default"/>
                <w:sz w:val="21"/>
                <w:szCs w:val="21"/>
              </w:rPr>
            </w:pPr>
            <w:r>
              <w:rPr>
                <w:rFonts w:ascii="宋体"/>
                <w:sz w:val="21"/>
              </w:rPr>
              <w:t>65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
              <w:jc w:val="right"/>
              <w:rPr>
                <w:rFonts w:ascii="宋体" w:hAnsi="宋体" w:cs="宋体" w:eastAsia="宋体" w:hint="default"/>
                <w:sz w:val="21"/>
                <w:szCs w:val="21"/>
              </w:rPr>
            </w:pPr>
            <w:r>
              <w:rPr>
                <w:rFonts w:ascii="宋体"/>
                <w:sz w:val="21"/>
              </w:rPr>
              <w:t>100.00</w:t>
            </w:r>
          </w:p>
          <w:p>
            <w:pPr>
              <w:pStyle w:val="TableParagraph"/>
              <w:spacing w:line="240" w:lineRule="auto" w:before="38"/>
              <w:ind w:right="17"/>
              <w:jc w:val="right"/>
              <w:rPr>
                <w:rFonts w:ascii="宋体" w:hAnsi="宋体" w:cs="宋体" w:eastAsia="宋体" w:hint="default"/>
                <w:sz w:val="21"/>
                <w:szCs w:val="21"/>
              </w:rPr>
            </w:pPr>
            <w:r>
              <w:rPr>
                <w:rFonts w:ascii="宋体"/>
                <w:sz w:val="21"/>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宋体" w:hAnsi="宋体" w:cs="宋体" w:eastAsia="宋体" w:hint="default"/>
                <w:sz w:val="21"/>
                <w:szCs w:val="21"/>
              </w:rPr>
            </w:pPr>
            <w:r>
              <w:rPr>
                <w:rFonts w:ascii="宋体"/>
                <w:sz w:val="21"/>
              </w:rPr>
              <w:t>8.5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0" w:right="0"/>
              <w:jc w:val="left"/>
              <w:rPr>
                <w:rFonts w:ascii="宋体" w:hAnsi="宋体" w:cs="宋体" w:eastAsia="宋体" w:hint="default"/>
                <w:sz w:val="21"/>
                <w:szCs w:val="21"/>
              </w:rPr>
            </w:pPr>
            <w:r>
              <w:rPr>
                <w:rFonts w:ascii="宋体"/>
                <w:sz w:val="21"/>
              </w:rPr>
              <w:t>359.63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7"/>
              <w:jc w:val="both"/>
              <w:rPr>
                <w:rFonts w:ascii="宋体" w:hAnsi="宋体" w:cs="宋体" w:eastAsia="宋体" w:hint="default"/>
                <w:sz w:val="21"/>
                <w:szCs w:val="21"/>
              </w:rPr>
            </w:pPr>
            <w:r>
              <w:rPr>
                <w:rFonts w:ascii="宋体" w:hAnsi="宋体" w:cs="宋体" w:eastAsia="宋体" w:hint="default"/>
                <w:sz w:val="21"/>
                <w:szCs w:val="21"/>
              </w:rPr>
              <w:t>上述募投项目结 项后节余募集资 金永久性补充流 动资金</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21"/>
                <w:szCs w:val="21"/>
              </w:rPr>
            </w:pPr>
            <w:r>
              <w:rPr>
                <w:rFonts w:ascii="宋体"/>
                <w:sz w:val="21"/>
              </w:rPr>
              <w:t>3,544.</w:t>
            </w:r>
          </w:p>
          <w:p>
            <w:pPr>
              <w:pStyle w:val="TableParagraph"/>
              <w:spacing w:line="240" w:lineRule="auto" w:before="38"/>
              <w:ind w:right="17"/>
              <w:jc w:val="right"/>
              <w:rPr>
                <w:rFonts w:ascii="宋体" w:hAnsi="宋体" w:cs="宋体" w:eastAsia="宋体" w:hint="default"/>
                <w:sz w:val="21"/>
                <w:szCs w:val="21"/>
              </w:rPr>
            </w:pPr>
            <w:r>
              <w:rPr>
                <w:rFonts w:ascii="宋体"/>
                <w:sz w:val="21"/>
              </w:rPr>
              <w:t>6</w:t>
            </w:r>
          </w:p>
        </w:tc>
        <w:tc>
          <w:tcPr>
            <w:tcW w:w="718"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147"/>
              <w:jc w:val="left"/>
              <w:rPr>
                <w:rFonts w:ascii="宋体" w:hAnsi="宋体" w:cs="宋体" w:eastAsia="宋体" w:hint="default"/>
                <w:sz w:val="21"/>
                <w:szCs w:val="21"/>
              </w:rPr>
            </w:pPr>
            <w:r>
              <w:rPr>
                <w:rFonts w:ascii="宋体" w:hAnsi="宋体" w:cs="宋体" w:eastAsia="宋体" w:hint="default"/>
                <w:sz w:val="21"/>
                <w:szCs w:val="21"/>
              </w:rPr>
              <w:t>新建除尘、脱硫 脱硝设备生产与</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6"/>
              <w:ind w:left="-158"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5"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z w:val="21"/>
              </w:rPr>
              <w:t>4,151.</w:t>
            </w:r>
          </w:p>
          <w:p>
            <w:pPr>
              <w:pStyle w:val="TableParagraph"/>
              <w:spacing w:line="240" w:lineRule="auto" w:before="38"/>
              <w:ind w:right="16"/>
              <w:jc w:val="right"/>
              <w:rPr>
                <w:rFonts w:ascii="宋体" w:hAnsi="宋体" w:cs="宋体" w:eastAsia="宋体" w:hint="default"/>
                <w:sz w:val="21"/>
                <w:szCs w:val="21"/>
              </w:rPr>
            </w:pPr>
            <w:r>
              <w:rPr>
                <w:rFonts w:ascii="宋体"/>
                <w:sz w:val="21"/>
              </w:rPr>
              <w:t>04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z w:val="21"/>
              </w:rPr>
              <w:t>4,151.</w:t>
            </w:r>
          </w:p>
          <w:p>
            <w:pPr>
              <w:pStyle w:val="TableParagraph"/>
              <w:spacing w:line="240" w:lineRule="auto" w:before="38"/>
              <w:ind w:right="17"/>
              <w:jc w:val="right"/>
              <w:rPr>
                <w:rFonts w:ascii="宋体" w:hAnsi="宋体" w:cs="宋体" w:eastAsia="宋体" w:hint="default"/>
                <w:sz w:val="21"/>
                <w:szCs w:val="21"/>
              </w:rPr>
            </w:pPr>
            <w:r>
              <w:rPr>
                <w:rFonts w:ascii="宋体"/>
                <w:sz w:val="21"/>
              </w:rPr>
              <w:t>04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4,152</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21"/>
                <w:szCs w:val="21"/>
              </w:rPr>
            </w:pPr>
            <w:r>
              <w:rPr>
                <w:rFonts w:ascii="宋体"/>
                <w:sz w:val="21"/>
              </w:rPr>
              <w:t>4,152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6"/>
              <w:jc w:val="right"/>
              <w:rPr>
                <w:rFonts w:ascii="宋体" w:hAnsi="宋体" w:cs="宋体" w:eastAsia="宋体" w:hint="default"/>
                <w:sz w:val="21"/>
                <w:szCs w:val="21"/>
              </w:rPr>
            </w:pPr>
            <w:r>
              <w:rPr>
                <w:rFonts w:ascii="宋体"/>
                <w:sz w:val="21"/>
              </w:rPr>
              <w:t>100.00</w:t>
            </w:r>
          </w:p>
          <w:p>
            <w:pPr>
              <w:pStyle w:val="TableParagraph"/>
              <w:spacing w:line="240" w:lineRule="auto" w:before="38"/>
              <w:ind w:right="17"/>
              <w:jc w:val="right"/>
              <w:rPr>
                <w:rFonts w:ascii="宋体" w:hAnsi="宋体" w:cs="宋体" w:eastAsia="宋体" w:hint="default"/>
                <w:sz w:val="21"/>
                <w:szCs w:val="21"/>
              </w:rPr>
            </w:pPr>
            <w:r>
              <w:rPr>
                <w:rFonts w:ascii="宋体"/>
                <w:sz w:val="21"/>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75"/>
                <w:sz w:val="21"/>
                <w:szCs w:val="21"/>
              </w:rPr>
              <w:t> </w:t>
            </w:r>
            <w:r>
              <w:rPr>
                <w:rFonts w:ascii="宋体" w:hAnsi="宋体" w:cs="宋体" w:eastAsia="宋体" w:hint="default"/>
                <w:sz w:val="21"/>
                <w:szCs w:val="21"/>
              </w:rPr>
              <w:t>年</w:t>
            </w:r>
          </w:p>
          <w:p>
            <w:pPr>
              <w:pStyle w:val="TableParagraph"/>
              <w:spacing w:line="240" w:lineRule="auto" w:before="36"/>
              <w:ind w:left="26"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747" w:footer="979" w:top="1060" w:bottom="1240" w:left="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1435" w:type="dxa"/>
        <w:tblLayout w:type="fixed"/>
        <w:tblCellMar>
          <w:top w:w="0" w:type="dxa"/>
          <w:left w:w="0" w:type="dxa"/>
          <w:bottom w:w="0" w:type="dxa"/>
          <w:right w:w="0" w:type="dxa"/>
        </w:tblCellMar>
        <w:tblLook w:val="01E0"/>
      </w:tblPr>
      <w:tblGrid>
        <w:gridCol w:w="1645"/>
        <w:gridCol w:w="744"/>
        <w:gridCol w:w="723"/>
        <w:gridCol w:w="717"/>
        <w:gridCol w:w="716"/>
        <w:gridCol w:w="700"/>
        <w:gridCol w:w="737"/>
        <w:gridCol w:w="717"/>
        <w:gridCol w:w="718"/>
        <w:gridCol w:w="718"/>
        <w:gridCol w:w="718"/>
        <w:gridCol w:w="710"/>
      </w:tblGrid>
      <w:tr>
        <w:trPr>
          <w:trHeight w:val="374" w:hRule="exact"/>
        </w:trPr>
        <w:tc>
          <w:tcPr>
            <w:tcW w:w="1645" w:type="dxa"/>
            <w:tcBorders>
              <w:top w:val="single" w:sz="10"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研发基地项目</w:t>
            </w:r>
          </w:p>
        </w:tc>
        <w:tc>
          <w:tcPr>
            <w:tcW w:w="744" w:type="dxa"/>
            <w:tcBorders>
              <w:top w:val="single" w:sz="10" w:space="0" w:color="000000"/>
              <w:left w:val="single" w:sz="4" w:space="0" w:color="000000"/>
              <w:bottom w:val="single" w:sz="4" w:space="0" w:color="000000"/>
              <w:right w:val="single" w:sz="4" w:space="0" w:color="000000"/>
            </w:tcBorders>
          </w:tcPr>
          <w:p>
            <w:pPr/>
          </w:p>
        </w:tc>
        <w:tc>
          <w:tcPr>
            <w:tcW w:w="723" w:type="dxa"/>
            <w:tcBorders>
              <w:top w:val="single" w:sz="10" w:space="0" w:color="000000"/>
              <w:left w:val="single" w:sz="4" w:space="0" w:color="000000"/>
              <w:bottom w:val="single" w:sz="4" w:space="0" w:color="000000"/>
              <w:right w:val="single" w:sz="4" w:space="0" w:color="000000"/>
            </w:tcBorders>
          </w:tcPr>
          <w:p>
            <w:pPr/>
          </w:p>
        </w:tc>
        <w:tc>
          <w:tcPr>
            <w:tcW w:w="717" w:type="dxa"/>
            <w:tcBorders>
              <w:top w:val="single" w:sz="10" w:space="0" w:color="000000"/>
              <w:left w:val="single" w:sz="4" w:space="0" w:color="000000"/>
              <w:bottom w:val="single" w:sz="4" w:space="0" w:color="000000"/>
              <w:right w:val="single" w:sz="4" w:space="0" w:color="000000"/>
            </w:tcBorders>
          </w:tcPr>
          <w:p>
            <w:pPr/>
          </w:p>
        </w:tc>
        <w:tc>
          <w:tcPr>
            <w:tcW w:w="716" w:type="dxa"/>
            <w:tcBorders>
              <w:top w:val="single" w:sz="10" w:space="0" w:color="000000"/>
              <w:left w:val="single" w:sz="4" w:space="0" w:color="000000"/>
              <w:bottom w:val="single" w:sz="4" w:space="0" w:color="000000"/>
              <w:right w:val="single" w:sz="4" w:space="0" w:color="000000"/>
            </w:tcBorders>
          </w:tcPr>
          <w:p>
            <w:pPr/>
          </w:p>
        </w:tc>
        <w:tc>
          <w:tcPr>
            <w:tcW w:w="700" w:type="dxa"/>
            <w:tcBorders>
              <w:top w:val="single" w:sz="10" w:space="0" w:color="000000"/>
              <w:left w:val="single" w:sz="4" w:space="0" w:color="000000"/>
              <w:bottom w:val="single" w:sz="4" w:space="0" w:color="000000"/>
              <w:right w:val="single" w:sz="4" w:space="0" w:color="000000"/>
            </w:tcBorders>
          </w:tcPr>
          <w:p>
            <w:pPr/>
          </w:p>
        </w:tc>
        <w:tc>
          <w:tcPr>
            <w:tcW w:w="737" w:type="dxa"/>
            <w:tcBorders>
              <w:top w:val="single" w:sz="10" w:space="0" w:color="000000"/>
              <w:left w:val="single" w:sz="4" w:space="0" w:color="000000"/>
              <w:bottom w:val="single" w:sz="4" w:space="0" w:color="000000"/>
              <w:right w:val="single" w:sz="4" w:space="0" w:color="000000"/>
            </w:tcBorders>
          </w:tcPr>
          <w:p>
            <w:pPr/>
          </w:p>
        </w:tc>
        <w:tc>
          <w:tcPr>
            <w:tcW w:w="717" w:type="dxa"/>
            <w:tcBorders>
              <w:top w:val="single" w:sz="10" w:space="0" w:color="000000"/>
              <w:left w:val="single" w:sz="4" w:space="0" w:color="000000"/>
              <w:bottom w:val="single" w:sz="4" w:space="0" w:color="000000"/>
              <w:right w:val="single" w:sz="4" w:space="0" w:color="000000"/>
            </w:tcBorders>
          </w:tcPr>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18" w:type="dxa"/>
            <w:tcBorders>
              <w:top w:val="single" w:sz="10" w:space="0" w:color="000000"/>
              <w:left w:val="single" w:sz="4" w:space="0" w:color="000000"/>
              <w:bottom w:val="single" w:sz="4" w:space="0" w:color="000000"/>
              <w:right w:val="single" w:sz="4" w:space="0" w:color="000000"/>
            </w:tcBorders>
          </w:tcPr>
          <w:p>
            <w:pPr/>
          </w:p>
        </w:tc>
        <w:tc>
          <w:tcPr>
            <w:tcW w:w="718" w:type="dxa"/>
            <w:tcBorders>
              <w:top w:val="single" w:sz="10" w:space="0" w:color="000000"/>
              <w:left w:val="single" w:sz="4" w:space="0" w:color="000000"/>
              <w:bottom w:val="single" w:sz="4" w:space="0" w:color="000000"/>
              <w:right w:val="single" w:sz="4" w:space="0" w:color="000000"/>
            </w:tcBorders>
          </w:tcPr>
          <w:p>
            <w:pPr/>
          </w:p>
        </w:tc>
        <w:tc>
          <w:tcPr>
            <w:tcW w:w="718"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r>
      <w:tr>
        <w:trPr>
          <w:trHeight w:val="161" w:hRule="exact"/>
        </w:trPr>
        <w:tc>
          <w:tcPr>
            <w:tcW w:w="164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 w:right="140"/>
              <w:jc w:val="left"/>
              <w:rPr>
                <w:rFonts w:ascii="宋体" w:hAnsi="宋体" w:cs="宋体" w:eastAsia="宋体" w:hint="default"/>
                <w:sz w:val="21"/>
                <w:szCs w:val="21"/>
              </w:rPr>
            </w:pPr>
            <w:r>
              <w:rPr>
                <w:rFonts w:ascii="宋体" w:hAnsi="宋体" w:cs="宋体" w:eastAsia="宋体" w:hint="default"/>
                <w:sz w:val="21"/>
                <w:szCs w:val="21"/>
              </w:rPr>
              <w:t>承诺投资项目小 计</w:t>
            </w: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26"/>
              <w:ind w:left="56" w:right="0"/>
              <w:jc w:val="left"/>
              <w:rPr>
                <w:rFonts w:ascii="宋体" w:hAnsi="宋体" w:cs="宋体" w:eastAsia="宋体" w:hint="default"/>
                <w:sz w:val="21"/>
                <w:szCs w:val="21"/>
              </w:rPr>
            </w:pPr>
            <w:r>
              <w:rPr>
                <w:rFonts w:ascii="宋体"/>
                <w:sz w:val="21"/>
              </w:rPr>
              <w:t>18,151</w:t>
            </w:r>
          </w:p>
          <w:p>
            <w:pPr>
              <w:pStyle w:val="TableParagraph"/>
              <w:spacing w:line="240" w:lineRule="auto" w:before="37"/>
              <w:ind w:left="372" w:right="0"/>
              <w:jc w:val="left"/>
              <w:rPr>
                <w:rFonts w:ascii="宋体" w:hAnsi="宋体" w:cs="宋体" w:eastAsia="宋体" w:hint="default"/>
                <w:sz w:val="21"/>
                <w:szCs w:val="21"/>
              </w:rPr>
            </w:pPr>
            <w:r>
              <w:rPr>
                <w:rFonts w:ascii="宋体"/>
                <w:sz w:val="21"/>
              </w:rPr>
              <w:t>.04</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26"/>
              <w:ind w:left="58" w:right="0"/>
              <w:jc w:val="left"/>
              <w:rPr>
                <w:rFonts w:ascii="宋体" w:hAnsi="宋体" w:cs="宋体" w:eastAsia="宋体" w:hint="default"/>
                <w:sz w:val="21"/>
                <w:szCs w:val="21"/>
              </w:rPr>
            </w:pPr>
            <w:r>
              <w:rPr>
                <w:rFonts w:ascii="宋体"/>
                <w:sz w:val="21"/>
              </w:rPr>
              <w:t>18,151</w:t>
            </w:r>
          </w:p>
          <w:p>
            <w:pPr>
              <w:pStyle w:val="TableParagraph"/>
              <w:spacing w:line="240" w:lineRule="auto" w:before="37"/>
              <w:ind w:left="374" w:right="0"/>
              <w:jc w:val="left"/>
              <w:rPr>
                <w:rFonts w:ascii="宋体" w:hAnsi="宋体" w:cs="宋体" w:eastAsia="宋体" w:hint="default"/>
                <w:sz w:val="21"/>
                <w:szCs w:val="21"/>
              </w:rPr>
            </w:pPr>
            <w:r>
              <w:rPr>
                <w:rFonts w:ascii="宋体"/>
                <w:sz w:val="21"/>
              </w:rPr>
              <w:t>.04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26"/>
              <w:ind w:right="16"/>
              <w:jc w:val="right"/>
              <w:rPr>
                <w:rFonts w:ascii="宋体" w:hAnsi="宋体" w:cs="宋体" w:eastAsia="宋体" w:hint="default"/>
                <w:sz w:val="21"/>
                <w:szCs w:val="21"/>
              </w:rPr>
            </w:pPr>
            <w:r>
              <w:rPr>
                <w:rFonts w:ascii="宋体"/>
                <w:sz w:val="21"/>
              </w:rPr>
              <w:t>4,205.</w:t>
            </w:r>
          </w:p>
          <w:p>
            <w:pPr>
              <w:pStyle w:val="TableParagraph"/>
              <w:spacing w:line="240" w:lineRule="auto" w:before="37"/>
              <w:ind w:right="15"/>
              <w:jc w:val="right"/>
              <w:rPr>
                <w:rFonts w:ascii="宋体" w:hAnsi="宋体" w:cs="宋体" w:eastAsia="宋体" w:hint="default"/>
                <w:sz w:val="21"/>
                <w:szCs w:val="21"/>
              </w:rPr>
            </w:pPr>
            <w:r>
              <w:rPr>
                <w:rFonts w:ascii="宋体"/>
                <w:sz w:val="21"/>
              </w:rPr>
              <w:t>26</w:t>
            </w:r>
          </w:p>
        </w:tc>
        <w:tc>
          <w:tcPr>
            <w:tcW w:w="700" w:type="dxa"/>
            <w:vMerge w:val="restart"/>
            <w:tcBorders>
              <w:top w:val="single" w:sz="4" w:space="0" w:color="000000"/>
              <w:left w:val="single" w:sz="4" w:space="0" w:color="000000"/>
              <w:right w:val="single" w:sz="10" w:space="0" w:color="D2D2D2"/>
            </w:tcBorders>
          </w:tcPr>
          <w:p>
            <w:pPr>
              <w:pStyle w:val="TableParagraph"/>
              <w:spacing w:line="240" w:lineRule="auto" w:before="26"/>
              <w:ind w:left="59" w:right="-7"/>
              <w:jc w:val="left"/>
              <w:rPr>
                <w:rFonts w:ascii="宋体" w:hAnsi="宋体" w:cs="宋体" w:eastAsia="宋体" w:hint="default"/>
                <w:sz w:val="21"/>
                <w:szCs w:val="21"/>
              </w:rPr>
            </w:pPr>
            <w:r>
              <w:rPr>
                <w:rFonts w:ascii="宋体"/>
                <w:sz w:val="21"/>
              </w:rPr>
              <w:t>18,486</w:t>
            </w:r>
          </w:p>
          <w:p>
            <w:pPr>
              <w:pStyle w:val="TableParagraph"/>
              <w:spacing w:line="240" w:lineRule="auto" w:before="37"/>
              <w:ind w:left="375" w:right="-7"/>
              <w:jc w:val="left"/>
              <w:rPr>
                <w:rFonts w:ascii="宋体" w:hAnsi="宋体" w:cs="宋体" w:eastAsia="宋体" w:hint="default"/>
                <w:sz w:val="21"/>
                <w:szCs w:val="21"/>
              </w:rPr>
            </w:pPr>
            <w:r>
              <w:rPr>
                <w:rFonts w:ascii="宋体"/>
                <w:sz w:val="21"/>
              </w:rPr>
              <w:t>.97</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2" w:right="0"/>
              <w:jc w:val="left"/>
              <w:rPr>
                <w:rFonts w:ascii="宋体" w:hAnsi="宋体" w:cs="宋体" w:eastAsia="宋体" w:hint="default"/>
                <w:sz w:val="21"/>
                <w:szCs w:val="21"/>
              </w:rPr>
            </w:pPr>
            <w:r>
              <w:rPr>
                <w:rFonts w:ascii="宋体"/>
                <w:sz w:val="21"/>
              </w:rPr>
              <w:t>601.96</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26"/>
              <w:ind w:right="11"/>
              <w:jc w:val="right"/>
              <w:rPr>
                <w:rFonts w:ascii="宋体" w:hAnsi="宋体" w:cs="宋体" w:eastAsia="宋体" w:hint="default"/>
                <w:sz w:val="21"/>
                <w:szCs w:val="21"/>
              </w:rPr>
            </w:pPr>
            <w:r>
              <w:rPr>
                <w:rFonts w:ascii="宋体"/>
                <w:sz w:val="21"/>
              </w:rPr>
              <w:t>2,002.</w:t>
            </w:r>
          </w:p>
          <w:p>
            <w:pPr>
              <w:pStyle w:val="TableParagraph"/>
              <w:spacing w:line="240" w:lineRule="auto" w:before="37"/>
              <w:ind w:right="8"/>
              <w:jc w:val="right"/>
              <w:rPr>
                <w:rFonts w:ascii="宋体" w:hAnsi="宋体" w:cs="宋体" w:eastAsia="宋体" w:hint="default"/>
                <w:sz w:val="21"/>
                <w:szCs w:val="21"/>
              </w:rPr>
            </w:pPr>
            <w:r>
              <w:rPr>
                <w:rFonts w:ascii="宋体"/>
                <w:sz w:val="21"/>
              </w:rPr>
              <w:t>68</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45" w:type="dxa"/>
            <w:vMerge/>
            <w:tcBorders>
              <w:left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sz w:val="21"/>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10" w:space="0" w:color="D2D2D2"/>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72" w:right="0"/>
              <w:jc w:val="left"/>
              <w:rPr>
                <w:rFonts w:ascii="宋体" w:hAnsi="宋体" w:cs="宋体" w:eastAsia="宋体" w:hint="default"/>
                <w:sz w:val="21"/>
                <w:szCs w:val="21"/>
              </w:rPr>
            </w:pPr>
            <w:r>
              <w:rPr>
                <w:rFonts w:ascii="宋体"/>
                <w:sz w:val="21"/>
              </w:rPr>
              <w:t>--</w:t>
            </w:r>
          </w:p>
        </w:tc>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1"/>
              <w:jc w:val="right"/>
              <w:rPr>
                <w:rFonts w:ascii="宋体" w:hAnsi="宋体" w:cs="宋体" w:eastAsia="宋体" w:hint="default"/>
                <w:sz w:val="21"/>
                <w:szCs w:val="21"/>
              </w:rPr>
            </w:pPr>
            <w:r>
              <w:rPr>
                <w:rFonts w:ascii="宋体"/>
                <w:sz w:val="21"/>
              </w:rPr>
              <w:t>--</w:t>
            </w:r>
          </w:p>
        </w:tc>
        <w:tc>
          <w:tcPr>
            <w:tcW w:w="718"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2"/>
              <w:jc w:val="right"/>
              <w:rPr>
                <w:rFonts w:ascii="宋体" w:hAnsi="宋体" w:cs="宋体" w:eastAsia="宋体" w:hint="default"/>
                <w:sz w:val="21"/>
                <w:szCs w:val="21"/>
              </w:rPr>
            </w:pPr>
            <w:r>
              <w:rPr>
                <w:rFonts w:ascii="宋体"/>
                <w:sz w:val="21"/>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46" w:right="0"/>
              <w:jc w:val="left"/>
              <w:rPr>
                <w:rFonts w:ascii="宋体" w:hAnsi="宋体" w:cs="宋体" w:eastAsia="宋体" w:hint="default"/>
                <w:sz w:val="21"/>
                <w:szCs w:val="21"/>
              </w:rPr>
            </w:pPr>
            <w:r>
              <w:rPr>
                <w:rFonts w:ascii="宋体"/>
                <w:sz w:val="21"/>
              </w:rPr>
              <w:t>--</w:t>
            </w:r>
          </w:p>
        </w:tc>
      </w:tr>
      <w:tr>
        <w:trPr>
          <w:trHeight w:val="166" w:hRule="exact"/>
        </w:trPr>
        <w:tc>
          <w:tcPr>
            <w:tcW w:w="1645" w:type="dxa"/>
            <w:vMerge/>
            <w:tcBorders>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10" w:space="0" w:color="D2D2D2"/>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1026"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0"/>
              <w:jc w:val="both"/>
              <w:rPr>
                <w:rFonts w:ascii="宋体" w:hAnsi="宋体" w:cs="宋体" w:eastAsia="宋体" w:hint="default"/>
                <w:sz w:val="21"/>
                <w:szCs w:val="21"/>
              </w:rPr>
            </w:pPr>
            <w:r>
              <w:rPr>
                <w:rFonts w:ascii="宋体" w:hAnsi="宋体" w:cs="宋体" w:eastAsia="宋体" w:hint="default"/>
                <w:sz w:val="21"/>
                <w:szCs w:val="21"/>
              </w:rPr>
              <w:t>收购深圳市龙控 智能技术有限公 司</w:t>
            </w:r>
            <w:r>
              <w:rPr>
                <w:rFonts w:ascii="宋体" w:hAnsi="宋体" w:cs="宋体" w:eastAsia="宋体" w:hint="default"/>
                <w:spacing w:val="-52"/>
                <w:sz w:val="21"/>
                <w:szCs w:val="21"/>
              </w:rPr>
              <w:t> </w:t>
            </w:r>
            <w:r>
              <w:rPr>
                <w:rFonts w:ascii="宋体" w:hAnsi="宋体" w:cs="宋体" w:eastAsia="宋体" w:hint="default"/>
                <w:sz w:val="21"/>
                <w:szCs w:val="21"/>
              </w:rPr>
              <w:t>51%</w:t>
            </w:r>
            <w:r>
              <w:rPr>
                <w:rFonts w:ascii="宋体" w:hAnsi="宋体" w:cs="宋体" w:eastAsia="宋体" w:hint="default"/>
                <w:sz w:val="21"/>
                <w:szCs w:val="21"/>
              </w:rPr>
              <w:t>股权</w:t>
            </w:r>
          </w:p>
        </w:tc>
        <w:tc>
          <w:tcPr>
            <w:tcW w:w="74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56"/>
              <w:jc w:val="right"/>
              <w:rPr>
                <w:rFonts w:ascii="宋体" w:hAnsi="宋体" w:cs="宋体" w:eastAsia="宋体" w:hint="default"/>
                <w:sz w:val="21"/>
                <w:szCs w:val="21"/>
              </w:rPr>
            </w:pPr>
            <w:r>
              <w:rPr>
                <w:rFonts w:ascii="宋体"/>
                <w:sz w:val="21"/>
              </w:rPr>
              <w:t>3,321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6"/>
              <w:ind w:left="18"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18"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24"/>
              <w:jc w:val="right"/>
              <w:rPr>
                <w:rFonts w:ascii="宋体" w:hAnsi="宋体" w:cs="宋体" w:eastAsia="宋体" w:hint="default"/>
                <w:sz w:val="21"/>
                <w:szCs w:val="21"/>
              </w:rPr>
            </w:pPr>
            <w:r>
              <w:rPr>
                <w:rFonts w:ascii="宋体"/>
                <w:sz w:val="21"/>
              </w:rPr>
              <w:t>122.21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51" w:right="0"/>
              <w:jc w:val="left"/>
              <w:rPr>
                <w:rFonts w:ascii="宋体" w:hAnsi="宋体" w:cs="宋体" w:eastAsia="宋体" w:hint="default"/>
                <w:sz w:val="21"/>
                <w:szCs w:val="21"/>
              </w:rPr>
            </w:pPr>
            <w:r>
              <w:rPr>
                <w:rFonts w:ascii="宋体"/>
                <w:sz w:val="21"/>
              </w:rPr>
              <w:t>1,937.</w:t>
            </w:r>
          </w:p>
          <w:p>
            <w:pPr>
              <w:pStyle w:val="TableParagraph"/>
              <w:spacing w:line="240" w:lineRule="auto" w:before="37"/>
              <w:ind w:left="471" w:right="0"/>
              <w:jc w:val="left"/>
              <w:rPr>
                <w:rFonts w:ascii="宋体" w:hAnsi="宋体" w:cs="宋体" w:eastAsia="宋体" w:hint="default"/>
                <w:sz w:val="21"/>
                <w:szCs w:val="21"/>
              </w:rPr>
            </w:pPr>
            <w:r>
              <w:rPr>
                <w:rFonts w:ascii="宋体"/>
                <w:sz w:val="21"/>
              </w:rPr>
              <w:t>67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1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0"/>
              <w:jc w:val="both"/>
              <w:rPr>
                <w:rFonts w:ascii="宋体" w:hAnsi="宋体" w:cs="宋体" w:eastAsia="宋体" w:hint="default"/>
                <w:sz w:val="21"/>
                <w:szCs w:val="21"/>
              </w:rPr>
            </w:pPr>
            <w:r>
              <w:rPr>
                <w:rFonts w:ascii="宋体" w:hAnsi="宋体" w:cs="宋体" w:eastAsia="宋体" w:hint="default"/>
                <w:sz w:val="21"/>
                <w:szCs w:val="21"/>
              </w:rPr>
              <w:t>收购上海虹港数 据信息有限公司 </w:t>
            </w:r>
            <w:r>
              <w:rPr>
                <w:rFonts w:ascii="宋体" w:hAnsi="宋体" w:cs="宋体" w:eastAsia="宋体" w:hint="default"/>
                <w:sz w:val="21"/>
                <w:szCs w:val="21"/>
              </w:rPr>
              <w:t>30%</w:t>
            </w:r>
            <w:r>
              <w:rPr>
                <w:rFonts w:ascii="宋体" w:hAnsi="宋体" w:cs="宋体" w:eastAsia="宋体" w:hint="default"/>
                <w:sz w:val="21"/>
                <w:szCs w:val="21"/>
              </w:rPr>
              <w:t>股权</w:t>
            </w:r>
          </w:p>
        </w:tc>
        <w:tc>
          <w:tcPr>
            <w:tcW w:w="74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56"/>
              <w:jc w:val="right"/>
              <w:rPr>
                <w:rFonts w:ascii="宋体" w:hAnsi="宋体" w:cs="宋体" w:eastAsia="宋体" w:hint="default"/>
                <w:sz w:val="21"/>
                <w:szCs w:val="21"/>
              </w:rPr>
            </w:pPr>
            <w:r>
              <w:rPr>
                <w:rFonts w:ascii="宋体"/>
                <w:sz w:val="21"/>
              </w:rPr>
              <w:t>452.5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6"/>
              <w:ind w:left="18"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18"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z w:val="21"/>
              </w:rPr>
              <w:t>-339.8</w:t>
            </w:r>
          </w:p>
          <w:p>
            <w:pPr>
              <w:pStyle w:val="TableParagraph"/>
              <w:spacing w:line="240" w:lineRule="auto" w:before="37"/>
              <w:ind w:right="23"/>
              <w:jc w:val="right"/>
              <w:rPr>
                <w:rFonts w:ascii="宋体" w:hAnsi="宋体" w:cs="宋体" w:eastAsia="宋体" w:hint="default"/>
                <w:sz w:val="21"/>
                <w:szCs w:val="21"/>
              </w:rPr>
            </w:pPr>
            <w:r>
              <w:rPr>
                <w:rFonts w:ascii="宋体"/>
                <w:sz w:val="21"/>
              </w:rPr>
              <w:t>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5" w:right="0"/>
              <w:jc w:val="center"/>
              <w:rPr>
                <w:rFonts w:ascii="宋体" w:hAnsi="宋体" w:cs="宋体" w:eastAsia="宋体" w:hint="default"/>
                <w:sz w:val="21"/>
                <w:szCs w:val="21"/>
              </w:rPr>
            </w:pPr>
            <w:r>
              <w:rPr>
                <w:rFonts w:ascii="宋体"/>
                <w:sz w:val="21"/>
              </w:rPr>
              <w:t>-576.7</w:t>
            </w: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0"/>
              <w:jc w:val="both"/>
              <w:rPr>
                <w:rFonts w:ascii="宋体" w:hAnsi="宋体" w:cs="宋体" w:eastAsia="宋体" w:hint="default"/>
                <w:sz w:val="21"/>
                <w:szCs w:val="21"/>
              </w:rPr>
            </w:pPr>
            <w:r>
              <w:rPr>
                <w:rFonts w:ascii="宋体" w:hAnsi="宋体" w:cs="宋体" w:eastAsia="宋体" w:hint="default"/>
                <w:sz w:val="21"/>
                <w:szCs w:val="21"/>
              </w:rPr>
              <w:t>上海虹港数据信 息有限公司增资 款</w:t>
            </w:r>
          </w:p>
        </w:tc>
        <w:tc>
          <w:tcPr>
            <w:tcW w:w="74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56"/>
              <w:jc w:val="right"/>
              <w:rPr>
                <w:rFonts w:ascii="宋体" w:hAnsi="宋体" w:cs="宋体" w:eastAsia="宋体" w:hint="default"/>
                <w:sz w:val="21"/>
                <w:szCs w:val="21"/>
              </w:rPr>
            </w:pPr>
            <w:r>
              <w:rPr>
                <w:rFonts w:ascii="宋体"/>
                <w:sz w:val="21"/>
              </w:rPr>
              <w:t>600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6"/>
              <w:ind w:left="1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18"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7"/>
              <w:jc w:val="both"/>
              <w:rPr>
                <w:rFonts w:ascii="宋体" w:hAnsi="宋体" w:cs="宋体" w:eastAsia="宋体" w:hint="default"/>
                <w:sz w:val="21"/>
                <w:szCs w:val="21"/>
              </w:rPr>
            </w:pPr>
            <w:r>
              <w:rPr>
                <w:rFonts w:ascii="宋体" w:hAnsi="宋体" w:cs="宋体" w:eastAsia="宋体" w:hint="default"/>
                <w:sz w:val="21"/>
                <w:szCs w:val="21"/>
              </w:rPr>
              <w:t>收购西安华西信 息智能工程有限 公司</w:t>
            </w:r>
            <w:r>
              <w:rPr>
                <w:rFonts w:ascii="宋体" w:hAnsi="宋体" w:cs="宋体" w:eastAsia="宋体" w:hint="default"/>
                <w:spacing w:val="-52"/>
                <w:sz w:val="21"/>
                <w:szCs w:val="21"/>
              </w:rPr>
              <w:t> </w:t>
            </w:r>
            <w:r>
              <w:rPr>
                <w:rFonts w:ascii="宋体" w:hAnsi="宋体" w:cs="宋体" w:eastAsia="宋体" w:hint="default"/>
                <w:sz w:val="21"/>
                <w:szCs w:val="21"/>
              </w:rPr>
              <w:t>51.07%</w:t>
            </w:r>
            <w:r>
              <w:rPr>
                <w:rFonts w:ascii="宋体" w:hAnsi="宋体" w:cs="宋体" w:eastAsia="宋体" w:hint="default"/>
                <w:sz w:val="21"/>
                <w:szCs w:val="21"/>
              </w:rPr>
              <w:t>股权</w:t>
            </w:r>
          </w:p>
        </w:tc>
        <w:tc>
          <w:tcPr>
            <w:tcW w:w="74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21"/>
                <w:szCs w:val="21"/>
              </w:rPr>
            </w:pPr>
            <w:r>
              <w:rPr>
                <w:rFonts w:ascii="宋体"/>
                <w:sz w:val="21"/>
              </w:rPr>
              <w:t>4,252</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6"/>
              <w:ind w:left="18"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18"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sz w:val="21"/>
              </w:rPr>
              <w:t>168.4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1" w:right="0"/>
              <w:jc w:val="left"/>
              <w:rPr>
                <w:rFonts w:ascii="宋体" w:hAnsi="宋体" w:cs="宋体" w:eastAsia="宋体" w:hint="default"/>
                <w:sz w:val="21"/>
                <w:szCs w:val="21"/>
              </w:rPr>
            </w:pPr>
            <w:r>
              <w:rPr>
                <w:rFonts w:ascii="宋体"/>
                <w:sz w:val="21"/>
              </w:rPr>
              <w:t>1,827.</w:t>
            </w:r>
          </w:p>
          <w:p>
            <w:pPr>
              <w:pStyle w:val="TableParagraph"/>
              <w:spacing w:line="240" w:lineRule="auto" w:before="37"/>
              <w:ind w:left="471" w:right="0"/>
              <w:jc w:val="left"/>
              <w:rPr>
                <w:rFonts w:ascii="宋体" w:hAnsi="宋体" w:cs="宋体" w:eastAsia="宋体" w:hint="default"/>
                <w:sz w:val="21"/>
                <w:szCs w:val="21"/>
              </w:rPr>
            </w:pPr>
            <w:r>
              <w:rPr>
                <w:rFonts w:ascii="宋体"/>
                <w:sz w:val="21"/>
              </w:rPr>
              <w:t>55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40"/>
              <w:jc w:val="both"/>
              <w:rPr>
                <w:rFonts w:ascii="宋体" w:hAnsi="宋体" w:cs="宋体" w:eastAsia="宋体" w:hint="default"/>
                <w:sz w:val="21"/>
                <w:szCs w:val="21"/>
              </w:rPr>
            </w:pPr>
            <w:r>
              <w:rPr>
                <w:rFonts w:ascii="宋体" w:hAnsi="宋体" w:cs="宋体" w:eastAsia="宋体" w:hint="default"/>
                <w:sz w:val="21"/>
                <w:szCs w:val="21"/>
              </w:rPr>
              <w:t>支付上海虹港数 据信息有限公司 增资款</w:t>
            </w:r>
          </w:p>
        </w:tc>
        <w:tc>
          <w:tcPr>
            <w:tcW w:w="74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56"/>
              <w:jc w:val="right"/>
              <w:rPr>
                <w:rFonts w:ascii="宋体" w:hAnsi="宋体" w:cs="宋体" w:eastAsia="宋体" w:hint="default"/>
                <w:sz w:val="21"/>
                <w:szCs w:val="21"/>
              </w:rPr>
            </w:pPr>
            <w:r>
              <w:rPr>
                <w:rFonts w:ascii="宋体"/>
                <w:sz w:val="21"/>
              </w:rPr>
              <w:t>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6"/>
              <w:ind w:left="18" w:right="0"/>
              <w:jc w:val="left"/>
              <w:rPr>
                <w:rFonts w:ascii="宋体" w:hAnsi="宋体" w:cs="宋体" w:eastAsia="宋体" w:hint="default"/>
                <w:sz w:val="21"/>
                <w:szCs w:val="21"/>
              </w:rPr>
            </w:pP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18"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40"/>
              <w:jc w:val="both"/>
              <w:rPr>
                <w:rFonts w:ascii="宋体" w:hAnsi="宋体" w:cs="宋体" w:eastAsia="宋体" w:hint="default"/>
                <w:sz w:val="21"/>
                <w:szCs w:val="21"/>
              </w:rPr>
            </w:pPr>
            <w:r>
              <w:rPr>
                <w:rFonts w:ascii="宋体" w:hAnsi="宋体" w:cs="宋体" w:eastAsia="宋体" w:hint="default"/>
                <w:sz w:val="21"/>
                <w:szCs w:val="21"/>
              </w:rPr>
              <w:t>支付西安华西信 息智能工程有限 公司增资款</w:t>
            </w:r>
          </w:p>
        </w:tc>
        <w:tc>
          <w:tcPr>
            <w:tcW w:w="74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56"/>
              <w:jc w:val="right"/>
              <w:rPr>
                <w:rFonts w:ascii="宋体" w:hAnsi="宋体" w:cs="宋体" w:eastAsia="宋体" w:hint="default"/>
                <w:sz w:val="21"/>
                <w:szCs w:val="21"/>
              </w:rPr>
            </w:pPr>
            <w:r>
              <w:rPr>
                <w:rFonts w:ascii="宋体"/>
                <w:sz w:val="21"/>
              </w:rPr>
              <w:t>439.2</w:t>
            </w:r>
          </w:p>
          <w:p>
            <w:pPr>
              <w:pStyle w:val="TableParagraph"/>
              <w:spacing w:line="240" w:lineRule="auto" w:before="37"/>
              <w:ind w:right="56"/>
              <w:jc w:val="right"/>
              <w:rPr>
                <w:rFonts w:ascii="宋体" w:hAnsi="宋体" w:cs="宋体" w:eastAsia="宋体" w:hint="default"/>
                <w:sz w:val="21"/>
                <w:szCs w:val="21"/>
              </w:rPr>
            </w:pPr>
            <w:r>
              <w:rPr>
                <w:rFonts w:ascii="宋体"/>
                <w:sz w:val="21"/>
              </w:rPr>
              <w:t>1</w:t>
            </w:r>
          </w:p>
        </w:tc>
        <w:tc>
          <w:tcPr>
            <w:tcW w:w="737"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6"/>
              <w:ind w:left="18"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18"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40"/>
              <w:jc w:val="both"/>
              <w:rPr>
                <w:rFonts w:ascii="宋体" w:hAnsi="宋体" w:cs="宋体" w:eastAsia="宋体" w:hint="default"/>
                <w:sz w:val="21"/>
                <w:szCs w:val="21"/>
              </w:rPr>
            </w:pPr>
            <w:r>
              <w:rPr>
                <w:rFonts w:ascii="宋体" w:hAnsi="宋体" w:cs="宋体" w:eastAsia="宋体" w:hint="default"/>
                <w:sz w:val="21"/>
                <w:szCs w:val="21"/>
              </w:rPr>
              <w:t>支付西安华西信 息智能工程有限 公司增资款</w:t>
            </w:r>
          </w:p>
        </w:tc>
        <w:tc>
          <w:tcPr>
            <w:tcW w:w="74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9" w:right="0"/>
              <w:jc w:val="left"/>
              <w:rPr>
                <w:rFonts w:ascii="宋体" w:hAnsi="宋体" w:cs="宋体" w:eastAsia="宋体" w:hint="default"/>
                <w:sz w:val="21"/>
                <w:szCs w:val="21"/>
              </w:rPr>
            </w:pPr>
            <w:r>
              <w:rPr>
                <w:rFonts w:ascii="宋体"/>
                <w:sz w:val="21"/>
              </w:rPr>
              <w:t>1,041.</w:t>
            </w:r>
          </w:p>
          <w:p>
            <w:pPr>
              <w:pStyle w:val="TableParagraph"/>
              <w:spacing w:line="240" w:lineRule="auto" w:before="37"/>
              <w:ind w:left="469" w:right="0"/>
              <w:jc w:val="left"/>
              <w:rPr>
                <w:rFonts w:ascii="宋体" w:hAnsi="宋体" w:cs="宋体" w:eastAsia="宋体" w:hint="default"/>
                <w:sz w:val="21"/>
                <w:szCs w:val="21"/>
              </w:rPr>
            </w:pPr>
            <w:r>
              <w:rPr>
                <w:rFonts w:ascii="宋体"/>
                <w:sz w:val="21"/>
              </w:rPr>
              <w:t>82</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21"/>
                <w:szCs w:val="21"/>
              </w:rPr>
            </w:pPr>
            <w:r>
              <w:rPr>
                <w:rFonts w:ascii="宋体"/>
                <w:sz w:val="21"/>
              </w:rPr>
              <w:t>1,041</w:t>
            </w:r>
          </w:p>
          <w:p>
            <w:pPr>
              <w:pStyle w:val="TableParagraph"/>
              <w:spacing w:line="240" w:lineRule="auto" w:before="37"/>
              <w:ind w:left="318" w:right="0"/>
              <w:jc w:val="left"/>
              <w:rPr>
                <w:rFonts w:ascii="宋体" w:hAnsi="宋体" w:cs="宋体" w:eastAsia="宋体" w:hint="default"/>
                <w:sz w:val="21"/>
                <w:szCs w:val="21"/>
              </w:rPr>
            </w:pPr>
            <w:r>
              <w:rPr>
                <w:rFonts w:ascii="宋体"/>
                <w:sz w:val="21"/>
              </w:rPr>
              <w:t>.82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6"/>
              <w:ind w:left="1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18"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4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2" w:right="16"/>
              <w:jc w:val="left"/>
              <w:rPr>
                <w:rFonts w:ascii="宋体" w:hAnsi="宋体" w:cs="宋体" w:eastAsia="宋体" w:hint="default"/>
                <w:sz w:val="21"/>
                <w:szCs w:val="21"/>
              </w:rPr>
            </w:pPr>
            <w:r>
              <w:rPr>
                <w:rFonts w:ascii="宋体" w:hAnsi="宋体" w:cs="宋体" w:eastAsia="宋体" w:hint="default"/>
                <w:spacing w:val="-11"/>
                <w:sz w:val="21"/>
                <w:szCs w:val="21"/>
              </w:rPr>
              <w:t>归还银行贷款（如</w:t>
            </w:r>
            <w:r>
              <w:rPr>
                <w:rFonts w:ascii="宋体" w:hAnsi="宋体" w:cs="宋体" w:eastAsia="宋体" w:hint="default"/>
                <w:sz w:val="21"/>
                <w:szCs w:val="21"/>
              </w:rPr>
              <w:t> 有）</w:t>
            </w: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17"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21"/>
                <w:szCs w:val="21"/>
              </w:rPr>
            </w:pPr>
            <w:r>
              <w:rPr>
                <w:rFonts w:ascii="宋体"/>
                <w:sz w:val="21"/>
              </w:rPr>
              <w:t>2,100</w:t>
            </w:r>
          </w:p>
        </w:tc>
        <w:tc>
          <w:tcPr>
            <w:tcW w:w="737" w:type="dxa"/>
            <w:vMerge w:val="restart"/>
            <w:tcBorders>
              <w:top w:val="single" w:sz="4" w:space="0" w:color="000000"/>
              <w:left w:val="single" w:sz="4" w:space="0" w:color="000000"/>
              <w:right w:val="single" w:sz="9" w:space="0" w:color="D2D2D2"/>
            </w:tcBorders>
          </w:tcPr>
          <w:p>
            <w:pPr/>
          </w:p>
        </w:tc>
        <w:tc>
          <w:tcPr>
            <w:tcW w:w="7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45" w:type="dxa"/>
            <w:vMerge/>
            <w:tcBorders>
              <w:left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sz w:val="21"/>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4" w:space="0" w:color="000000"/>
            </w:tcBorders>
          </w:tcPr>
          <w:p>
            <w:pPr/>
          </w:p>
        </w:tc>
        <w:tc>
          <w:tcPr>
            <w:tcW w:w="737" w:type="dxa"/>
            <w:vMerge/>
            <w:tcBorders>
              <w:left w:val="single" w:sz="4" w:space="0" w:color="000000"/>
              <w:right w:val="single" w:sz="9" w:space="0" w:color="D2D2D2"/>
            </w:tcBorders>
          </w:tcPr>
          <w:p>
            <w:pPr/>
          </w:p>
        </w:tc>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9"/>
              <w:jc w:val="right"/>
              <w:rPr>
                <w:rFonts w:ascii="宋体" w:hAnsi="宋体" w:cs="宋体" w:eastAsia="宋体" w:hint="default"/>
                <w:sz w:val="21"/>
                <w:szCs w:val="21"/>
              </w:rPr>
            </w:pPr>
            <w:r>
              <w:rPr>
                <w:rFonts w:ascii="宋体"/>
                <w:sz w:val="21"/>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sz w:val="21"/>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sz w:val="21"/>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50"/>
              <w:jc w:val="right"/>
              <w:rPr>
                <w:rFonts w:ascii="宋体" w:hAnsi="宋体" w:cs="宋体" w:eastAsia="宋体" w:hint="default"/>
                <w:sz w:val="21"/>
                <w:szCs w:val="21"/>
              </w:rPr>
            </w:pPr>
            <w:r>
              <w:rPr>
                <w:rFonts w:ascii="宋体"/>
                <w:sz w:val="21"/>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42" w:right="0"/>
              <w:jc w:val="left"/>
              <w:rPr>
                <w:rFonts w:ascii="宋体" w:hAnsi="宋体" w:cs="宋体" w:eastAsia="宋体" w:hint="default"/>
                <w:sz w:val="21"/>
                <w:szCs w:val="21"/>
              </w:rPr>
            </w:pPr>
            <w:r>
              <w:rPr>
                <w:rFonts w:ascii="宋体"/>
                <w:sz w:val="21"/>
              </w:rPr>
              <w:t>--</w:t>
            </w:r>
          </w:p>
        </w:tc>
      </w:tr>
      <w:tr>
        <w:trPr>
          <w:trHeight w:val="161" w:hRule="exact"/>
        </w:trPr>
        <w:tc>
          <w:tcPr>
            <w:tcW w:w="1645" w:type="dxa"/>
            <w:vMerge/>
            <w:tcBorders>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9" w:space="0" w:color="D2D2D2"/>
            </w:tcBorders>
          </w:tcPr>
          <w:p>
            <w:pPr/>
          </w:p>
        </w:tc>
        <w:tc>
          <w:tcPr>
            <w:tcW w:w="7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64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2" w:right="16"/>
              <w:jc w:val="left"/>
              <w:rPr>
                <w:rFonts w:ascii="宋体" w:hAnsi="宋体" w:cs="宋体" w:eastAsia="宋体" w:hint="default"/>
                <w:sz w:val="21"/>
                <w:szCs w:val="21"/>
              </w:rPr>
            </w:pPr>
            <w:r>
              <w:rPr>
                <w:rFonts w:ascii="宋体" w:hAnsi="宋体" w:cs="宋体" w:eastAsia="宋体" w:hint="default"/>
                <w:spacing w:val="-11"/>
                <w:sz w:val="21"/>
                <w:szCs w:val="21"/>
              </w:rPr>
              <w:t>补充流动资金（如</w:t>
            </w:r>
            <w:r>
              <w:rPr>
                <w:rFonts w:ascii="宋体" w:hAnsi="宋体" w:cs="宋体" w:eastAsia="宋体" w:hint="default"/>
                <w:sz w:val="21"/>
                <w:szCs w:val="21"/>
              </w:rPr>
              <w:t> 有）</w:t>
            </w: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17"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sz w:val="21"/>
              </w:rPr>
              <w:t>3,554</w:t>
            </w:r>
          </w:p>
          <w:p>
            <w:pPr>
              <w:pStyle w:val="TableParagraph"/>
              <w:spacing w:line="240" w:lineRule="auto" w:before="37"/>
              <w:ind w:left="318" w:right="0"/>
              <w:jc w:val="left"/>
              <w:rPr>
                <w:rFonts w:ascii="宋体" w:hAnsi="宋体" w:cs="宋体" w:eastAsia="宋体" w:hint="default"/>
                <w:sz w:val="21"/>
                <w:szCs w:val="21"/>
              </w:rPr>
            </w:pPr>
            <w:r>
              <w:rPr>
                <w:rFonts w:ascii="宋体"/>
                <w:sz w:val="21"/>
              </w:rPr>
              <w:t>.55</w:t>
            </w:r>
          </w:p>
        </w:tc>
        <w:tc>
          <w:tcPr>
            <w:tcW w:w="737" w:type="dxa"/>
            <w:vMerge w:val="restart"/>
            <w:tcBorders>
              <w:top w:val="single" w:sz="4" w:space="0" w:color="000000"/>
              <w:left w:val="single" w:sz="4" w:space="0" w:color="000000"/>
              <w:right w:val="single" w:sz="9" w:space="0" w:color="D2D2D2"/>
            </w:tcBorders>
          </w:tcPr>
          <w:p>
            <w:pPr/>
          </w:p>
        </w:tc>
        <w:tc>
          <w:tcPr>
            <w:tcW w:w="7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45" w:type="dxa"/>
            <w:vMerge/>
            <w:tcBorders>
              <w:left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sz w:val="21"/>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4" w:space="0" w:color="000000"/>
            </w:tcBorders>
          </w:tcPr>
          <w:p>
            <w:pPr/>
          </w:p>
        </w:tc>
        <w:tc>
          <w:tcPr>
            <w:tcW w:w="737" w:type="dxa"/>
            <w:vMerge/>
            <w:tcBorders>
              <w:left w:val="single" w:sz="4" w:space="0" w:color="000000"/>
              <w:right w:val="single" w:sz="9" w:space="0" w:color="D2D2D2"/>
            </w:tcBorders>
          </w:tcPr>
          <w:p>
            <w:pPr/>
          </w:p>
        </w:tc>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9"/>
              <w:jc w:val="right"/>
              <w:rPr>
                <w:rFonts w:ascii="宋体" w:hAnsi="宋体" w:cs="宋体" w:eastAsia="宋体" w:hint="default"/>
                <w:sz w:val="21"/>
                <w:szCs w:val="21"/>
              </w:rPr>
            </w:pPr>
            <w:r>
              <w:rPr>
                <w:rFonts w:ascii="宋体"/>
                <w:sz w:val="21"/>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sz w:val="21"/>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sz w:val="21"/>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50"/>
              <w:jc w:val="right"/>
              <w:rPr>
                <w:rFonts w:ascii="宋体" w:hAnsi="宋体" w:cs="宋体" w:eastAsia="宋体" w:hint="default"/>
                <w:sz w:val="21"/>
                <w:szCs w:val="21"/>
              </w:rPr>
            </w:pPr>
            <w:r>
              <w:rPr>
                <w:rFonts w:ascii="宋体"/>
                <w:sz w:val="21"/>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42" w:right="0"/>
              <w:jc w:val="left"/>
              <w:rPr>
                <w:rFonts w:ascii="宋体" w:hAnsi="宋体" w:cs="宋体" w:eastAsia="宋体" w:hint="default"/>
                <w:sz w:val="21"/>
                <w:szCs w:val="21"/>
              </w:rPr>
            </w:pPr>
            <w:r>
              <w:rPr>
                <w:rFonts w:ascii="宋体"/>
                <w:sz w:val="21"/>
              </w:rPr>
              <w:t>--</w:t>
            </w:r>
          </w:p>
        </w:tc>
      </w:tr>
      <w:tr>
        <w:trPr>
          <w:trHeight w:val="161" w:hRule="exact"/>
        </w:trPr>
        <w:tc>
          <w:tcPr>
            <w:tcW w:w="1645" w:type="dxa"/>
            <w:vMerge/>
            <w:tcBorders>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9" w:space="0" w:color="D2D2D2"/>
            </w:tcBorders>
          </w:tcPr>
          <w:p>
            <w:pPr/>
          </w:p>
        </w:tc>
        <w:tc>
          <w:tcPr>
            <w:tcW w:w="7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64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2" w:right="140"/>
              <w:jc w:val="left"/>
              <w:rPr>
                <w:rFonts w:ascii="宋体" w:hAnsi="宋体" w:cs="宋体" w:eastAsia="宋体" w:hint="default"/>
                <w:sz w:val="21"/>
                <w:szCs w:val="21"/>
              </w:rPr>
            </w:pPr>
            <w:r>
              <w:rPr>
                <w:rFonts w:ascii="宋体" w:hAnsi="宋体" w:cs="宋体" w:eastAsia="宋体" w:hint="default"/>
                <w:sz w:val="21"/>
                <w:szCs w:val="21"/>
              </w:rPr>
              <w:t>超募资金投向小 计</w:t>
            </w: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17"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27"/>
              <w:ind w:left="49" w:right="0"/>
              <w:jc w:val="left"/>
              <w:rPr>
                <w:rFonts w:ascii="宋体" w:hAnsi="宋体" w:cs="宋体" w:eastAsia="宋体" w:hint="default"/>
                <w:sz w:val="21"/>
                <w:szCs w:val="21"/>
              </w:rPr>
            </w:pPr>
            <w:r>
              <w:rPr>
                <w:rFonts w:ascii="宋体"/>
                <w:sz w:val="21"/>
              </w:rPr>
              <w:t>1,041.</w:t>
            </w:r>
          </w:p>
          <w:p>
            <w:pPr>
              <w:pStyle w:val="TableParagraph"/>
              <w:spacing w:line="240" w:lineRule="auto" w:before="37"/>
              <w:ind w:left="469" w:right="0"/>
              <w:jc w:val="left"/>
              <w:rPr>
                <w:rFonts w:ascii="宋体" w:hAnsi="宋体" w:cs="宋体" w:eastAsia="宋体" w:hint="default"/>
                <w:sz w:val="21"/>
                <w:szCs w:val="21"/>
              </w:rPr>
            </w:pPr>
            <w:r>
              <w:rPr>
                <w:rFonts w:ascii="宋体"/>
                <w:sz w:val="21"/>
              </w:rPr>
              <w:t>82</w:t>
            </w:r>
          </w:p>
        </w:tc>
        <w:tc>
          <w:tcPr>
            <w:tcW w:w="700" w:type="dxa"/>
            <w:vMerge w:val="restart"/>
            <w:tcBorders>
              <w:top w:val="single" w:sz="4" w:space="0" w:color="000000"/>
              <w:left w:val="single" w:sz="4" w:space="0" w:color="000000"/>
              <w:right w:val="single" w:sz="9" w:space="0" w:color="D2D2D2"/>
            </w:tcBorders>
          </w:tcPr>
          <w:p>
            <w:pPr>
              <w:pStyle w:val="TableParagraph"/>
              <w:spacing w:line="240" w:lineRule="auto" w:before="27"/>
              <w:ind w:left="58" w:right="0"/>
              <w:jc w:val="center"/>
              <w:rPr>
                <w:rFonts w:ascii="宋体" w:hAnsi="宋体" w:cs="宋体" w:eastAsia="宋体" w:hint="default"/>
                <w:sz w:val="21"/>
                <w:szCs w:val="21"/>
              </w:rPr>
            </w:pPr>
            <w:r>
              <w:rPr>
                <w:rFonts w:ascii="宋体"/>
                <w:sz w:val="21"/>
              </w:rPr>
              <w:t>16,26</w:t>
            </w:r>
          </w:p>
          <w:p>
            <w:pPr>
              <w:pStyle w:val="TableParagraph"/>
              <w:spacing w:line="240" w:lineRule="auto" w:before="37"/>
              <w:ind w:left="162" w:right="0"/>
              <w:jc w:val="center"/>
              <w:rPr>
                <w:rFonts w:ascii="宋体" w:hAnsi="宋体" w:cs="宋体" w:eastAsia="宋体" w:hint="default"/>
                <w:sz w:val="21"/>
                <w:szCs w:val="21"/>
              </w:rPr>
            </w:pPr>
            <w:r>
              <w:rPr>
                <w:rFonts w:ascii="宋体"/>
                <w:sz w:val="21"/>
              </w:rPr>
              <w:t>1.28</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sz w:val="21"/>
              </w:rPr>
              <w:t>-49.25</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27"/>
              <w:ind w:right="18"/>
              <w:jc w:val="right"/>
              <w:rPr>
                <w:rFonts w:ascii="宋体" w:hAnsi="宋体" w:cs="宋体" w:eastAsia="宋体" w:hint="default"/>
                <w:sz w:val="21"/>
                <w:szCs w:val="21"/>
              </w:rPr>
            </w:pPr>
            <w:r>
              <w:rPr>
                <w:rFonts w:ascii="宋体"/>
                <w:sz w:val="21"/>
              </w:rPr>
              <w:t>3,188.</w:t>
            </w:r>
          </w:p>
          <w:p>
            <w:pPr>
              <w:pStyle w:val="TableParagraph"/>
              <w:spacing w:line="240" w:lineRule="auto" w:before="37"/>
              <w:ind w:right="17"/>
              <w:jc w:val="right"/>
              <w:rPr>
                <w:rFonts w:ascii="宋体" w:hAnsi="宋体" w:cs="宋体" w:eastAsia="宋体" w:hint="default"/>
                <w:sz w:val="21"/>
                <w:szCs w:val="21"/>
              </w:rPr>
            </w:pPr>
            <w:r>
              <w:rPr>
                <w:rFonts w:ascii="宋体"/>
                <w:sz w:val="21"/>
              </w:rPr>
              <w:t>52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45" w:type="dxa"/>
            <w:vMerge/>
            <w:tcBorders>
              <w:left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sz w:val="21"/>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9" w:space="0" w:color="D2D2D2"/>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38" w:right="0"/>
              <w:jc w:val="left"/>
              <w:rPr>
                <w:rFonts w:ascii="宋体" w:hAnsi="宋体" w:cs="宋体" w:eastAsia="宋体" w:hint="default"/>
                <w:sz w:val="21"/>
                <w:szCs w:val="21"/>
              </w:rPr>
            </w:pPr>
            <w:r>
              <w:rPr>
                <w:rFonts w:ascii="宋体"/>
                <w:sz w:val="21"/>
              </w:rPr>
              <w:t>--</w:t>
            </w:r>
          </w:p>
        </w:tc>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9"/>
              <w:jc w:val="right"/>
              <w:rPr>
                <w:rFonts w:ascii="宋体" w:hAnsi="宋体" w:cs="宋体" w:eastAsia="宋体" w:hint="default"/>
                <w:sz w:val="21"/>
                <w:szCs w:val="21"/>
              </w:rPr>
            </w:pPr>
            <w:r>
              <w:rPr>
                <w:rFonts w:ascii="宋体"/>
                <w:sz w:val="21"/>
              </w:rPr>
              <w:t>--</w:t>
            </w:r>
          </w:p>
        </w:tc>
        <w:tc>
          <w:tcPr>
            <w:tcW w:w="718"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50"/>
              <w:jc w:val="right"/>
              <w:rPr>
                <w:rFonts w:ascii="宋体" w:hAnsi="宋体" w:cs="宋体" w:eastAsia="宋体" w:hint="default"/>
                <w:sz w:val="21"/>
                <w:szCs w:val="21"/>
              </w:rPr>
            </w:pPr>
            <w:r>
              <w:rPr>
                <w:rFonts w:ascii="宋体"/>
                <w:sz w:val="21"/>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42" w:right="0"/>
              <w:jc w:val="left"/>
              <w:rPr>
                <w:rFonts w:ascii="宋体" w:hAnsi="宋体" w:cs="宋体" w:eastAsia="宋体" w:hint="default"/>
                <w:sz w:val="21"/>
                <w:szCs w:val="21"/>
              </w:rPr>
            </w:pPr>
            <w:r>
              <w:rPr>
                <w:rFonts w:ascii="宋体"/>
                <w:sz w:val="21"/>
              </w:rPr>
              <w:t>--</w:t>
            </w:r>
          </w:p>
        </w:tc>
      </w:tr>
      <w:tr>
        <w:trPr>
          <w:trHeight w:val="161" w:hRule="exact"/>
        </w:trPr>
        <w:tc>
          <w:tcPr>
            <w:tcW w:w="1645" w:type="dxa"/>
            <w:vMerge/>
            <w:tcBorders>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9" w:space="0" w:color="D2D2D2"/>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26"/>
              <w:ind w:left="48" w:right="0"/>
              <w:jc w:val="left"/>
              <w:rPr>
                <w:rFonts w:ascii="宋体" w:hAnsi="宋体" w:cs="宋体" w:eastAsia="宋体" w:hint="default"/>
                <w:sz w:val="21"/>
                <w:szCs w:val="21"/>
              </w:rPr>
            </w:pPr>
            <w:r>
              <w:rPr>
                <w:rFonts w:ascii="宋体"/>
                <w:sz w:val="21"/>
              </w:rPr>
              <w:t>18,151</w:t>
            </w:r>
          </w:p>
          <w:p>
            <w:pPr>
              <w:pStyle w:val="TableParagraph"/>
              <w:spacing w:line="240" w:lineRule="auto" w:before="37"/>
              <w:ind w:left="364" w:right="0"/>
              <w:jc w:val="left"/>
              <w:rPr>
                <w:rFonts w:ascii="宋体" w:hAnsi="宋体" w:cs="宋体" w:eastAsia="宋体" w:hint="default"/>
                <w:sz w:val="21"/>
                <w:szCs w:val="21"/>
              </w:rPr>
            </w:pPr>
            <w:r>
              <w:rPr>
                <w:rFonts w:ascii="宋体"/>
                <w:sz w:val="21"/>
              </w:rPr>
              <w:t>.04</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26"/>
              <w:ind w:left="51" w:right="0"/>
              <w:jc w:val="left"/>
              <w:rPr>
                <w:rFonts w:ascii="宋体" w:hAnsi="宋体" w:cs="宋体" w:eastAsia="宋体" w:hint="default"/>
                <w:sz w:val="21"/>
                <w:szCs w:val="21"/>
              </w:rPr>
            </w:pPr>
            <w:r>
              <w:rPr>
                <w:rFonts w:ascii="宋体"/>
                <w:sz w:val="21"/>
              </w:rPr>
              <w:t>18,151</w:t>
            </w:r>
          </w:p>
          <w:p>
            <w:pPr>
              <w:pStyle w:val="TableParagraph"/>
              <w:spacing w:line="240" w:lineRule="auto" w:before="37"/>
              <w:ind w:left="366" w:right="0"/>
              <w:jc w:val="left"/>
              <w:rPr>
                <w:rFonts w:ascii="宋体" w:hAnsi="宋体" w:cs="宋体" w:eastAsia="宋体" w:hint="default"/>
                <w:sz w:val="21"/>
                <w:szCs w:val="21"/>
              </w:rPr>
            </w:pPr>
            <w:r>
              <w:rPr>
                <w:rFonts w:ascii="宋体"/>
                <w:sz w:val="21"/>
              </w:rPr>
              <w:t>.04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26"/>
              <w:ind w:left="49" w:right="0"/>
              <w:jc w:val="left"/>
              <w:rPr>
                <w:rFonts w:ascii="宋体" w:hAnsi="宋体" w:cs="宋体" w:eastAsia="宋体" w:hint="default"/>
                <w:sz w:val="21"/>
                <w:szCs w:val="21"/>
              </w:rPr>
            </w:pPr>
            <w:r>
              <w:rPr>
                <w:rFonts w:ascii="宋体"/>
                <w:sz w:val="21"/>
              </w:rPr>
              <w:t>5,247.</w:t>
            </w:r>
          </w:p>
          <w:p>
            <w:pPr>
              <w:pStyle w:val="TableParagraph"/>
              <w:spacing w:line="240" w:lineRule="auto" w:before="37"/>
              <w:ind w:left="469" w:right="0"/>
              <w:jc w:val="left"/>
              <w:rPr>
                <w:rFonts w:ascii="宋体" w:hAnsi="宋体" w:cs="宋体" w:eastAsia="宋体" w:hint="default"/>
                <w:sz w:val="21"/>
                <w:szCs w:val="21"/>
              </w:rPr>
            </w:pPr>
            <w:r>
              <w:rPr>
                <w:rFonts w:ascii="宋体"/>
                <w:sz w:val="21"/>
              </w:rPr>
              <w:t>08</w:t>
            </w:r>
          </w:p>
        </w:tc>
        <w:tc>
          <w:tcPr>
            <w:tcW w:w="700" w:type="dxa"/>
            <w:vMerge w:val="restart"/>
            <w:tcBorders>
              <w:top w:val="single" w:sz="4" w:space="0" w:color="000000"/>
              <w:left w:val="single" w:sz="4" w:space="0" w:color="000000"/>
              <w:right w:val="single" w:sz="9" w:space="0" w:color="D2D2D2"/>
            </w:tcBorders>
          </w:tcPr>
          <w:p>
            <w:pPr>
              <w:pStyle w:val="TableParagraph"/>
              <w:spacing w:line="240" w:lineRule="auto" w:before="26"/>
              <w:ind w:left="58" w:right="0"/>
              <w:jc w:val="center"/>
              <w:rPr>
                <w:rFonts w:ascii="宋体" w:hAnsi="宋体" w:cs="宋体" w:eastAsia="宋体" w:hint="default"/>
                <w:sz w:val="21"/>
                <w:szCs w:val="21"/>
              </w:rPr>
            </w:pPr>
            <w:r>
              <w:rPr>
                <w:rFonts w:ascii="宋体"/>
                <w:sz w:val="21"/>
              </w:rPr>
              <w:t>34,74</w:t>
            </w:r>
          </w:p>
          <w:p>
            <w:pPr>
              <w:pStyle w:val="TableParagraph"/>
              <w:spacing w:line="240" w:lineRule="auto" w:before="37"/>
              <w:ind w:left="162" w:right="0"/>
              <w:jc w:val="center"/>
              <w:rPr>
                <w:rFonts w:ascii="宋体" w:hAnsi="宋体" w:cs="宋体" w:eastAsia="宋体" w:hint="default"/>
                <w:sz w:val="21"/>
                <w:szCs w:val="21"/>
              </w:rPr>
            </w:pPr>
            <w:r>
              <w:rPr>
                <w:rFonts w:ascii="宋体"/>
                <w:sz w:val="21"/>
              </w:rPr>
              <w:t>8.25</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sz w:val="21"/>
              </w:rPr>
              <w:t>552.71</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26"/>
              <w:ind w:right="18"/>
              <w:jc w:val="right"/>
              <w:rPr>
                <w:rFonts w:ascii="宋体" w:hAnsi="宋体" w:cs="宋体" w:eastAsia="宋体" w:hint="default"/>
                <w:sz w:val="21"/>
                <w:szCs w:val="21"/>
              </w:rPr>
            </w:pPr>
            <w:r>
              <w:rPr>
                <w:rFonts w:ascii="宋体"/>
                <w:sz w:val="21"/>
              </w:rPr>
              <w:t>5,191.</w:t>
            </w:r>
          </w:p>
          <w:p>
            <w:pPr>
              <w:pStyle w:val="TableParagraph"/>
              <w:spacing w:line="240" w:lineRule="auto" w:before="37"/>
              <w:ind w:right="17"/>
              <w:jc w:val="right"/>
              <w:rPr>
                <w:rFonts w:ascii="宋体" w:hAnsi="宋体" w:cs="宋体" w:eastAsia="宋体" w:hint="default"/>
                <w:sz w:val="21"/>
                <w:szCs w:val="21"/>
              </w:rPr>
            </w:pPr>
            <w:r>
              <w:rPr>
                <w:rFonts w:ascii="宋体"/>
                <w:sz w:val="21"/>
              </w:rPr>
              <w:t>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sz w:val="21"/>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9" w:space="0" w:color="D2D2D2"/>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38" w:right="0"/>
              <w:jc w:val="left"/>
              <w:rPr>
                <w:rFonts w:ascii="宋体" w:hAnsi="宋体" w:cs="宋体" w:eastAsia="宋体" w:hint="default"/>
                <w:sz w:val="21"/>
                <w:szCs w:val="21"/>
              </w:rPr>
            </w:pPr>
            <w:r>
              <w:rPr>
                <w:rFonts w:ascii="宋体"/>
                <w:sz w:val="21"/>
              </w:rPr>
              <w:t>--</w:t>
            </w:r>
          </w:p>
        </w:tc>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9"/>
              <w:jc w:val="right"/>
              <w:rPr>
                <w:rFonts w:ascii="宋体" w:hAnsi="宋体" w:cs="宋体" w:eastAsia="宋体" w:hint="default"/>
                <w:sz w:val="21"/>
                <w:szCs w:val="21"/>
              </w:rPr>
            </w:pPr>
            <w:r>
              <w:rPr>
                <w:rFonts w:ascii="宋体"/>
                <w:sz w:val="21"/>
              </w:rPr>
              <w:t>--</w:t>
            </w:r>
          </w:p>
        </w:tc>
        <w:tc>
          <w:tcPr>
            <w:tcW w:w="718"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50"/>
              <w:jc w:val="right"/>
              <w:rPr>
                <w:rFonts w:ascii="宋体" w:hAnsi="宋体" w:cs="宋体" w:eastAsia="宋体" w:hint="default"/>
                <w:sz w:val="21"/>
                <w:szCs w:val="21"/>
              </w:rPr>
            </w:pPr>
            <w:r>
              <w:rPr>
                <w:rFonts w:ascii="宋体"/>
                <w:sz w:val="21"/>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42" w:right="0"/>
              <w:jc w:val="left"/>
              <w:rPr>
                <w:rFonts w:ascii="宋体" w:hAnsi="宋体" w:cs="宋体" w:eastAsia="宋体" w:hint="default"/>
                <w:sz w:val="21"/>
                <w:szCs w:val="21"/>
              </w:rPr>
            </w:pPr>
            <w:r>
              <w:rPr>
                <w:rFonts w:ascii="宋体"/>
                <w:sz w:val="21"/>
              </w:rPr>
              <w:t>--</w:t>
            </w:r>
          </w:p>
        </w:tc>
      </w:tr>
      <w:tr>
        <w:trPr>
          <w:trHeight w:val="161" w:hRule="exact"/>
        </w:trPr>
        <w:tc>
          <w:tcPr>
            <w:tcW w:w="16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9" w:space="0" w:color="D2D2D2"/>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86" w:hRule="exact"/>
        </w:trPr>
        <w:tc>
          <w:tcPr>
            <w:tcW w:w="16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8" w:type="dxa"/>
            <w:gridSpan w:val="11"/>
            <w:vMerge w:val="restart"/>
            <w:tcBorders>
              <w:top w:val="single" w:sz="4" w:space="0" w:color="000000"/>
              <w:left w:val="single" w:sz="9" w:space="0" w:color="D2D2D2"/>
              <w:right w:val="single" w:sz="4" w:space="0" w:color="000000"/>
            </w:tcBorders>
          </w:tcPr>
          <w:p>
            <w:pPr>
              <w:pStyle w:val="TableParagraph"/>
              <w:spacing w:line="273" w:lineRule="auto" w:before="27"/>
              <w:ind w:left="21" w:right="54" w:firstLine="315"/>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、精密机房空调生产技术改造项目已完成库房及生产现场适应性改造工程、精密 机房空调生产线建设、蒸发器和冷凝器生产线建设、钣金生产线建设及产品检测线建 设并正式投入使用，已完成扩大产能所需的主要设备购买并按项目需求完成了人力资 源队伍的建设。公司</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pacing w:val="-1"/>
                <w:sz w:val="21"/>
                <w:szCs w:val="21"/>
              </w:rPr>
              <w:t>年度精密空调设备总产能已达到</w:t>
            </w:r>
            <w:r>
              <w:rPr>
                <w:rFonts w:ascii="宋体" w:hAnsi="宋体" w:cs="宋体" w:eastAsia="宋体" w:hint="default"/>
                <w:spacing w:val="-49"/>
                <w:sz w:val="21"/>
                <w:szCs w:val="21"/>
              </w:rPr>
              <w:t> </w:t>
            </w:r>
            <w:r>
              <w:rPr>
                <w:rFonts w:ascii="宋体" w:hAnsi="宋体" w:cs="宋体" w:eastAsia="宋体" w:hint="default"/>
                <w:sz w:val="21"/>
                <w:szCs w:val="21"/>
              </w:rPr>
              <w:t>5,640</w:t>
            </w:r>
            <w:r>
              <w:rPr>
                <w:rFonts w:ascii="宋体" w:hAnsi="宋体" w:cs="宋体" w:eastAsia="宋体" w:hint="default"/>
                <w:spacing w:val="-49"/>
                <w:sz w:val="21"/>
                <w:szCs w:val="21"/>
              </w:rPr>
              <w:t> </w:t>
            </w:r>
            <w:r>
              <w:rPr>
                <w:rFonts w:ascii="宋体" w:hAnsi="宋体" w:cs="宋体" w:eastAsia="宋体" w:hint="default"/>
                <w:spacing w:val="-13"/>
                <w:sz w:val="21"/>
                <w:szCs w:val="21"/>
              </w:rPr>
              <w:t>台（套），超过原募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投项目计划年总产能</w:t>
            </w:r>
            <w:r>
              <w:rPr>
                <w:rFonts w:ascii="宋体" w:hAnsi="宋体" w:cs="宋体" w:eastAsia="宋体" w:hint="default"/>
                <w:spacing w:val="-53"/>
                <w:sz w:val="21"/>
                <w:szCs w:val="21"/>
              </w:rPr>
              <w:t> </w:t>
            </w:r>
            <w:r>
              <w:rPr>
                <w:rFonts w:ascii="宋体" w:hAnsi="宋体" w:cs="宋体" w:eastAsia="宋体" w:hint="default"/>
                <w:sz w:val="21"/>
                <w:szCs w:val="21"/>
              </w:rPr>
              <w:t>3,500</w:t>
            </w:r>
            <w:r>
              <w:rPr>
                <w:rFonts w:ascii="宋体" w:hAnsi="宋体" w:cs="宋体" w:eastAsia="宋体" w:hint="default"/>
                <w:spacing w:val="-53"/>
                <w:sz w:val="21"/>
                <w:szCs w:val="21"/>
              </w:rPr>
              <w:t> </w:t>
            </w:r>
            <w:r>
              <w:rPr>
                <w:rFonts w:ascii="宋体" w:hAnsi="宋体" w:cs="宋体" w:eastAsia="宋体" w:hint="default"/>
                <w:sz w:val="21"/>
                <w:szCs w:val="21"/>
              </w:rPr>
              <w:t>套的建设目标。该募投项目建设已达到预期目的，</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 结项报告已经董事会审议通过。</w:t>
            </w:r>
          </w:p>
          <w:p>
            <w:pPr>
              <w:pStyle w:val="TableParagraph"/>
              <w:spacing w:line="240" w:lineRule="auto" w:before="46"/>
              <w:ind w:left="33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、技术研发中心技术改造项目于</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月完成项目建设所需厂房的新建工程，</w:t>
            </w:r>
          </w:p>
          <w:p>
            <w:pPr>
              <w:pStyle w:val="TableParagraph"/>
              <w:spacing w:line="273" w:lineRule="auto" w:before="37"/>
              <w:ind w:left="21" w:right="22"/>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月完成大功率综合焓差实验室的建设并投入使用；已完成中试车间建设 </w:t>
            </w:r>
            <w:r>
              <w:rPr>
                <w:rFonts w:ascii="宋体" w:hAnsi="宋体" w:cs="宋体" w:eastAsia="宋体" w:hint="default"/>
                <w:spacing w:val="-2"/>
                <w:sz w:val="21"/>
                <w:szCs w:val="21"/>
              </w:rPr>
              <w:t>及流场仿真、盘管设计软件、平行流换热器计算软件、产品数据管理</w:t>
            </w:r>
            <w:r>
              <w:rPr>
                <w:rFonts w:ascii="宋体" w:hAnsi="宋体" w:cs="宋体" w:eastAsia="宋体" w:hint="default"/>
                <w:spacing w:val="-43"/>
                <w:sz w:val="21"/>
                <w:szCs w:val="21"/>
              </w:rPr>
              <w:t> </w:t>
            </w:r>
            <w:r>
              <w:rPr>
                <w:rFonts w:ascii="宋体" w:hAnsi="宋体" w:cs="宋体" w:eastAsia="宋体" w:hint="default"/>
                <w:spacing w:val="-3"/>
                <w:sz w:val="21"/>
                <w:szCs w:val="21"/>
              </w:rPr>
              <w:t>PDM</w:t>
            </w:r>
            <w:r>
              <w:rPr>
                <w:rFonts w:ascii="宋体" w:hAnsi="宋体" w:cs="宋体" w:eastAsia="宋体" w:hint="default"/>
                <w:spacing w:val="-3"/>
                <w:sz w:val="21"/>
                <w:szCs w:val="21"/>
              </w:rPr>
              <w:t>、三维设计软</w:t>
            </w:r>
          </w:p>
        </w:tc>
      </w:tr>
      <w:tr>
        <w:trPr>
          <w:trHeight w:val="1328" w:hRule="exact"/>
        </w:trPr>
        <w:tc>
          <w:tcPr>
            <w:tcW w:w="16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16"/>
              <w:jc w:val="left"/>
              <w:rPr>
                <w:rFonts w:ascii="宋体" w:hAnsi="宋体" w:cs="宋体" w:eastAsia="宋体" w:hint="default"/>
                <w:sz w:val="21"/>
                <w:szCs w:val="21"/>
              </w:rPr>
            </w:pPr>
            <w:r>
              <w:rPr>
                <w:rFonts w:ascii="宋体" w:hAnsi="宋体" w:cs="宋体" w:eastAsia="宋体" w:hint="default"/>
                <w:sz w:val="21"/>
                <w:szCs w:val="21"/>
              </w:rPr>
              <w:t>未达到计划进度 或预计收益的情 </w:t>
            </w:r>
            <w:r>
              <w:rPr>
                <w:rFonts w:ascii="宋体" w:hAnsi="宋体" w:cs="宋体" w:eastAsia="宋体" w:hint="default"/>
                <w:spacing w:val="-11"/>
                <w:sz w:val="21"/>
                <w:szCs w:val="21"/>
              </w:rPr>
              <w:t>况和原因（分具体</w:t>
            </w:r>
            <w:r>
              <w:rPr>
                <w:rFonts w:ascii="宋体" w:hAnsi="宋体" w:cs="宋体" w:eastAsia="宋体" w:hint="default"/>
                <w:sz w:val="21"/>
                <w:szCs w:val="21"/>
              </w:rPr>
              <w:t> 项目）</w:t>
            </w:r>
          </w:p>
        </w:tc>
        <w:tc>
          <w:tcPr>
            <w:tcW w:w="7918" w:type="dxa"/>
            <w:gridSpan w:val="11"/>
            <w:vMerge/>
            <w:tcBorders>
              <w:left w:val="single" w:sz="9" w:space="0" w:color="D2D2D2"/>
              <w:right w:val="single" w:sz="4" w:space="0" w:color="000000"/>
            </w:tcBorders>
          </w:tcPr>
          <w:p>
            <w:pPr/>
          </w:p>
        </w:tc>
      </w:tr>
      <w:tr>
        <w:trPr>
          <w:trHeight w:val="786" w:hRule="exact"/>
        </w:trPr>
        <w:tc>
          <w:tcPr>
            <w:tcW w:w="16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8" w:type="dxa"/>
            <w:gridSpan w:val="11"/>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71.760002pt;margin-top:55.259983pt;width:478.9pt;height:713.65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5129" w:hRule="exact"/>
                    </w:trPr>
                    <w:tc>
                      <w:tcPr>
                        <w:tcW w:w="165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10"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件等研发软件的实施；已按计划基本完成重点研发项目的研究；已按项目需求完成了</w:t>
                        </w:r>
                      </w:p>
                      <w:p>
                        <w:pPr>
                          <w:pStyle w:val="TableParagraph"/>
                          <w:spacing w:line="273" w:lineRule="auto" w:before="37"/>
                          <w:ind w:left="22" w:right="54"/>
                          <w:jc w:val="both"/>
                          <w:rPr>
                            <w:rFonts w:ascii="宋体" w:hAnsi="宋体" w:cs="宋体" w:eastAsia="宋体" w:hint="default"/>
                            <w:sz w:val="21"/>
                            <w:szCs w:val="21"/>
                          </w:rPr>
                        </w:pPr>
                        <w:r>
                          <w:rPr>
                            <w:rFonts w:ascii="宋体" w:hAnsi="宋体" w:cs="宋体" w:eastAsia="宋体" w:hint="default"/>
                            <w:sz w:val="21"/>
                            <w:szCs w:val="21"/>
                          </w:rPr>
                          <w:t>人力资源队伍建设及办公设备的添置。该募投项目建设已达到预期目的，</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年结项 报告已经董事会审议通过。该项目的建成对公司保持持续创新能力提供强有力支持， 该项目不直接产生经济效益。</w:t>
                        </w:r>
                      </w:p>
                      <w:p>
                        <w:pPr>
                          <w:pStyle w:val="TableParagraph"/>
                          <w:spacing w:line="240" w:lineRule="auto" w:before="47"/>
                          <w:ind w:left="33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、营销服务网络建设技术改造项目已完成</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个客户服务中心升级为营销中心、新</w:t>
                        </w:r>
                      </w:p>
                      <w:p>
                        <w:pPr>
                          <w:pStyle w:val="TableParagraph"/>
                          <w:spacing w:line="240" w:lineRule="auto" w:before="37"/>
                          <w:ind w:left="22" w:right="-48"/>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个营销中心、</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个客户服务点升级为服务中心、新建</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个服务中心及</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个服务站，</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z w:val="21"/>
                            <w:szCs w:val="21"/>
                          </w:rPr>
                          <w:t>已初步建成由</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个营销中心和</w:t>
                        </w:r>
                        <w:r>
                          <w:rPr>
                            <w:rFonts w:ascii="宋体" w:hAnsi="宋体" w:cs="宋体" w:eastAsia="宋体" w:hint="default"/>
                            <w:spacing w:val="-57"/>
                            <w:sz w:val="21"/>
                            <w:szCs w:val="21"/>
                          </w:rPr>
                          <w:t> </w:t>
                        </w:r>
                        <w:r>
                          <w:rPr>
                            <w:rFonts w:ascii="宋体" w:hAnsi="宋体" w:cs="宋体" w:eastAsia="宋体" w:hint="default"/>
                            <w:sz w:val="21"/>
                            <w:szCs w:val="21"/>
                          </w:rPr>
                          <w:t>15</w:t>
                        </w:r>
                        <w:r>
                          <w:rPr>
                            <w:rFonts w:ascii="宋体" w:hAnsi="宋体" w:cs="宋体" w:eastAsia="宋体" w:hint="default"/>
                            <w:spacing w:val="-57"/>
                            <w:sz w:val="21"/>
                            <w:szCs w:val="21"/>
                          </w:rPr>
                          <w:t> </w:t>
                        </w:r>
                        <w:r>
                          <w:rPr>
                            <w:rFonts w:ascii="宋体" w:hAnsi="宋体" w:cs="宋体" w:eastAsia="宋体" w:hint="default"/>
                            <w:sz w:val="21"/>
                            <w:szCs w:val="21"/>
                          </w:rPr>
                          <w:t>个服务中心以及</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个服务站组成的覆盖全国主要城市 的营销服务网络；基本完成了各级营销服务网点的固定资产投资、营销服务人力资源 队伍的建设、备件库建设、市场动态的研究、营销和售后服务效率的提升等。该募投 项目建设已达到预期目的，</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年结项报告已经董事会审议通过。</w:t>
                        </w:r>
                      </w:p>
                      <w:p>
                        <w:pPr>
                          <w:pStyle w:val="TableParagraph"/>
                          <w:spacing w:line="273" w:lineRule="auto" w:before="46"/>
                          <w:ind w:left="22" w:right="22" w:firstLine="315"/>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、工程承包业务营运资金项目计划投资总额已使用完毕；该项目资金通过对桑瑞 思增资后全部用于精密环境工程业务开展所需的异地市场备案保证金、前期市场开拓 </w:t>
                        </w:r>
                        <w:r>
                          <w:rPr>
                            <w:rFonts w:ascii="宋体" w:hAnsi="宋体" w:cs="宋体" w:eastAsia="宋体" w:hint="default"/>
                            <w:spacing w:val="-1"/>
                            <w:sz w:val="21"/>
                            <w:szCs w:val="21"/>
                          </w:rPr>
                          <w:t>方案设计所发生的相关咨询费</w:t>
                        </w:r>
                        <w:r>
                          <w:rPr>
                            <w:rFonts w:ascii="宋体" w:hAnsi="宋体" w:cs="宋体" w:eastAsia="宋体" w:hint="default"/>
                            <w:spacing w:val="-1"/>
                            <w:sz w:val="21"/>
                            <w:szCs w:val="21"/>
                          </w:rPr>
                          <w:t>/</w:t>
                        </w:r>
                        <w:r>
                          <w:rPr>
                            <w:rFonts w:ascii="宋体" w:hAnsi="宋体" w:cs="宋体" w:eastAsia="宋体" w:hint="default"/>
                            <w:spacing w:val="-1"/>
                            <w:sz w:val="21"/>
                            <w:szCs w:val="21"/>
                          </w:rPr>
                          <w:t>差旅费</w:t>
                        </w:r>
                        <w:r>
                          <w:rPr>
                            <w:rFonts w:ascii="宋体" w:hAnsi="宋体" w:cs="宋体" w:eastAsia="宋体" w:hint="default"/>
                            <w:spacing w:val="-1"/>
                            <w:sz w:val="21"/>
                            <w:szCs w:val="21"/>
                          </w:rPr>
                          <w:t>/</w:t>
                        </w:r>
                        <w:r>
                          <w:rPr>
                            <w:rFonts w:ascii="宋体" w:hAnsi="宋体" w:cs="宋体" w:eastAsia="宋体" w:hint="default"/>
                            <w:spacing w:val="-1"/>
                            <w:sz w:val="21"/>
                            <w:szCs w:val="21"/>
                          </w:rPr>
                          <w:t>业务费、项目投标保证金</w:t>
                        </w:r>
                        <w:r>
                          <w:rPr>
                            <w:rFonts w:ascii="宋体" w:hAnsi="宋体" w:cs="宋体" w:eastAsia="宋体" w:hint="default"/>
                            <w:spacing w:val="-1"/>
                            <w:sz w:val="21"/>
                            <w:szCs w:val="21"/>
                          </w:rPr>
                          <w:t>/</w:t>
                        </w:r>
                        <w:r>
                          <w:rPr>
                            <w:rFonts w:ascii="宋体" w:hAnsi="宋体" w:cs="宋体" w:eastAsia="宋体" w:hint="default"/>
                            <w:spacing w:val="-1"/>
                            <w:sz w:val="21"/>
                            <w:szCs w:val="21"/>
                          </w:rPr>
                          <w:t>履约保证金、工程项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目施工的开办费用</w:t>
                        </w:r>
                        <w:r>
                          <w:rPr>
                            <w:rFonts w:ascii="宋体" w:hAnsi="宋体" w:cs="宋体" w:eastAsia="宋体" w:hint="default"/>
                            <w:sz w:val="21"/>
                            <w:szCs w:val="21"/>
                          </w:rPr>
                          <w:t>/</w:t>
                        </w:r>
                        <w:r>
                          <w:rPr>
                            <w:rFonts w:ascii="宋体" w:hAnsi="宋体" w:cs="宋体" w:eastAsia="宋体" w:hint="default"/>
                            <w:sz w:val="21"/>
                            <w:szCs w:val="21"/>
                          </w:rPr>
                          <w:t>人工费用</w:t>
                        </w:r>
                        <w:r>
                          <w:rPr>
                            <w:rFonts w:ascii="宋体" w:hAnsi="宋体" w:cs="宋体" w:eastAsia="宋体" w:hint="default"/>
                            <w:sz w:val="21"/>
                            <w:szCs w:val="21"/>
                          </w:rPr>
                          <w:t>/</w:t>
                        </w:r>
                        <w:r>
                          <w:rPr>
                            <w:rFonts w:ascii="宋体" w:hAnsi="宋体" w:cs="宋体" w:eastAsia="宋体" w:hint="default"/>
                            <w:sz w:val="21"/>
                            <w:szCs w:val="21"/>
                          </w:rPr>
                          <w:t>设备和材料采购费用以及工程后期服务所需的保修费用</w:t>
                        </w:r>
                      </w:p>
                      <w:p>
                        <w:pPr>
                          <w:pStyle w:val="TableParagraph"/>
                          <w:spacing w:line="273" w:lineRule="auto" w:before="7"/>
                          <w:ind w:left="22" w:right="22"/>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质量保证金等。该募投项目建设已达到预期目的，</w:t>
                        </w:r>
                        <w:r>
                          <w:rPr>
                            <w:rFonts w:ascii="宋体" w:hAnsi="宋体" w:cs="宋体" w:eastAsia="宋体" w:hint="default"/>
                            <w:spacing w:val="-3"/>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年结项报告已经董事会审议通 过。</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47"/>
                          <w:jc w:val="both"/>
                          <w:rPr>
                            <w:rFonts w:ascii="宋体" w:hAnsi="宋体" w:cs="宋体" w:eastAsia="宋体" w:hint="default"/>
                            <w:sz w:val="21"/>
                            <w:szCs w:val="21"/>
                          </w:rPr>
                        </w:pPr>
                        <w:r>
                          <w:rPr>
                            <w:rFonts w:ascii="宋体" w:hAnsi="宋体" w:cs="宋体" w:eastAsia="宋体" w:hint="default"/>
                            <w:sz w:val="21"/>
                            <w:szCs w:val="21"/>
                          </w:rPr>
                          <w:t>项目可行性发生 重大变化的情况 说明</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61"/>
                          <w:ind w:left="22" w:right="-33"/>
                          <w:jc w:val="left"/>
                          <w:rPr>
                            <w:rFonts w:ascii="宋体" w:hAnsi="宋体" w:cs="宋体" w:eastAsia="宋体" w:hint="default"/>
                            <w:sz w:val="21"/>
                            <w:szCs w:val="21"/>
                          </w:rPr>
                        </w:pPr>
                        <w:r>
                          <w:rPr>
                            <w:rFonts w:ascii="宋体" w:hAnsi="宋体" w:cs="宋体" w:eastAsia="宋体" w:hint="default"/>
                            <w:spacing w:val="-4"/>
                            <w:sz w:val="21"/>
                            <w:szCs w:val="21"/>
                          </w:rPr>
                          <w:t>超募资金的金额、</w:t>
                        </w:r>
                        <w:r>
                          <w:rPr>
                            <w:rFonts w:ascii="宋体" w:hAnsi="宋体" w:cs="宋体" w:eastAsia="宋体" w:hint="default"/>
                            <w:spacing w:val="-30"/>
                            <w:sz w:val="21"/>
                            <w:szCs w:val="21"/>
                          </w:rPr>
                          <w:t> </w:t>
                        </w:r>
                        <w:r>
                          <w:rPr>
                            <w:rFonts w:ascii="宋体" w:hAnsi="宋体" w:cs="宋体" w:eastAsia="宋体" w:hint="default"/>
                            <w:sz w:val="21"/>
                            <w:szCs w:val="21"/>
                          </w:rPr>
                          <w:t>用途及使用进展</w:t>
                        </w:r>
                        <w:r>
                          <w:rPr>
                            <w:rFonts w:ascii="宋体" w:hAnsi="宋体" w:cs="宋体" w:eastAsia="宋体" w:hint="default"/>
                            <w:sz w:val="21"/>
                            <w:szCs w:val="21"/>
                          </w:rPr>
                          <w:t> 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7699"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9"/>
                            <w:sz w:val="21"/>
                            <w:szCs w:val="21"/>
                          </w:rPr>
                          <w:t>、</w:t>
                        </w:r>
                        <w:r>
                          <w:rPr>
                            <w:rFonts w:ascii="宋体" w:hAnsi="宋体" w:cs="宋体" w:eastAsia="宋体" w:hint="default"/>
                            <w:sz w:val="21"/>
                            <w:szCs w:val="21"/>
                          </w:rPr>
                          <w:t>本公司募集资金净额</w:t>
                        </w:r>
                        <w:r>
                          <w:rPr>
                            <w:rFonts w:ascii="宋体" w:hAnsi="宋体" w:cs="宋体" w:eastAsia="宋体" w:hint="default"/>
                            <w:spacing w:val="-52"/>
                            <w:sz w:val="21"/>
                            <w:szCs w:val="21"/>
                          </w:rPr>
                          <w:t> </w:t>
                        </w:r>
                        <w:r>
                          <w:rPr>
                            <w:rFonts w:ascii="宋体" w:hAnsi="宋体" w:cs="宋体" w:eastAsia="宋体" w:hint="default"/>
                            <w:sz w:val="21"/>
                            <w:szCs w:val="21"/>
                          </w:rPr>
                          <w:t>297,248,800</w:t>
                        </w:r>
                        <w:r>
                          <w:rPr>
                            <w:rFonts w:ascii="宋体" w:hAnsi="宋体" w:cs="宋体" w:eastAsia="宋体" w:hint="default"/>
                            <w:spacing w:val="-2"/>
                            <w:sz w:val="21"/>
                            <w:szCs w:val="21"/>
                          </w:rPr>
                          <w:t>.</w:t>
                        </w:r>
                        <w:r>
                          <w:rPr>
                            <w:rFonts w:ascii="宋体" w:hAnsi="宋体" w:cs="宋体" w:eastAsia="宋体" w:hint="default"/>
                            <w:sz w:val="21"/>
                            <w:szCs w:val="21"/>
                          </w:rPr>
                          <w:t>00</w:t>
                        </w:r>
                        <w:r>
                          <w:rPr>
                            <w:rFonts w:ascii="宋体" w:hAnsi="宋体" w:cs="宋体" w:eastAsia="宋体" w:hint="default"/>
                            <w:spacing w:val="-51"/>
                            <w:sz w:val="21"/>
                            <w:szCs w:val="21"/>
                          </w:rPr>
                          <w:t> </w:t>
                        </w:r>
                        <w:r>
                          <w:rPr>
                            <w:rFonts w:ascii="宋体" w:hAnsi="宋体" w:cs="宋体" w:eastAsia="宋体" w:hint="default"/>
                            <w:sz w:val="21"/>
                            <w:szCs w:val="21"/>
                          </w:rPr>
                          <w:t>元</w:t>
                        </w:r>
                        <w:r>
                          <w:rPr>
                            <w:rFonts w:ascii="宋体" w:hAnsi="宋体" w:cs="宋体" w:eastAsia="宋体" w:hint="default"/>
                            <w:spacing w:val="-89"/>
                            <w:sz w:val="21"/>
                            <w:szCs w:val="21"/>
                          </w:rPr>
                          <w:t>，</w:t>
                        </w:r>
                        <w:r>
                          <w:rPr>
                            <w:rFonts w:ascii="宋体" w:hAnsi="宋体" w:cs="宋体" w:eastAsia="宋体" w:hint="default"/>
                            <w:sz w:val="21"/>
                            <w:szCs w:val="21"/>
                          </w:rPr>
                          <w:t>与初</w:t>
                        </w:r>
                        <w:r>
                          <w:rPr>
                            <w:rFonts w:ascii="宋体" w:hAnsi="宋体" w:cs="宋体" w:eastAsia="宋体" w:hint="default"/>
                            <w:spacing w:val="-2"/>
                            <w:sz w:val="21"/>
                            <w:szCs w:val="21"/>
                          </w:rPr>
                          <w:t>始</w:t>
                        </w:r>
                        <w:r>
                          <w:rPr>
                            <w:rFonts w:ascii="宋体" w:hAnsi="宋体" w:cs="宋体" w:eastAsia="宋体" w:hint="default"/>
                            <w:sz w:val="21"/>
                            <w:szCs w:val="21"/>
                          </w:rPr>
                          <w:t>预计募集资金</w:t>
                        </w:r>
                        <w:r>
                          <w:rPr>
                            <w:rFonts w:ascii="宋体" w:hAnsi="宋体" w:cs="宋体" w:eastAsia="宋体" w:hint="default"/>
                            <w:spacing w:val="-52"/>
                            <w:sz w:val="21"/>
                            <w:szCs w:val="21"/>
                          </w:rPr>
                          <w:t> </w:t>
                        </w:r>
                        <w:r>
                          <w:rPr>
                            <w:rFonts w:ascii="宋体" w:hAnsi="宋体" w:cs="宋体" w:eastAsia="宋体" w:hint="default"/>
                            <w:sz w:val="21"/>
                            <w:szCs w:val="21"/>
                          </w:rPr>
                          <w:t>140,000,000.00</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元相比，超募资金为</w:t>
                        </w:r>
                        <w:r>
                          <w:rPr>
                            <w:rFonts w:ascii="宋体" w:hAnsi="宋体" w:cs="宋体" w:eastAsia="宋体" w:hint="default"/>
                            <w:spacing w:val="-52"/>
                            <w:sz w:val="21"/>
                            <w:szCs w:val="21"/>
                          </w:rPr>
                          <w:t> </w:t>
                        </w:r>
                        <w:r>
                          <w:rPr>
                            <w:rFonts w:ascii="宋体" w:hAnsi="宋体" w:cs="宋体" w:eastAsia="宋体" w:hint="default"/>
                            <w:sz w:val="21"/>
                            <w:szCs w:val="21"/>
                          </w:rPr>
                          <w:t>157,248,800.00</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73" w:lineRule="auto" w:before="76"/>
                          <w:ind w:left="22" w:right="55" w:firstLine="315"/>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日，公司第一届董事会第十次会议审议通过了《</w:t>
                        </w:r>
                        <w:r>
                          <w:rPr>
                            <w:rFonts w:ascii="宋体" w:hAnsi="宋体" w:cs="宋体" w:eastAsia="宋体" w:hint="default"/>
                            <w:sz w:val="21"/>
                            <w:szCs w:val="21"/>
                          </w:rPr>
                          <w:t>&lt;</w:t>
                        </w:r>
                        <w:r>
                          <w:rPr>
                            <w:rFonts w:ascii="宋体" w:hAnsi="宋体" w:cs="宋体" w:eastAsia="宋体" w:hint="default"/>
                            <w:sz w:val="21"/>
                            <w:szCs w:val="21"/>
                          </w:rPr>
                          <w:t>关于使用部分 </w:t>
                        </w:r>
                        <w:r>
                          <w:rPr>
                            <w:rFonts w:ascii="宋体" w:hAnsi="宋体" w:cs="宋体" w:eastAsia="宋体" w:hint="default"/>
                            <w:spacing w:val="-3"/>
                            <w:sz w:val="21"/>
                            <w:szCs w:val="21"/>
                          </w:rPr>
                          <w:t>超募资金偿还银行贷款暨超募资金使用计划</w:t>
                        </w:r>
                        <w:r>
                          <w:rPr>
                            <w:rFonts w:ascii="宋体" w:hAnsi="宋体" w:cs="宋体" w:eastAsia="宋体" w:hint="default"/>
                            <w:spacing w:val="-3"/>
                            <w:sz w:val="21"/>
                            <w:szCs w:val="21"/>
                          </w:rPr>
                          <w:t>&gt;</w:t>
                        </w:r>
                        <w:r>
                          <w:rPr>
                            <w:rFonts w:ascii="宋体" w:hAnsi="宋体" w:cs="宋体" w:eastAsia="宋体" w:hint="default"/>
                            <w:spacing w:val="-3"/>
                            <w:sz w:val="21"/>
                            <w:szCs w:val="21"/>
                          </w:rPr>
                          <w:t>的议案》，同意将存储于建行第一支行的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超募资金中的</w:t>
                        </w:r>
                        <w:r>
                          <w:rPr>
                            <w:rFonts w:ascii="宋体" w:hAnsi="宋体" w:cs="宋体" w:eastAsia="宋体" w:hint="default"/>
                            <w:spacing w:val="-53"/>
                            <w:sz w:val="21"/>
                            <w:szCs w:val="21"/>
                          </w:rPr>
                          <w:t> </w:t>
                        </w:r>
                        <w:r>
                          <w:rPr>
                            <w:rFonts w:ascii="宋体" w:hAnsi="宋体" w:cs="宋体" w:eastAsia="宋体" w:hint="default"/>
                            <w:sz w:val="21"/>
                            <w:szCs w:val="21"/>
                          </w:rPr>
                          <w:t>2,100.00</w:t>
                        </w:r>
                        <w:r>
                          <w:rPr>
                            <w:rFonts w:ascii="宋体" w:hAnsi="宋体" w:cs="宋体" w:eastAsia="宋体" w:hint="default"/>
                            <w:spacing w:val="-53"/>
                            <w:sz w:val="21"/>
                            <w:szCs w:val="21"/>
                          </w:rPr>
                          <w:t> </w:t>
                        </w:r>
                        <w:r>
                          <w:rPr>
                            <w:rFonts w:ascii="宋体" w:hAnsi="宋体" w:cs="宋体" w:eastAsia="宋体" w:hint="default"/>
                            <w:sz w:val="21"/>
                            <w:szCs w:val="21"/>
                          </w:rPr>
                          <w:t>万元归还银行贷款。</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日，公司第一届监事会第 六次会议审议通过了《</w:t>
                        </w:r>
                        <w:r>
                          <w:rPr>
                            <w:rFonts w:ascii="宋体" w:hAnsi="宋体" w:cs="宋体" w:eastAsia="宋体" w:hint="default"/>
                            <w:sz w:val="21"/>
                            <w:szCs w:val="21"/>
                          </w:rPr>
                          <w:t>&lt;</w:t>
                        </w:r>
                        <w:r>
                          <w:rPr>
                            <w:rFonts w:ascii="宋体" w:hAnsi="宋体" w:cs="宋体" w:eastAsia="宋体" w:hint="default"/>
                            <w:sz w:val="21"/>
                            <w:szCs w:val="21"/>
                          </w:rPr>
                          <w:t>关于使用部分超募资金偿还银行贷款暨超募资金使用计划</w:t>
                        </w:r>
                        <w:r>
                          <w:rPr>
                            <w:rFonts w:ascii="宋体" w:hAnsi="宋体" w:cs="宋体" w:eastAsia="宋体" w:hint="default"/>
                            <w:sz w:val="21"/>
                            <w:szCs w:val="21"/>
                          </w:rPr>
                          <w:t>&gt;</w:t>
                        </w:r>
                        <w:r>
                          <w:rPr>
                            <w:rFonts w:ascii="宋体" w:hAnsi="宋体" w:cs="宋体" w:eastAsia="宋体" w:hint="default"/>
                            <w:sz w:val="21"/>
                            <w:szCs w:val="21"/>
                          </w:rPr>
                          <w:t>的 </w:t>
                        </w:r>
                        <w:r>
                          <w:rPr>
                            <w:rFonts w:ascii="宋体" w:hAnsi="宋体" w:cs="宋体" w:eastAsia="宋体" w:hint="default"/>
                            <w:spacing w:val="-7"/>
                            <w:sz w:val="21"/>
                            <w:szCs w:val="21"/>
                          </w:rPr>
                          <w:t>议案》，同意公司使用部分超募资金</w:t>
                        </w:r>
                        <w:r>
                          <w:rPr>
                            <w:rFonts w:ascii="宋体" w:hAnsi="宋体" w:cs="宋体" w:eastAsia="宋体" w:hint="default"/>
                            <w:spacing w:val="-46"/>
                            <w:sz w:val="21"/>
                            <w:szCs w:val="21"/>
                          </w:rPr>
                          <w:t> </w:t>
                        </w:r>
                        <w:r>
                          <w:rPr>
                            <w:rFonts w:ascii="宋体" w:hAnsi="宋体" w:cs="宋体" w:eastAsia="宋体" w:hint="default"/>
                            <w:sz w:val="21"/>
                            <w:szCs w:val="21"/>
                          </w:rPr>
                          <w:t>2,100.00</w:t>
                        </w:r>
                        <w:r>
                          <w:rPr>
                            <w:rFonts w:ascii="宋体" w:hAnsi="宋体" w:cs="宋体" w:eastAsia="宋体" w:hint="default"/>
                            <w:spacing w:val="-47"/>
                            <w:sz w:val="21"/>
                            <w:szCs w:val="21"/>
                          </w:rPr>
                          <w:t> </w:t>
                        </w:r>
                        <w:r>
                          <w:rPr>
                            <w:rFonts w:ascii="宋体" w:hAnsi="宋体" w:cs="宋体" w:eastAsia="宋体" w:hint="default"/>
                            <w:spacing w:val="-1"/>
                            <w:sz w:val="21"/>
                            <w:szCs w:val="21"/>
                          </w:rPr>
                          <w:t>万元用于偿还银行贷款。公司独立董事</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及保荐机构对该议案发表了同意意见。</w:t>
                        </w:r>
                      </w:p>
                      <w:p>
                        <w:pPr>
                          <w:pStyle w:val="TableParagraph"/>
                          <w:spacing w:line="273" w:lineRule="auto" w:before="46"/>
                          <w:ind w:left="22" w:right="3" w:firstLine="420"/>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w:t>
                        </w:r>
                        <w:r>
                          <w:rPr>
                            <w:rFonts w:ascii="宋体" w:hAnsi="宋体" w:cs="宋体" w:eastAsia="宋体" w:hint="default"/>
                            <w:spacing w:val="-6"/>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21</w:t>
                        </w:r>
                        <w:r>
                          <w:rPr>
                            <w:rFonts w:ascii="宋体" w:hAnsi="宋体" w:cs="宋体" w:eastAsia="宋体" w:hint="default"/>
                            <w:spacing w:val="-59"/>
                            <w:sz w:val="21"/>
                            <w:szCs w:val="21"/>
                          </w:rPr>
                          <w:t> </w:t>
                        </w:r>
                        <w:r>
                          <w:rPr>
                            <w:rFonts w:ascii="宋体" w:hAnsi="宋体" w:cs="宋体" w:eastAsia="宋体" w:hint="default"/>
                            <w:sz w:val="21"/>
                            <w:szCs w:val="21"/>
                          </w:rPr>
                          <w:t>日公司第一届董事会第十三次会议、第一届监事会第九次会议 审议通过《关于四川依米康环境科技股份有限公司使用超募资金收购深圳市龙控计算 机技术有限公司</w:t>
                        </w:r>
                        <w:r>
                          <w:rPr>
                            <w:rFonts w:ascii="宋体" w:hAnsi="宋体" w:cs="宋体" w:eastAsia="宋体" w:hint="default"/>
                            <w:spacing w:val="-53"/>
                            <w:sz w:val="21"/>
                            <w:szCs w:val="21"/>
                          </w:rPr>
                          <w:t> </w:t>
                        </w:r>
                        <w:r>
                          <w:rPr>
                            <w:rFonts w:ascii="宋体" w:hAnsi="宋体" w:cs="宋体" w:eastAsia="宋体" w:hint="default"/>
                            <w:spacing w:val="-8"/>
                            <w:sz w:val="21"/>
                            <w:szCs w:val="21"/>
                          </w:rPr>
                          <w:t>51%</w:t>
                        </w:r>
                        <w:r>
                          <w:rPr>
                            <w:rFonts w:ascii="宋体" w:hAnsi="宋体" w:cs="宋体" w:eastAsia="宋体" w:hint="default"/>
                            <w:spacing w:val="-8"/>
                            <w:sz w:val="21"/>
                            <w:szCs w:val="21"/>
                          </w:rPr>
                          <w:t>股权的议案》，</w:t>
                        </w:r>
                        <w:r>
                          <w:rPr>
                            <w:rFonts w:ascii="宋体" w:hAnsi="宋体" w:cs="宋体" w:eastAsia="宋体" w:hint="default"/>
                            <w:spacing w:val="-8"/>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日公司第一届董事会第十四次会议、 第一届监事会第十次会议审议通过《关于四川依米康环境科技股份有限公司使用超募 资金收购深圳市龙控智能技术有限公司</w:t>
                        </w:r>
                        <w:r>
                          <w:rPr>
                            <w:rFonts w:ascii="宋体" w:hAnsi="宋体" w:cs="宋体" w:eastAsia="宋体" w:hint="default"/>
                            <w:spacing w:val="-52"/>
                            <w:sz w:val="21"/>
                            <w:szCs w:val="21"/>
                          </w:rPr>
                          <w:t> </w:t>
                        </w:r>
                        <w:r>
                          <w:rPr>
                            <w:rFonts w:ascii="宋体" w:hAnsi="宋体" w:cs="宋体" w:eastAsia="宋体" w:hint="default"/>
                            <w:spacing w:val="-6"/>
                            <w:sz w:val="21"/>
                            <w:szCs w:val="21"/>
                          </w:rPr>
                          <w:t>51%</w:t>
                        </w:r>
                        <w:r>
                          <w:rPr>
                            <w:rFonts w:ascii="宋体" w:hAnsi="宋体" w:cs="宋体" w:eastAsia="宋体" w:hint="default"/>
                            <w:spacing w:val="-6"/>
                            <w:sz w:val="21"/>
                            <w:szCs w:val="21"/>
                          </w:rPr>
                          <w:t>股权收购定价的议案》，</w:t>
                        </w:r>
                        <w:r>
                          <w:rPr>
                            <w:rFonts w:ascii="宋体" w:hAnsi="宋体" w:cs="宋体" w:eastAsia="宋体" w:hint="default"/>
                            <w:spacing w:val="-6"/>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 召开的</w:t>
                        </w:r>
                        <w:r>
                          <w:rPr>
                            <w:rFonts w:ascii="宋体" w:hAnsi="宋体" w:cs="宋体" w:eastAsia="宋体" w:hint="default"/>
                            <w:spacing w:val="-64"/>
                            <w:sz w:val="21"/>
                            <w:szCs w:val="21"/>
                          </w:rPr>
                          <w:t> </w:t>
                        </w:r>
                        <w:r>
                          <w:rPr>
                            <w:rFonts w:ascii="宋体" w:hAnsi="宋体" w:cs="宋体" w:eastAsia="宋体" w:hint="default"/>
                            <w:sz w:val="21"/>
                            <w:szCs w:val="21"/>
                          </w:rPr>
                          <w:t>2012</w:t>
                        </w:r>
                        <w:r>
                          <w:rPr>
                            <w:rFonts w:ascii="宋体" w:hAnsi="宋体" w:cs="宋体" w:eastAsia="宋体" w:hint="default"/>
                            <w:spacing w:val="-64"/>
                            <w:sz w:val="21"/>
                            <w:szCs w:val="21"/>
                          </w:rPr>
                          <w:t> </w:t>
                        </w:r>
                        <w:r>
                          <w:rPr>
                            <w:rFonts w:ascii="宋体" w:hAnsi="宋体" w:cs="宋体" w:eastAsia="宋体" w:hint="default"/>
                            <w:sz w:val="21"/>
                            <w:szCs w:val="21"/>
                          </w:rPr>
                          <w:t>年度第一次临时股东大会审议通过上述两个议案；公司独立董事发表独立</w:t>
                        </w:r>
                      </w:p>
                      <w:p>
                        <w:pPr>
                          <w:pStyle w:val="TableParagraph"/>
                          <w:spacing w:line="273" w:lineRule="auto" w:before="7"/>
                          <w:ind w:left="22" w:right="107"/>
                          <w:jc w:val="left"/>
                          <w:rPr>
                            <w:rFonts w:ascii="宋体" w:hAnsi="宋体" w:cs="宋体" w:eastAsia="宋体" w:hint="default"/>
                            <w:sz w:val="21"/>
                            <w:szCs w:val="21"/>
                          </w:rPr>
                        </w:pPr>
                        <w:r>
                          <w:rPr>
                            <w:rFonts w:ascii="宋体" w:hAnsi="宋体" w:cs="宋体" w:eastAsia="宋体" w:hint="default"/>
                            <w:sz w:val="21"/>
                            <w:szCs w:val="21"/>
                          </w:rPr>
                          <w:t>意见、保荐人发表了专项核查意见均同意上述事项。</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月使用</w:t>
                        </w:r>
                        <w:r>
                          <w:rPr>
                            <w:rFonts w:ascii="宋体" w:hAnsi="宋体" w:cs="宋体" w:eastAsia="宋体" w:hint="default"/>
                            <w:spacing w:val="-55"/>
                            <w:sz w:val="21"/>
                            <w:szCs w:val="21"/>
                          </w:rPr>
                          <w:t> </w:t>
                        </w:r>
                        <w:r>
                          <w:rPr>
                            <w:rFonts w:ascii="宋体" w:hAnsi="宋体" w:cs="宋体" w:eastAsia="宋体" w:hint="default"/>
                            <w:sz w:val="21"/>
                            <w:szCs w:val="21"/>
                          </w:rPr>
                          <w:t>33,150,000.00 </w:t>
                        </w:r>
                        <w:r>
                          <w:rPr>
                            <w:rFonts w:ascii="宋体" w:hAnsi="宋体" w:cs="宋体" w:eastAsia="宋体" w:hint="default"/>
                            <w:sz w:val="21"/>
                            <w:szCs w:val="21"/>
                          </w:rPr>
                          <w:t>元超募资金用于收购深圳市龙控智能技术有限公司</w:t>
                        </w:r>
                        <w:r>
                          <w:rPr>
                            <w:rFonts w:ascii="宋体" w:hAnsi="宋体" w:cs="宋体" w:eastAsia="宋体" w:hint="default"/>
                            <w:spacing w:val="-53"/>
                            <w:sz w:val="21"/>
                            <w:szCs w:val="21"/>
                          </w:rPr>
                          <w:t> </w:t>
                        </w:r>
                        <w:r>
                          <w:rPr>
                            <w:rFonts w:ascii="宋体" w:hAnsi="宋体" w:cs="宋体" w:eastAsia="宋体" w:hint="default"/>
                            <w:sz w:val="21"/>
                            <w:szCs w:val="21"/>
                          </w:rPr>
                          <w:t>51%</w:t>
                        </w:r>
                        <w:r>
                          <w:rPr>
                            <w:rFonts w:ascii="宋体" w:hAnsi="宋体" w:cs="宋体" w:eastAsia="宋体" w:hint="default"/>
                            <w:sz w:val="21"/>
                            <w:szCs w:val="21"/>
                          </w:rPr>
                          <w:t>股权，律师费</w:t>
                        </w:r>
                        <w:r>
                          <w:rPr>
                            <w:rFonts w:ascii="宋体" w:hAnsi="宋体" w:cs="宋体" w:eastAsia="宋体" w:hint="default"/>
                            <w:spacing w:val="-53"/>
                            <w:sz w:val="21"/>
                            <w:szCs w:val="21"/>
                          </w:rPr>
                          <w:t> </w:t>
                        </w:r>
                        <w:r>
                          <w:rPr>
                            <w:rFonts w:ascii="宋体" w:hAnsi="宋体" w:cs="宋体" w:eastAsia="宋体" w:hint="default"/>
                            <w:sz w:val="21"/>
                            <w:szCs w:val="21"/>
                          </w:rPr>
                          <w:t>60,000.00</w:t>
                        </w:r>
                        <w:r>
                          <w:rPr>
                            <w:rFonts w:ascii="宋体" w:hAnsi="宋体" w:cs="宋体" w:eastAsia="宋体" w:hint="default"/>
                            <w:spacing w:val="-53"/>
                            <w:sz w:val="21"/>
                            <w:szCs w:val="21"/>
                          </w:rPr>
                          <w:t> </w:t>
                        </w:r>
                        <w:r>
                          <w:rPr>
                            <w:rFonts w:ascii="宋体" w:hAnsi="宋体" w:cs="宋体" w:eastAsia="宋体" w:hint="default"/>
                            <w:sz w:val="21"/>
                            <w:szCs w:val="21"/>
                          </w:rPr>
                          <w:t>元。</w:t>
                        </w:r>
                      </w:p>
                      <w:p>
                        <w:pPr>
                          <w:pStyle w:val="TableParagraph"/>
                          <w:spacing w:line="240" w:lineRule="auto" w:before="47"/>
                          <w:ind w:left="314" w:right="0"/>
                          <w:jc w:val="center"/>
                          <w:rPr>
                            <w:rFonts w:ascii="宋体" w:hAnsi="宋体" w:cs="宋体" w:eastAsia="宋体" w:hint="default"/>
                            <w:sz w:val="21"/>
                            <w:szCs w:val="21"/>
                          </w:rPr>
                        </w:pPr>
                        <w:r>
                          <w:rPr>
                            <w:rFonts w:ascii="宋体" w:hAnsi="宋体" w:cs="宋体" w:eastAsia="宋体" w:hint="default"/>
                            <w:spacing w:val="-6"/>
                            <w:sz w:val="21"/>
                            <w:szCs w:val="21"/>
                          </w:rPr>
                          <w:t>4</w:t>
                        </w:r>
                        <w:r>
                          <w:rPr>
                            <w:rFonts w:ascii="宋体" w:hAnsi="宋体" w:cs="宋体" w:eastAsia="宋体" w:hint="default"/>
                            <w:spacing w:val="-6"/>
                            <w:sz w:val="21"/>
                            <w:szCs w:val="21"/>
                          </w:rPr>
                          <w:t>、</w:t>
                        </w:r>
                        <w:r>
                          <w:rPr>
                            <w:rFonts w:ascii="宋体" w:hAnsi="宋体" w:cs="宋体" w:eastAsia="宋体" w:hint="default"/>
                            <w:spacing w:val="-6"/>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日公司第一届董事会第十七次会议审议通过了《关于使用部分超</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pacing w:val="-5"/>
                            <w:sz w:val="21"/>
                            <w:szCs w:val="21"/>
                          </w:rPr>
                          <w:t>募资金永久性补充流动资金的议案》，同意公司使用超募资金</w:t>
                        </w:r>
                        <w:r>
                          <w:rPr>
                            <w:rFonts w:ascii="宋体" w:hAnsi="宋体" w:cs="宋体" w:eastAsia="宋体" w:hint="default"/>
                            <w:spacing w:val="-48"/>
                            <w:sz w:val="21"/>
                            <w:szCs w:val="21"/>
                          </w:rPr>
                          <w:t> </w:t>
                        </w:r>
                        <w:r>
                          <w:rPr>
                            <w:rFonts w:ascii="宋体" w:hAnsi="宋体" w:cs="宋体" w:eastAsia="宋体" w:hint="default"/>
                            <w:sz w:val="21"/>
                            <w:szCs w:val="21"/>
                          </w:rPr>
                          <w:t>10,000,000.00</w:t>
                        </w:r>
                        <w:r>
                          <w:rPr>
                            <w:rFonts w:ascii="宋体" w:hAnsi="宋体" w:cs="宋体" w:eastAsia="宋体" w:hint="default"/>
                            <w:spacing w:val="-48"/>
                            <w:sz w:val="21"/>
                            <w:szCs w:val="21"/>
                          </w:rPr>
                          <w:t> </w:t>
                        </w:r>
                        <w:r>
                          <w:rPr>
                            <w:rFonts w:ascii="宋体" w:hAnsi="宋体" w:cs="宋体" w:eastAsia="宋体" w:hint="default"/>
                            <w:spacing w:val="-1"/>
                            <w:sz w:val="21"/>
                            <w:szCs w:val="21"/>
                          </w:rPr>
                          <w:t>元永久性</w:t>
                        </w:r>
                        <w:r>
                          <w:rPr>
                            <w:rFonts w:ascii="宋体" w:hAnsi="宋体" w:cs="宋体" w:eastAsia="宋体" w:hint="default"/>
                            <w:sz w:val="21"/>
                            <w:szCs w:val="21"/>
                          </w:rPr>
                          <w:t> 补充流动资金；公司监事会对该事项进行了审议、独立董事发表了独立意见、保荐人 发表了核查意见，一致同意该事项。</w:t>
                        </w:r>
                      </w:p>
                      <w:p>
                        <w:pPr>
                          <w:pStyle w:val="TableParagraph"/>
                          <w:spacing w:line="273" w:lineRule="auto" w:before="46"/>
                          <w:ind w:left="22" w:right="22" w:firstLine="421"/>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日公司第一届董事会第二十二次会议、第一届监事会第十五次 会议审议通过《四川依米康环境科技股份有限公司关于使用超募资金收购上海虹港数 据信息有限公司</w:t>
                        </w:r>
                        <w:r>
                          <w:rPr>
                            <w:rFonts w:ascii="宋体" w:hAnsi="宋体" w:cs="宋体" w:eastAsia="宋体" w:hint="default"/>
                            <w:spacing w:val="-52"/>
                            <w:sz w:val="21"/>
                            <w:szCs w:val="21"/>
                          </w:rPr>
                          <w:t> </w:t>
                        </w:r>
                        <w:r>
                          <w:rPr>
                            <w:rFonts w:ascii="宋体" w:hAnsi="宋体" w:cs="宋体" w:eastAsia="宋体" w:hint="default"/>
                            <w:spacing w:val="-9"/>
                            <w:sz w:val="21"/>
                            <w:szCs w:val="21"/>
                          </w:rPr>
                          <w:t>30%</w:t>
                        </w:r>
                        <w:r>
                          <w:rPr>
                            <w:rFonts w:ascii="宋体" w:hAnsi="宋体" w:cs="宋体" w:eastAsia="宋体" w:hint="default"/>
                            <w:spacing w:val="-9"/>
                            <w:sz w:val="21"/>
                            <w:szCs w:val="21"/>
                          </w:rPr>
                          <w:t>股权的议案》，同意公司使用超募资金</w:t>
                        </w:r>
                        <w:r>
                          <w:rPr>
                            <w:rFonts w:ascii="宋体" w:hAnsi="宋体" w:cs="宋体" w:eastAsia="宋体" w:hint="default"/>
                            <w:spacing w:val="-51"/>
                            <w:sz w:val="21"/>
                            <w:szCs w:val="21"/>
                          </w:rPr>
                          <w:t> </w:t>
                        </w:r>
                        <w:r>
                          <w:rPr>
                            <w:rFonts w:ascii="宋体" w:hAnsi="宋体" w:cs="宋体" w:eastAsia="宋体" w:hint="default"/>
                            <w:sz w:val="21"/>
                            <w:szCs w:val="21"/>
                          </w:rPr>
                          <w:t>4,500,000.00</w:t>
                        </w:r>
                        <w:r>
                          <w:rPr>
                            <w:rFonts w:ascii="宋体" w:hAnsi="宋体" w:cs="宋体" w:eastAsia="宋体" w:hint="default"/>
                            <w:spacing w:val="-52"/>
                            <w:sz w:val="21"/>
                            <w:szCs w:val="21"/>
                          </w:rPr>
                          <w:t> </w:t>
                        </w:r>
                        <w:r>
                          <w:rPr>
                            <w:rFonts w:ascii="宋体" w:hAnsi="宋体" w:cs="宋体" w:eastAsia="宋体" w:hint="default"/>
                            <w:spacing w:val="-1"/>
                            <w:sz w:val="21"/>
                            <w:szCs w:val="21"/>
                          </w:rPr>
                          <w:t>元收购上海虹</w:t>
                        </w:r>
                        <w:r>
                          <w:rPr>
                            <w:rFonts w:ascii="宋体" w:hAnsi="宋体" w:cs="宋体" w:eastAsia="宋体" w:hint="default"/>
                            <w:sz w:val="21"/>
                            <w:szCs w:val="21"/>
                          </w:rPr>
                          <w:t> 港</w:t>
                        </w:r>
                        <w:r>
                          <w:rPr>
                            <w:rFonts w:ascii="宋体" w:hAnsi="宋体" w:cs="宋体" w:eastAsia="宋体" w:hint="default"/>
                            <w:spacing w:val="-41"/>
                            <w:sz w:val="21"/>
                            <w:szCs w:val="21"/>
                          </w:rPr>
                          <w:t> </w:t>
                        </w:r>
                        <w:r>
                          <w:rPr>
                            <w:rFonts w:ascii="宋体" w:hAnsi="宋体" w:cs="宋体" w:eastAsia="宋体" w:hint="default"/>
                            <w:spacing w:val="-5"/>
                            <w:sz w:val="21"/>
                            <w:szCs w:val="21"/>
                          </w:rPr>
                          <w:t>30%</w:t>
                        </w:r>
                        <w:r>
                          <w:rPr>
                            <w:rFonts w:ascii="宋体" w:hAnsi="宋体" w:cs="宋体" w:eastAsia="宋体" w:hint="default"/>
                            <w:spacing w:val="-5"/>
                            <w:sz w:val="21"/>
                            <w:szCs w:val="21"/>
                          </w:rPr>
                          <w:t>股权；公司独立董事发表独立意见、保荐人发表了专项核查意见均同意上述事项</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5"/>
        <w:ind w:left="0" w:right="825"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footerReference w:type="default" r:id="rId23"/>
          <w:pgSz w:w="11910" w:h="16840"/>
          <w:pgMar w:footer="979" w:header="747" w:top="1060" w:bottom="1160" w:left="0" w:right="0"/>
          <w:pgNumType w:start="41"/>
        </w:sectPr>
      </w:pPr>
    </w:p>
    <w:p>
      <w:pPr>
        <w:spacing w:line="240" w:lineRule="auto" w:before="11"/>
        <w:rPr>
          <w:rFonts w:ascii="宋体" w:hAnsi="宋体" w:cs="宋体" w:eastAsia="宋体" w:hint="default"/>
          <w:sz w:val="27"/>
          <w:szCs w:val="27"/>
        </w:rPr>
      </w:pPr>
      <w:r>
        <w:rPr/>
        <w:pict>
          <v:shape style="position:absolute;margin-left:71.760002pt;margin-top:55.259983pt;width:478.9pt;height:715.7pt;mso-position-horizontal-relative:page;mso-position-vertical-relative:page;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9930" w:hRule="exact"/>
                    </w:trPr>
                    <w:tc>
                      <w:tcPr>
                        <w:tcW w:w="165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10"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另外，评估费用</w:t>
                        </w:r>
                        <w:r>
                          <w:rPr>
                            <w:rFonts w:ascii="宋体" w:hAnsi="宋体" w:cs="宋体" w:eastAsia="宋体" w:hint="default"/>
                            <w:spacing w:val="-53"/>
                            <w:sz w:val="21"/>
                            <w:szCs w:val="21"/>
                          </w:rPr>
                          <w:t> </w:t>
                        </w:r>
                        <w:r>
                          <w:rPr>
                            <w:rFonts w:ascii="宋体" w:hAnsi="宋体" w:cs="宋体" w:eastAsia="宋体" w:hint="default"/>
                            <w:sz w:val="21"/>
                            <w:szCs w:val="21"/>
                          </w:rPr>
                          <w:t>25,000.00</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40" w:lineRule="auto" w:before="76"/>
                          <w:ind w:left="338"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06"/>
                            <w:sz w:val="21"/>
                            <w:szCs w:val="21"/>
                          </w:rPr>
                          <w:t>、</w:t>
                        </w: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日公</w:t>
                        </w:r>
                        <w:r>
                          <w:rPr>
                            <w:rFonts w:ascii="宋体" w:hAnsi="宋体" w:cs="宋体" w:eastAsia="宋体" w:hint="default"/>
                            <w:spacing w:val="-2"/>
                            <w:sz w:val="21"/>
                            <w:szCs w:val="21"/>
                          </w:rPr>
                          <w:t>司</w:t>
                        </w:r>
                        <w:r>
                          <w:rPr>
                            <w:rFonts w:ascii="宋体" w:hAnsi="宋体" w:cs="宋体" w:eastAsia="宋体" w:hint="default"/>
                            <w:sz w:val="21"/>
                            <w:szCs w:val="21"/>
                          </w:rPr>
                          <w:t>召开第二届董事会第三次会议和第二届监事会第三次会议</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名董事（关联董事孙屹峥先生回避了本次董事会议案的表决）和全体</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名监事 </w:t>
                        </w:r>
                        <w:r>
                          <w:rPr>
                            <w:rFonts w:ascii="宋体" w:hAnsi="宋体" w:cs="宋体" w:eastAsia="宋体" w:hint="default"/>
                            <w:spacing w:val="-4"/>
                            <w:sz w:val="21"/>
                            <w:szCs w:val="21"/>
                          </w:rPr>
                          <w:t>全票通过《关于使用超募资金增资上海虹港数据信息有限公司的议案》，同意公司使用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超募资金</w:t>
                        </w:r>
                        <w:r>
                          <w:rPr>
                            <w:rFonts w:ascii="宋体" w:hAnsi="宋体" w:cs="宋体" w:eastAsia="宋体" w:hint="default"/>
                            <w:spacing w:val="-63"/>
                            <w:sz w:val="21"/>
                            <w:szCs w:val="21"/>
                          </w:rPr>
                          <w:t> </w:t>
                        </w:r>
                        <w:r>
                          <w:rPr>
                            <w:rFonts w:ascii="宋体" w:hAnsi="宋体" w:cs="宋体" w:eastAsia="宋体" w:hint="default"/>
                            <w:sz w:val="21"/>
                            <w:szCs w:val="21"/>
                          </w:rPr>
                          <w:t>6,000,000.00</w:t>
                        </w:r>
                        <w:r>
                          <w:rPr>
                            <w:rFonts w:ascii="宋体" w:hAnsi="宋体" w:cs="宋体" w:eastAsia="宋体" w:hint="default"/>
                            <w:spacing w:val="-62"/>
                            <w:sz w:val="21"/>
                            <w:szCs w:val="21"/>
                          </w:rPr>
                          <w:t> </w:t>
                        </w:r>
                        <w:r>
                          <w:rPr>
                            <w:rFonts w:ascii="宋体" w:hAnsi="宋体" w:cs="宋体" w:eastAsia="宋体" w:hint="default"/>
                            <w:sz w:val="21"/>
                            <w:szCs w:val="21"/>
                          </w:rPr>
                          <w:t>元对上海虹港进行增资；公司独立董事发表独立意见、保荐人 发表了专项核查意见，一致同意该事项。</w:t>
                        </w:r>
                      </w:p>
                      <w:p>
                        <w:pPr>
                          <w:pStyle w:val="TableParagraph"/>
                          <w:spacing w:line="240" w:lineRule="auto" w:before="46"/>
                          <w:ind w:left="338"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06"/>
                            <w:sz w:val="21"/>
                            <w:szCs w:val="21"/>
                          </w:rPr>
                          <w:t>、</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月召开的第二届董事会第五次会议</w:t>
                        </w:r>
                        <w:r>
                          <w:rPr>
                            <w:rFonts w:ascii="宋体" w:hAnsi="宋体" w:cs="宋体" w:eastAsia="宋体" w:hint="default"/>
                            <w:spacing w:val="-106"/>
                            <w:sz w:val="21"/>
                            <w:szCs w:val="21"/>
                          </w:rPr>
                          <w:t>、</w:t>
                        </w:r>
                        <w:r>
                          <w:rPr>
                            <w:rFonts w:ascii="宋体" w:hAnsi="宋体" w:cs="宋体" w:eastAsia="宋体" w:hint="default"/>
                            <w:sz w:val="21"/>
                            <w:szCs w:val="21"/>
                          </w:rPr>
                          <w:t>第二届监事会第四次会议以及</w:t>
                        </w:r>
                        <w:r>
                          <w:rPr>
                            <w:rFonts w:ascii="宋体" w:hAnsi="宋体" w:cs="宋体" w:eastAsia="宋体" w:hint="default"/>
                            <w:spacing w:val="-57"/>
                            <w:sz w:val="21"/>
                            <w:szCs w:val="21"/>
                          </w:rPr>
                          <w:t> </w:t>
                        </w:r>
                        <w:r>
                          <w:rPr>
                            <w:rFonts w:ascii="宋体" w:hAnsi="宋体" w:cs="宋体" w:eastAsia="宋体" w:hint="default"/>
                            <w:sz w:val="21"/>
                            <w:szCs w:val="21"/>
                          </w:rPr>
                          <w:t>2013</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月召开的</w:t>
                        </w:r>
                        <w:r>
                          <w:rPr>
                            <w:rFonts w:ascii="宋体" w:hAnsi="宋体" w:cs="宋体" w:eastAsia="宋体" w:hint="default"/>
                            <w:spacing w:val="-59"/>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年度第二次临时股东大会审议通过了《关于使用超募资金收购西安 </w:t>
                        </w:r>
                        <w:r>
                          <w:rPr>
                            <w:rFonts w:ascii="宋体" w:hAnsi="宋体" w:cs="宋体" w:eastAsia="宋体" w:hint="default"/>
                            <w:spacing w:val="-4"/>
                            <w:sz w:val="21"/>
                            <w:szCs w:val="21"/>
                          </w:rPr>
                          <w:t>华西智能信息工程有限公司的议案》，依米康独立董事对该事项发表了独立意见，保荐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机构海际证券有限责任公司出具了专项核查意见。同意公司使用超募资金 </w:t>
                        </w:r>
                        <w:r>
                          <w:rPr>
                            <w:rFonts w:ascii="宋体" w:hAnsi="宋体" w:cs="宋体" w:eastAsia="宋体" w:hint="default"/>
                            <w:sz w:val="21"/>
                            <w:szCs w:val="21"/>
                          </w:rPr>
                          <w:t>42,330,000.00</w:t>
                        </w:r>
                        <w:r>
                          <w:rPr>
                            <w:rFonts w:ascii="宋体" w:hAnsi="宋体" w:cs="宋体" w:eastAsia="宋体" w:hint="default"/>
                            <w:spacing w:val="-53"/>
                            <w:sz w:val="21"/>
                            <w:szCs w:val="21"/>
                          </w:rPr>
                          <w:t> </w:t>
                        </w:r>
                        <w:r>
                          <w:rPr>
                            <w:rFonts w:ascii="宋体" w:hAnsi="宋体" w:cs="宋体" w:eastAsia="宋体" w:hint="default"/>
                            <w:sz w:val="21"/>
                            <w:szCs w:val="21"/>
                          </w:rPr>
                          <w:t>元收购深圳市西秦商贸有限公司持有的西安华西信息智能工程有限公 司</w:t>
                        </w:r>
                        <w:r>
                          <w:rPr>
                            <w:rFonts w:ascii="宋体" w:hAnsi="宋体" w:cs="宋体" w:eastAsia="宋体" w:hint="default"/>
                            <w:spacing w:val="-54"/>
                            <w:sz w:val="21"/>
                            <w:szCs w:val="21"/>
                          </w:rPr>
                          <w:t> </w:t>
                        </w:r>
                        <w:r>
                          <w:rPr>
                            <w:rFonts w:ascii="宋体" w:hAnsi="宋体" w:cs="宋体" w:eastAsia="宋体" w:hint="default"/>
                            <w:sz w:val="21"/>
                            <w:szCs w:val="21"/>
                          </w:rPr>
                          <w:t>51.07%</w:t>
                        </w:r>
                        <w:r>
                          <w:rPr>
                            <w:rFonts w:ascii="宋体" w:hAnsi="宋体" w:cs="宋体" w:eastAsia="宋体" w:hint="default"/>
                            <w:sz w:val="21"/>
                            <w:szCs w:val="21"/>
                          </w:rPr>
                          <w:t>股权，并在依米康对西安华西收购完成后，西安华西达到增资计划的实施条 件时各股东按持股比例共同对西安华西进行增资，增资后西安华西的股本从</w:t>
                        </w:r>
                        <w:r>
                          <w:rPr>
                            <w:rFonts w:ascii="宋体" w:hAnsi="宋体" w:cs="宋体" w:eastAsia="宋体" w:hint="default"/>
                            <w:spacing w:val="-52"/>
                            <w:sz w:val="21"/>
                            <w:szCs w:val="21"/>
                          </w:rPr>
                          <w:t> </w:t>
                        </w:r>
                        <w:r>
                          <w:rPr>
                            <w:rFonts w:ascii="宋体" w:hAnsi="宋体" w:cs="宋体" w:eastAsia="宋体" w:hint="default"/>
                            <w:sz w:val="21"/>
                            <w:szCs w:val="21"/>
                          </w:rPr>
                          <w:t>2,150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元增至</w:t>
                        </w:r>
                        <w:r>
                          <w:rPr>
                            <w:rFonts w:ascii="宋体" w:hAnsi="宋体" w:cs="宋体" w:eastAsia="宋体" w:hint="default"/>
                            <w:spacing w:val="-54"/>
                            <w:sz w:val="21"/>
                            <w:szCs w:val="21"/>
                          </w:rPr>
                          <w:t> </w:t>
                        </w:r>
                        <w:r>
                          <w:rPr>
                            <w:rFonts w:ascii="宋体" w:hAnsi="宋体" w:cs="宋体" w:eastAsia="宋体" w:hint="default"/>
                            <w:sz w:val="21"/>
                            <w:szCs w:val="21"/>
                          </w:rPr>
                          <w:t>5,050</w:t>
                        </w:r>
                        <w:r>
                          <w:rPr>
                            <w:rFonts w:ascii="宋体" w:hAnsi="宋体" w:cs="宋体" w:eastAsia="宋体" w:hint="default"/>
                            <w:spacing w:val="-53"/>
                            <w:sz w:val="21"/>
                            <w:szCs w:val="21"/>
                          </w:rPr>
                          <w:t> </w:t>
                        </w:r>
                        <w:r>
                          <w:rPr>
                            <w:rFonts w:ascii="宋体" w:hAnsi="宋体" w:cs="宋体" w:eastAsia="宋体" w:hint="default"/>
                            <w:sz w:val="21"/>
                            <w:szCs w:val="21"/>
                          </w:rPr>
                          <w:t>万元，依米康应支付增资款</w:t>
                        </w:r>
                        <w:r>
                          <w:rPr>
                            <w:rFonts w:ascii="宋体" w:hAnsi="宋体" w:cs="宋体" w:eastAsia="宋体" w:hint="default"/>
                            <w:spacing w:val="-53"/>
                            <w:sz w:val="21"/>
                            <w:szCs w:val="21"/>
                          </w:rPr>
                          <w:t> </w:t>
                        </w:r>
                        <w:r>
                          <w:rPr>
                            <w:rFonts w:ascii="宋体" w:hAnsi="宋体" w:cs="宋体" w:eastAsia="宋体" w:hint="default"/>
                            <w:sz w:val="21"/>
                            <w:szCs w:val="21"/>
                          </w:rPr>
                          <w:t>1,481.03</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月使用</w:t>
                        </w:r>
                      </w:p>
                      <w:p>
                        <w:pPr>
                          <w:pStyle w:val="TableParagraph"/>
                          <w:spacing w:line="273" w:lineRule="auto" w:before="37"/>
                          <w:ind w:left="22" w:right="20"/>
                          <w:jc w:val="left"/>
                          <w:rPr>
                            <w:rFonts w:ascii="宋体" w:hAnsi="宋体" w:cs="宋体" w:eastAsia="宋体" w:hint="default"/>
                            <w:sz w:val="21"/>
                            <w:szCs w:val="21"/>
                          </w:rPr>
                        </w:pPr>
                        <w:r>
                          <w:rPr>
                            <w:rFonts w:ascii="宋体" w:hAnsi="宋体" w:cs="宋体" w:eastAsia="宋体" w:hint="default"/>
                            <w:sz w:val="21"/>
                            <w:szCs w:val="21"/>
                          </w:rPr>
                          <w:t>21,165,000.00</w:t>
                        </w:r>
                        <w:r>
                          <w:rPr>
                            <w:rFonts w:ascii="宋体" w:hAnsi="宋体" w:cs="宋体" w:eastAsia="宋体" w:hint="default"/>
                            <w:spacing w:val="-53"/>
                            <w:sz w:val="21"/>
                            <w:szCs w:val="21"/>
                          </w:rPr>
                          <w:t> </w:t>
                        </w:r>
                        <w:r>
                          <w:rPr>
                            <w:rFonts w:ascii="宋体" w:hAnsi="宋体" w:cs="宋体" w:eastAsia="宋体" w:hint="default"/>
                            <w:sz w:val="21"/>
                            <w:szCs w:val="21"/>
                          </w:rPr>
                          <w:t>元超募资金、</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月使用</w:t>
                        </w:r>
                        <w:r>
                          <w:rPr>
                            <w:rFonts w:ascii="宋体" w:hAnsi="宋体" w:cs="宋体" w:eastAsia="宋体" w:hint="default"/>
                            <w:spacing w:val="-55"/>
                            <w:sz w:val="21"/>
                            <w:szCs w:val="21"/>
                          </w:rPr>
                          <w:t> </w:t>
                        </w:r>
                        <w:r>
                          <w:rPr>
                            <w:rFonts w:ascii="宋体" w:hAnsi="宋体" w:cs="宋体" w:eastAsia="宋体" w:hint="default"/>
                            <w:sz w:val="21"/>
                            <w:szCs w:val="21"/>
                          </w:rPr>
                          <w:t>21,165,000.00</w:t>
                        </w:r>
                        <w:r>
                          <w:rPr>
                            <w:rFonts w:ascii="宋体" w:hAnsi="宋体" w:cs="宋体" w:eastAsia="宋体" w:hint="default"/>
                            <w:spacing w:val="-54"/>
                            <w:sz w:val="21"/>
                            <w:szCs w:val="21"/>
                          </w:rPr>
                          <w:t> </w:t>
                        </w:r>
                        <w:r>
                          <w:rPr>
                            <w:rFonts w:ascii="宋体" w:hAnsi="宋体" w:cs="宋体" w:eastAsia="宋体" w:hint="default"/>
                            <w:sz w:val="21"/>
                            <w:szCs w:val="21"/>
                          </w:rPr>
                          <w:t>元超募资金用于收购西 安华西</w:t>
                        </w:r>
                        <w:r>
                          <w:rPr>
                            <w:rFonts w:ascii="宋体" w:hAnsi="宋体" w:cs="宋体" w:eastAsia="宋体" w:hint="default"/>
                            <w:spacing w:val="-58"/>
                            <w:sz w:val="21"/>
                            <w:szCs w:val="21"/>
                          </w:rPr>
                          <w:t> </w:t>
                        </w:r>
                        <w:r>
                          <w:rPr>
                            <w:rFonts w:ascii="宋体" w:hAnsi="宋体" w:cs="宋体" w:eastAsia="宋体" w:hint="default"/>
                            <w:sz w:val="21"/>
                            <w:szCs w:val="21"/>
                          </w:rPr>
                          <w:t>51.07%</w:t>
                        </w:r>
                        <w:r>
                          <w:rPr>
                            <w:rFonts w:ascii="宋体" w:hAnsi="宋体" w:cs="宋体" w:eastAsia="宋体" w:hint="default"/>
                            <w:sz w:val="21"/>
                            <w:szCs w:val="21"/>
                          </w:rPr>
                          <w:t>股权，并使用超募资金支付评估、审计费用</w:t>
                        </w:r>
                        <w:r>
                          <w:rPr>
                            <w:rFonts w:ascii="宋体" w:hAnsi="宋体" w:cs="宋体" w:eastAsia="宋体" w:hint="default"/>
                            <w:spacing w:val="-57"/>
                            <w:sz w:val="21"/>
                            <w:szCs w:val="21"/>
                          </w:rPr>
                          <w:t> </w:t>
                        </w:r>
                        <w:r>
                          <w:rPr>
                            <w:rFonts w:ascii="宋体" w:hAnsi="宋体" w:cs="宋体" w:eastAsia="宋体" w:hint="default"/>
                            <w:sz w:val="21"/>
                            <w:szCs w:val="21"/>
                          </w:rPr>
                          <w:t>192,000.00</w:t>
                        </w:r>
                        <w:r>
                          <w:rPr>
                            <w:rFonts w:ascii="宋体" w:hAnsi="宋体" w:cs="宋体" w:eastAsia="宋体" w:hint="default"/>
                            <w:spacing w:val="-58"/>
                            <w:sz w:val="21"/>
                            <w:szCs w:val="21"/>
                          </w:rPr>
                          <w:t> </w:t>
                        </w:r>
                        <w:r>
                          <w:rPr>
                            <w:rFonts w:ascii="宋体" w:hAnsi="宋体" w:cs="宋体" w:eastAsia="宋体" w:hint="default"/>
                            <w:sz w:val="21"/>
                            <w:szCs w:val="21"/>
                          </w:rPr>
                          <w:t>元；</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日，使用</w:t>
                        </w:r>
                        <w:r>
                          <w:rPr>
                            <w:rFonts w:ascii="宋体" w:hAnsi="宋体" w:cs="宋体" w:eastAsia="宋体" w:hint="default"/>
                            <w:spacing w:val="-54"/>
                            <w:sz w:val="21"/>
                            <w:szCs w:val="21"/>
                          </w:rPr>
                          <w:t> </w:t>
                        </w:r>
                        <w:r>
                          <w:rPr>
                            <w:rFonts w:ascii="宋体" w:hAnsi="宋体" w:cs="宋体" w:eastAsia="宋体" w:hint="default"/>
                            <w:sz w:val="21"/>
                            <w:szCs w:val="21"/>
                          </w:rPr>
                          <w:t>4,392,100.00</w:t>
                        </w:r>
                        <w:r>
                          <w:rPr>
                            <w:rFonts w:ascii="宋体" w:hAnsi="宋体" w:cs="宋体" w:eastAsia="宋体" w:hint="default"/>
                            <w:spacing w:val="-53"/>
                            <w:sz w:val="21"/>
                            <w:szCs w:val="21"/>
                          </w:rPr>
                          <w:t> </w:t>
                        </w:r>
                        <w:r>
                          <w:rPr>
                            <w:rFonts w:ascii="宋体" w:hAnsi="宋体" w:cs="宋体" w:eastAsia="宋体" w:hint="default"/>
                            <w:sz w:val="21"/>
                            <w:szCs w:val="21"/>
                          </w:rPr>
                          <w:t>元超募资金与高峰共同对西安华西按持股比例进行第一</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期增资</w:t>
                        </w:r>
                        <w:r>
                          <w:rPr>
                            <w:rFonts w:ascii="宋体" w:hAnsi="宋体" w:cs="宋体" w:eastAsia="宋体" w:hint="default"/>
                            <w:sz w:val="21"/>
                            <w:szCs w:val="21"/>
                          </w:rPr>
                          <w:t>,</w:t>
                        </w:r>
                        <w:r>
                          <w:rPr>
                            <w:rFonts w:ascii="宋体" w:hAnsi="宋体" w:cs="宋体" w:eastAsia="宋体" w:hint="default"/>
                            <w:sz w:val="21"/>
                            <w:szCs w:val="21"/>
                          </w:rPr>
                          <w:t>增资后西安华西股本从</w:t>
                        </w:r>
                        <w:r>
                          <w:rPr>
                            <w:rFonts w:ascii="宋体" w:hAnsi="宋体" w:cs="宋体" w:eastAsia="宋体" w:hint="default"/>
                            <w:spacing w:val="-53"/>
                            <w:sz w:val="21"/>
                            <w:szCs w:val="21"/>
                          </w:rPr>
                          <w:t> </w:t>
                        </w:r>
                        <w:r>
                          <w:rPr>
                            <w:rFonts w:ascii="宋体" w:hAnsi="宋体" w:cs="宋体" w:eastAsia="宋体" w:hint="default"/>
                            <w:sz w:val="21"/>
                            <w:szCs w:val="21"/>
                          </w:rPr>
                          <w:t>2,150</w:t>
                        </w:r>
                        <w:r>
                          <w:rPr>
                            <w:rFonts w:ascii="宋体" w:hAnsi="宋体" w:cs="宋体" w:eastAsia="宋体" w:hint="default"/>
                            <w:spacing w:val="-53"/>
                            <w:sz w:val="21"/>
                            <w:szCs w:val="21"/>
                          </w:rPr>
                          <w:t> </w:t>
                        </w:r>
                        <w:r>
                          <w:rPr>
                            <w:rFonts w:ascii="宋体" w:hAnsi="宋体" w:cs="宋体" w:eastAsia="宋体" w:hint="default"/>
                            <w:sz w:val="21"/>
                            <w:szCs w:val="21"/>
                          </w:rPr>
                          <w:t>万元增至</w:t>
                        </w:r>
                        <w:r>
                          <w:rPr>
                            <w:rFonts w:ascii="宋体" w:hAnsi="宋体" w:cs="宋体" w:eastAsia="宋体" w:hint="default"/>
                            <w:spacing w:val="-55"/>
                            <w:sz w:val="21"/>
                            <w:szCs w:val="21"/>
                          </w:rPr>
                          <w:t> </w:t>
                        </w:r>
                        <w:r>
                          <w:rPr>
                            <w:rFonts w:ascii="宋体" w:hAnsi="宋体" w:cs="宋体" w:eastAsia="宋体" w:hint="default"/>
                            <w:sz w:val="21"/>
                            <w:szCs w:val="21"/>
                          </w:rPr>
                          <w:t>3,010</w:t>
                        </w:r>
                        <w:r>
                          <w:rPr>
                            <w:rFonts w:ascii="宋体" w:hAnsi="宋体" w:cs="宋体" w:eastAsia="宋体" w:hint="default"/>
                            <w:spacing w:val="-53"/>
                            <w:sz w:val="21"/>
                            <w:szCs w:val="21"/>
                          </w:rPr>
                          <w:t> </w:t>
                        </w:r>
                        <w:r>
                          <w:rPr>
                            <w:rFonts w:ascii="宋体" w:hAnsi="宋体" w:cs="宋体" w:eastAsia="宋体" w:hint="default"/>
                            <w:sz w:val="21"/>
                            <w:szCs w:val="21"/>
                          </w:rPr>
                          <w:t>万元。累计已使用超募资金</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46,914,100.00</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40" w:lineRule="auto" w:before="75"/>
                          <w:ind w:left="338" w:right="0"/>
                          <w:jc w:val="left"/>
                          <w:rPr>
                            <w:rFonts w:ascii="宋体" w:hAnsi="宋体" w:cs="宋体" w:eastAsia="宋体" w:hint="default"/>
                            <w:sz w:val="21"/>
                            <w:szCs w:val="21"/>
                          </w:rPr>
                        </w:pPr>
                        <w:r>
                          <w:rPr>
                            <w:rFonts w:ascii="宋体" w:hAnsi="宋体" w:cs="宋体" w:eastAsia="宋体" w:hint="default"/>
                            <w:spacing w:val="-12"/>
                            <w:sz w:val="21"/>
                            <w:szCs w:val="21"/>
                          </w:rPr>
                          <w:t>8</w:t>
                        </w:r>
                        <w:r>
                          <w:rPr>
                            <w:rFonts w:ascii="宋体" w:hAnsi="宋体" w:cs="宋体" w:eastAsia="宋体" w:hint="default"/>
                            <w:spacing w:val="-12"/>
                            <w:sz w:val="21"/>
                            <w:szCs w:val="21"/>
                          </w:rPr>
                          <w:t>、</w:t>
                        </w:r>
                        <w:r>
                          <w:rPr>
                            <w:rFonts w:ascii="宋体" w:hAnsi="宋体" w:cs="宋体" w:eastAsia="宋体" w:hint="default"/>
                            <w:spacing w:val="-12"/>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日公司第二届董事会第九次会议及第二届监事会第七次会议审议</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通过公司使用超募资金</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万元单方面向上海虹港增资的议案，</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日公司</w:t>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z w:val="21"/>
                            <w:szCs w:val="21"/>
                          </w:rPr>
                          <w:t>使用</w:t>
                        </w:r>
                        <w:r>
                          <w:rPr>
                            <w:rFonts w:ascii="宋体" w:hAnsi="宋体" w:cs="宋体" w:eastAsia="宋体" w:hint="default"/>
                            <w:spacing w:val="-52"/>
                            <w:sz w:val="21"/>
                            <w:szCs w:val="21"/>
                          </w:rPr>
                          <w:t> </w:t>
                        </w:r>
                        <w:r>
                          <w:rPr>
                            <w:rFonts w:ascii="宋体" w:hAnsi="宋体" w:cs="宋体" w:eastAsia="宋体" w:hint="default"/>
                            <w:sz w:val="21"/>
                            <w:szCs w:val="21"/>
                          </w:rPr>
                          <w:t>5,000,000.00</w:t>
                        </w:r>
                        <w:r>
                          <w:rPr>
                            <w:rFonts w:ascii="宋体" w:hAnsi="宋体" w:cs="宋体" w:eastAsia="宋体" w:hint="default"/>
                            <w:spacing w:val="-51"/>
                            <w:sz w:val="21"/>
                            <w:szCs w:val="21"/>
                          </w:rPr>
                          <w:t> </w:t>
                        </w:r>
                        <w:r>
                          <w:rPr>
                            <w:rFonts w:ascii="宋体" w:hAnsi="宋体" w:cs="宋体" w:eastAsia="宋体" w:hint="default"/>
                            <w:spacing w:val="-3"/>
                            <w:sz w:val="21"/>
                            <w:szCs w:val="21"/>
                          </w:rPr>
                          <w:t>元超募资金对上海虹港进行增资，增资后上海虹港的股本将从</w:t>
                        </w:r>
                        <w:r>
                          <w:rPr>
                            <w:rFonts w:ascii="宋体" w:hAnsi="宋体" w:cs="宋体" w:eastAsia="宋体" w:hint="default"/>
                            <w:spacing w:val="-51"/>
                            <w:sz w:val="21"/>
                            <w:szCs w:val="21"/>
                          </w:rPr>
                          <w:t> </w:t>
                        </w:r>
                        <w:r>
                          <w:rPr>
                            <w:rFonts w:ascii="宋体" w:hAnsi="宋体" w:cs="宋体" w:eastAsia="宋体" w:hint="default"/>
                            <w:sz w:val="21"/>
                            <w:szCs w:val="21"/>
                          </w:rPr>
                          <w:t>3000 </w:t>
                        </w:r>
                        <w:r>
                          <w:rPr>
                            <w:rFonts w:ascii="宋体" w:hAnsi="宋体" w:cs="宋体" w:eastAsia="宋体" w:hint="default"/>
                            <w:sz w:val="21"/>
                            <w:szCs w:val="21"/>
                          </w:rPr>
                          <w:t>万元变更为</w:t>
                        </w:r>
                        <w:r>
                          <w:rPr>
                            <w:rFonts w:ascii="宋体" w:hAnsi="宋体" w:cs="宋体" w:eastAsia="宋体" w:hint="default"/>
                            <w:spacing w:val="-54"/>
                            <w:sz w:val="21"/>
                            <w:szCs w:val="21"/>
                          </w:rPr>
                          <w:t> </w:t>
                        </w:r>
                        <w:r>
                          <w:rPr>
                            <w:rFonts w:ascii="宋体" w:hAnsi="宋体" w:cs="宋体" w:eastAsia="宋体" w:hint="default"/>
                            <w:sz w:val="21"/>
                            <w:szCs w:val="21"/>
                          </w:rPr>
                          <w:t>3,500</w:t>
                        </w:r>
                        <w:r>
                          <w:rPr>
                            <w:rFonts w:ascii="宋体" w:hAnsi="宋体" w:cs="宋体" w:eastAsia="宋体" w:hint="default"/>
                            <w:spacing w:val="-53"/>
                            <w:sz w:val="21"/>
                            <w:szCs w:val="21"/>
                          </w:rPr>
                          <w:t> </w:t>
                        </w:r>
                        <w:r>
                          <w:rPr>
                            <w:rFonts w:ascii="宋体" w:hAnsi="宋体" w:cs="宋体" w:eastAsia="宋体" w:hint="default"/>
                            <w:sz w:val="21"/>
                            <w:szCs w:val="21"/>
                          </w:rPr>
                          <w:t>万，公司持股比例将从</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上升到</w:t>
                        </w:r>
                        <w:r>
                          <w:rPr>
                            <w:rFonts w:ascii="宋体" w:hAnsi="宋体" w:cs="宋体" w:eastAsia="宋体" w:hint="default"/>
                            <w:spacing w:val="-54"/>
                            <w:sz w:val="21"/>
                            <w:szCs w:val="21"/>
                          </w:rPr>
                          <w:t> </w:t>
                        </w:r>
                        <w:r>
                          <w:rPr>
                            <w:rFonts w:ascii="宋体" w:hAnsi="宋体" w:cs="宋体" w:eastAsia="宋体" w:hint="default"/>
                            <w:sz w:val="21"/>
                            <w:szCs w:val="21"/>
                          </w:rPr>
                          <w:t>40%</w:t>
                        </w:r>
                        <w:r>
                          <w:rPr>
                            <w:rFonts w:ascii="宋体" w:hAnsi="宋体" w:cs="宋体" w:eastAsia="宋体" w:hint="default"/>
                            <w:sz w:val="21"/>
                            <w:szCs w:val="21"/>
                          </w:rPr>
                          <w:t>。</w:t>
                        </w:r>
                      </w:p>
                      <w:p>
                        <w:pPr>
                          <w:pStyle w:val="TableParagraph"/>
                          <w:spacing w:line="240" w:lineRule="auto" w:before="46"/>
                          <w:ind w:left="338"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日公司第二届董事会第十五次会议</w:t>
                        </w:r>
                        <w:r>
                          <w:rPr>
                            <w:rFonts w:ascii="宋体" w:hAnsi="宋体" w:cs="宋体" w:eastAsia="宋体" w:hint="default"/>
                            <w:sz w:val="21"/>
                            <w:szCs w:val="21"/>
                          </w:rPr>
                          <w:t>"</w:t>
                        </w:r>
                        <w:r>
                          <w:rPr>
                            <w:rFonts w:ascii="宋体" w:hAnsi="宋体" w:cs="宋体" w:eastAsia="宋体" w:hint="default"/>
                            <w:sz w:val="21"/>
                            <w:szCs w:val="21"/>
                          </w:rPr>
                          <w:t>十、审议通过《关于使用部</w:t>
                        </w:r>
                      </w:p>
                      <w:p>
                        <w:pPr>
                          <w:pStyle w:val="TableParagraph"/>
                          <w:spacing w:line="273" w:lineRule="auto" w:before="37"/>
                          <w:ind w:left="22" w:right="107"/>
                          <w:jc w:val="both"/>
                          <w:rPr>
                            <w:rFonts w:ascii="宋体" w:hAnsi="宋体" w:cs="宋体" w:eastAsia="宋体" w:hint="default"/>
                            <w:sz w:val="21"/>
                            <w:szCs w:val="21"/>
                          </w:rPr>
                        </w:pPr>
                        <w:r>
                          <w:rPr>
                            <w:rFonts w:ascii="宋体" w:hAnsi="宋体" w:cs="宋体" w:eastAsia="宋体" w:hint="default"/>
                            <w:sz w:val="21"/>
                            <w:szCs w:val="21"/>
                          </w:rPr>
                          <w:t>分超募资金永久性补充流动资金的议案》</w:t>
                        </w:r>
                        <w:r>
                          <w:rPr>
                            <w:rFonts w:ascii="宋体" w:hAnsi="宋体" w:cs="宋体" w:eastAsia="宋体" w:hint="default"/>
                            <w:sz w:val="21"/>
                            <w:szCs w:val="21"/>
                          </w:rPr>
                          <w:t>",</w:t>
                        </w:r>
                        <w:r>
                          <w:rPr>
                            <w:rFonts w:ascii="宋体" w:hAnsi="宋体" w:cs="宋体" w:eastAsia="宋体" w:hint="default"/>
                            <w:sz w:val="21"/>
                            <w:szCs w:val="21"/>
                          </w:rPr>
                          <w:t>使用超募资金</w:t>
                        </w:r>
                        <w:r>
                          <w:rPr>
                            <w:rFonts w:ascii="宋体" w:hAnsi="宋体" w:cs="宋体" w:eastAsia="宋体" w:hint="default"/>
                            <w:spacing w:val="-54"/>
                            <w:sz w:val="21"/>
                            <w:szCs w:val="21"/>
                          </w:rPr>
                          <w:t> </w:t>
                        </w:r>
                        <w:r>
                          <w:rPr>
                            <w:rFonts w:ascii="宋体" w:hAnsi="宋体" w:cs="宋体" w:eastAsia="宋体" w:hint="default"/>
                            <w:sz w:val="21"/>
                            <w:szCs w:val="21"/>
                          </w:rPr>
                          <w:t>25,545,506.28</w:t>
                        </w:r>
                        <w:r>
                          <w:rPr>
                            <w:rFonts w:ascii="宋体" w:hAnsi="宋体" w:cs="宋体" w:eastAsia="宋体" w:hint="default"/>
                            <w:spacing w:val="-54"/>
                            <w:sz w:val="21"/>
                            <w:szCs w:val="21"/>
                          </w:rPr>
                          <w:t> </w:t>
                        </w:r>
                        <w:r>
                          <w:rPr>
                            <w:rFonts w:ascii="宋体" w:hAnsi="宋体" w:cs="宋体" w:eastAsia="宋体" w:hint="default"/>
                            <w:sz w:val="21"/>
                            <w:szCs w:val="21"/>
                          </w:rPr>
                          <w:t>元永久性补 充流动资金。公司监事会对该事项进行了审议、独立董事发表了独立意见、保荐人发 表了核查意见，一致同意该事项。</w:t>
                        </w:r>
                      </w:p>
                      <w:p>
                        <w:pPr>
                          <w:pStyle w:val="TableParagraph"/>
                          <w:spacing w:line="273" w:lineRule="auto" w:before="47"/>
                          <w:ind w:left="22" w:right="21" w:firstLine="315"/>
                          <w:jc w:val="left"/>
                          <w:rPr>
                            <w:rFonts w:ascii="宋体" w:hAnsi="宋体" w:cs="宋体" w:eastAsia="宋体" w:hint="default"/>
                            <w:sz w:val="21"/>
                            <w:szCs w:val="21"/>
                          </w:rPr>
                        </w:pPr>
                        <w:r>
                          <w:rPr>
                            <w:rFonts w:ascii="宋体" w:hAnsi="宋体" w:cs="宋体" w:eastAsia="宋体" w:hint="default"/>
                            <w:spacing w:val="-4"/>
                            <w:sz w:val="21"/>
                            <w:szCs w:val="21"/>
                          </w:rPr>
                          <w:t>10</w:t>
                        </w:r>
                        <w:r>
                          <w:rPr>
                            <w:rFonts w:ascii="宋体" w:hAnsi="宋体" w:cs="宋体" w:eastAsia="宋体" w:hint="default"/>
                            <w:spacing w:val="-4"/>
                            <w:sz w:val="21"/>
                            <w:szCs w:val="21"/>
                          </w:rPr>
                          <w:t>、</w:t>
                        </w:r>
                        <w:r>
                          <w:rPr>
                            <w:rFonts w:ascii="宋体" w:hAnsi="宋体" w:cs="宋体" w:eastAsia="宋体" w:hint="default"/>
                            <w:spacing w:val="-4"/>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日使用超募资金</w:t>
                        </w:r>
                        <w:r>
                          <w:rPr>
                            <w:rFonts w:ascii="宋体" w:hAnsi="宋体" w:cs="宋体" w:eastAsia="宋体" w:hint="default"/>
                            <w:spacing w:val="-53"/>
                            <w:sz w:val="21"/>
                            <w:szCs w:val="21"/>
                          </w:rPr>
                          <w:t> </w:t>
                        </w:r>
                        <w:r>
                          <w:rPr>
                            <w:rFonts w:ascii="宋体" w:hAnsi="宋体" w:cs="宋体" w:eastAsia="宋体" w:hint="default"/>
                            <w:sz w:val="21"/>
                            <w:szCs w:val="21"/>
                          </w:rPr>
                          <w:t>10,418,200.00</w:t>
                        </w:r>
                        <w:r>
                          <w:rPr>
                            <w:rFonts w:ascii="宋体" w:hAnsi="宋体" w:cs="宋体" w:eastAsia="宋体" w:hint="default"/>
                            <w:spacing w:val="-52"/>
                            <w:sz w:val="21"/>
                            <w:szCs w:val="21"/>
                          </w:rPr>
                          <w:t> </w:t>
                        </w:r>
                        <w:r>
                          <w:rPr>
                            <w:rFonts w:ascii="宋体" w:hAnsi="宋体" w:cs="宋体" w:eastAsia="宋体" w:hint="default"/>
                            <w:spacing w:val="-4"/>
                            <w:sz w:val="21"/>
                            <w:szCs w:val="21"/>
                          </w:rPr>
                          <w:t>元与高峰、郭倩、深圳市前海</w:t>
                        </w:r>
                        <w:r>
                          <w:rPr>
                            <w:rFonts w:ascii="宋体" w:hAnsi="宋体" w:cs="宋体" w:eastAsia="宋体" w:hint="default"/>
                            <w:sz w:val="21"/>
                            <w:szCs w:val="21"/>
                          </w:rPr>
                          <w:t> 汇金天源数字技术股份有限公司和上海乐长长投资有限公司对西安华西进行第二期增 资，增资后西安华西股本从</w:t>
                        </w:r>
                        <w:r>
                          <w:rPr>
                            <w:rFonts w:ascii="宋体" w:hAnsi="宋体" w:cs="宋体" w:eastAsia="宋体" w:hint="default"/>
                            <w:spacing w:val="-53"/>
                            <w:sz w:val="21"/>
                            <w:szCs w:val="21"/>
                          </w:rPr>
                          <w:t> </w:t>
                        </w:r>
                        <w:r>
                          <w:rPr>
                            <w:rFonts w:ascii="宋体" w:hAnsi="宋体" w:cs="宋体" w:eastAsia="宋体" w:hint="default"/>
                            <w:sz w:val="21"/>
                            <w:szCs w:val="21"/>
                          </w:rPr>
                          <w:t>3,010</w:t>
                        </w:r>
                        <w:r>
                          <w:rPr>
                            <w:rFonts w:ascii="宋体" w:hAnsi="宋体" w:cs="宋体" w:eastAsia="宋体" w:hint="default"/>
                            <w:spacing w:val="-54"/>
                            <w:sz w:val="21"/>
                            <w:szCs w:val="21"/>
                          </w:rPr>
                          <w:t> </w:t>
                        </w:r>
                        <w:r>
                          <w:rPr>
                            <w:rFonts w:ascii="宋体" w:hAnsi="宋体" w:cs="宋体" w:eastAsia="宋体" w:hint="default"/>
                            <w:sz w:val="21"/>
                            <w:szCs w:val="21"/>
                          </w:rPr>
                          <w:t>万元增至</w:t>
                        </w:r>
                        <w:r>
                          <w:rPr>
                            <w:rFonts w:ascii="宋体" w:hAnsi="宋体" w:cs="宋体" w:eastAsia="宋体" w:hint="default"/>
                            <w:spacing w:val="-54"/>
                            <w:sz w:val="21"/>
                            <w:szCs w:val="21"/>
                          </w:rPr>
                          <w:t> </w:t>
                        </w:r>
                        <w:r>
                          <w:rPr>
                            <w:rFonts w:ascii="宋体" w:hAnsi="宋体" w:cs="宋体" w:eastAsia="宋体" w:hint="default"/>
                            <w:sz w:val="21"/>
                            <w:szCs w:val="21"/>
                          </w:rPr>
                          <w:t>5,050</w:t>
                        </w:r>
                        <w:r>
                          <w:rPr>
                            <w:rFonts w:ascii="宋体" w:hAnsi="宋体" w:cs="宋体" w:eastAsia="宋体" w:hint="default"/>
                            <w:spacing w:val="-53"/>
                            <w:sz w:val="21"/>
                            <w:szCs w:val="21"/>
                          </w:rPr>
                          <w:t> </w:t>
                        </w:r>
                        <w:r>
                          <w:rPr>
                            <w:rFonts w:ascii="宋体" w:hAnsi="宋体" w:cs="宋体" w:eastAsia="宋体" w:hint="default"/>
                            <w:sz w:val="21"/>
                            <w:szCs w:val="21"/>
                          </w:rPr>
                          <w:t>万元。增资后依米康对西安华西持 股比例仍为</w:t>
                        </w:r>
                        <w:r>
                          <w:rPr>
                            <w:rFonts w:ascii="宋体" w:hAnsi="宋体" w:cs="宋体" w:eastAsia="宋体" w:hint="default"/>
                            <w:spacing w:val="-53"/>
                            <w:sz w:val="21"/>
                            <w:szCs w:val="21"/>
                          </w:rPr>
                          <w:t> </w:t>
                        </w:r>
                        <w:r>
                          <w:rPr>
                            <w:rFonts w:ascii="宋体" w:hAnsi="宋体" w:cs="宋体" w:eastAsia="宋体" w:hint="default"/>
                            <w:sz w:val="21"/>
                            <w:szCs w:val="21"/>
                          </w:rPr>
                          <w:t>51.07%</w:t>
                        </w:r>
                        <w:r>
                          <w:rPr>
                            <w:rFonts w:ascii="宋体" w:hAnsi="宋体" w:cs="宋体" w:eastAsia="宋体" w:hint="default"/>
                            <w:sz w:val="21"/>
                            <w:szCs w:val="21"/>
                          </w:rPr>
                          <w:t>。</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73" w:lineRule="auto"/>
                          <w:ind w:left="22" w:right="147"/>
                          <w:jc w:val="both"/>
                          <w:rPr>
                            <w:rFonts w:ascii="宋体" w:hAnsi="宋体" w:cs="宋体" w:eastAsia="宋体" w:hint="default"/>
                            <w:sz w:val="21"/>
                            <w:szCs w:val="21"/>
                          </w:rPr>
                        </w:pPr>
                        <w:r>
                          <w:rPr>
                            <w:rFonts w:ascii="宋体" w:hAnsi="宋体" w:cs="宋体" w:eastAsia="宋体" w:hint="default"/>
                            <w:sz w:val="21"/>
                            <w:szCs w:val="21"/>
                          </w:rPr>
                          <w:t>募集资金投资项 目实施地点变更 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以前年度发生</w:t>
                        </w:r>
                      </w:p>
                    </w:tc>
                  </w:tr>
                  <w:tr>
                    <w:trPr>
                      <w:trHeight w:val="3563"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9" w:firstLine="315"/>
                          <w:jc w:val="both"/>
                          <w:rPr>
                            <w:rFonts w:ascii="宋体" w:hAnsi="宋体" w:cs="宋体" w:eastAsia="宋体" w:hint="default"/>
                            <w:sz w:val="21"/>
                            <w:szCs w:val="21"/>
                          </w:rPr>
                        </w:pPr>
                        <w:r>
                          <w:rPr>
                            <w:rFonts w:ascii="宋体" w:hAnsi="宋体" w:cs="宋体" w:eastAsia="宋体" w:hint="default"/>
                            <w:spacing w:val="-4"/>
                            <w:sz w:val="21"/>
                            <w:szCs w:val="21"/>
                          </w:rPr>
                          <w:t>在募投项目的实施过程中，为了充分实现项目建设的目的，经审慎分析、反复调研</w:t>
                        </w:r>
                        <w:r>
                          <w:rPr>
                            <w:rFonts w:ascii="宋体" w:hAnsi="宋体" w:cs="宋体" w:eastAsia="宋体" w:hint="default"/>
                            <w:sz w:val="21"/>
                            <w:szCs w:val="21"/>
                          </w:rPr>
                          <w:t> 充分论证，公司对相关募集资金投资项目的部分子项目的具体实施场地做了微调，具 体情况如下：</w:t>
                        </w:r>
                      </w:p>
                      <w:p>
                        <w:pPr>
                          <w:pStyle w:val="TableParagraph"/>
                          <w:spacing w:line="273" w:lineRule="auto" w:before="46"/>
                          <w:ind w:left="22" w:right="107" w:firstLine="315"/>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、将“精密机房空调生产技术改造项目”中蒸发器和冷凝器生产线、钣金生产线 的建设地点由公司所在地（成都市科园南二路二号）变更至位于成都市高新西区西区 大道</w:t>
                        </w:r>
                        <w:r>
                          <w:rPr>
                            <w:rFonts w:ascii="宋体" w:hAnsi="宋体" w:cs="宋体" w:eastAsia="宋体" w:hint="default"/>
                            <w:spacing w:val="-54"/>
                            <w:sz w:val="21"/>
                            <w:szCs w:val="21"/>
                          </w:rPr>
                          <w:t> </w:t>
                        </w:r>
                        <w:r>
                          <w:rPr>
                            <w:rFonts w:ascii="宋体" w:hAnsi="宋体" w:cs="宋体" w:eastAsia="宋体" w:hint="default"/>
                            <w:sz w:val="21"/>
                            <w:szCs w:val="21"/>
                          </w:rPr>
                          <w:t>599</w:t>
                        </w:r>
                        <w:r>
                          <w:rPr>
                            <w:rFonts w:ascii="宋体" w:hAnsi="宋体" w:cs="宋体" w:eastAsia="宋体" w:hint="default"/>
                            <w:spacing w:val="-53"/>
                            <w:sz w:val="21"/>
                            <w:szCs w:val="21"/>
                          </w:rPr>
                          <w:t> </w:t>
                        </w:r>
                        <w:r>
                          <w:rPr>
                            <w:rFonts w:ascii="宋体" w:hAnsi="宋体" w:cs="宋体" w:eastAsia="宋体" w:hint="default"/>
                            <w:sz w:val="21"/>
                            <w:szCs w:val="21"/>
                          </w:rPr>
                          <w:t>号公司租用的厂房内。该事项经</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日公司第一届董事会第十七 次会议审议通过，第一届监事会第十二次会议进行了审议、独立董事发表了独立意见 保荐人发表了核查意见，一致同意该事项。</w:t>
                        </w:r>
                      </w:p>
                      <w:p>
                        <w:pPr>
                          <w:pStyle w:val="TableParagraph"/>
                          <w:spacing w:line="273" w:lineRule="auto" w:before="46"/>
                          <w:ind w:left="22" w:right="1" w:firstLine="31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w:t>
                        </w:r>
                        <w:r>
                          <w:rPr>
                            <w:rFonts w:ascii="宋体" w:hAnsi="宋体" w:cs="宋体" w:eastAsia="宋体" w:hint="default"/>
                            <w:spacing w:val="-2"/>
                            <w:sz w:val="21"/>
                            <w:szCs w:val="21"/>
                          </w:rPr>
                          <w:t> </w:t>
                        </w:r>
                        <w:r>
                          <w:rPr>
                            <w:rFonts w:ascii="宋体" w:hAnsi="宋体" w:cs="宋体" w:eastAsia="宋体" w:hint="default"/>
                            <w:sz w:val="21"/>
                            <w:szCs w:val="21"/>
                          </w:rPr>
                          <w:t>“技术研发中心技术改造项目”中实验室的建设地点从“第一层生产车间，</w:t>
                        </w:r>
                        <w:r>
                          <w:rPr>
                            <w:rFonts w:ascii="宋体" w:hAnsi="宋体" w:cs="宋体" w:eastAsia="宋体" w:hint="default"/>
                            <w:sz w:val="21"/>
                            <w:szCs w:val="21"/>
                          </w:rPr>
                          <w:t> 面积约为</w:t>
                        </w:r>
                        <w:r>
                          <w:rPr>
                            <w:rFonts w:ascii="宋体" w:hAnsi="宋体" w:cs="宋体" w:eastAsia="宋体" w:hint="default"/>
                            <w:spacing w:val="-49"/>
                            <w:sz w:val="21"/>
                            <w:szCs w:val="21"/>
                          </w:rPr>
                          <w:t> </w:t>
                        </w:r>
                        <w:r>
                          <w:rPr>
                            <w:rFonts w:ascii="宋体" w:hAnsi="宋体" w:cs="宋体" w:eastAsia="宋体" w:hint="default"/>
                            <w:sz w:val="21"/>
                            <w:szCs w:val="21"/>
                          </w:rPr>
                          <w:t>838</w:t>
                        </w:r>
                        <w:r>
                          <w:rPr>
                            <w:rFonts w:ascii="宋体" w:hAnsi="宋体" w:cs="宋体" w:eastAsia="宋体" w:hint="default"/>
                            <w:spacing w:val="-48"/>
                            <w:sz w:val="21"/>
                            <w:szCs w:val="21"/>
                          </w:rPr>
                          <w:t> </w:t>
                        </w:r>
                        <w:r>
                          <w:rPr>
                            <w:rFonts w:ascii="宋体" w:hAnsi="宋体" w:cs="宋体" w:eastAsia="宋体" w:hint="default"/>
                            <w:spacing w:val="-3"/>
                            <w:sz w:val="21"/>
                            <w:szCs w:val="21"/>
                          </w:rPr>
                          <w:t>平方米”变更为“新扩建厂房内，面积约</w:t>
                        </w:r>
                        <w:r>
                          <w:rPr>
                            <w:rFonts w:ascii="宋体" w:hAnsi="宋体" w:cs="宋体" w:eastAsia="宋体" w:hint="default"/>
                            <w:spacing w:val="-48"/>
                            <w:sz w:val="21"/>
                            <w:szCs w:val="21"/>
                          </w:rPr>
                          <w:t> </w:t>
                        </w:r>
                        <w:r>
                          <w:rPr>
                            <w:rFonts w:ascii="宋体" w:hAnsi="宋体" w:cs="宋体" w:eastAsia="宋体" w:hint="default"/>
                            <w:sz w:val="21"/>
                            <w:szCs w:val="21"/>
                          </w:rPr>
                          <w:t>2700</w:t>
                        </w:r>
                        <w:r>
                          <w:rPr>
                            <w:rFonts w:ascii="宋体" w:hAnsi="宋体" w:cs="宋体" w:eastAsia="宋体" w:hint="default"/>
                            <w:spacing w:val="-49"/>
                            <w:sz w:val="21"/>
                            <w:szCs w:val="21"/>
                          </w:rPr>
                          <w:t> </w:t>
                        </w:r>
                        <w:r>
                          <w:rPr>
                            <w:rFonts w:ascii="宋体" w:hAnsi="宋体" w:cs="宋体" w:eastAsia="宋体" w:hint="default"/>
                            <w:spacing w:val="-5"/>
                            <w:sz w:val="21"/>
                            <w:szCs w:val="21"/>
                          </w:rPr>
                          <w:t>平方米”，该事项经</w:t>
                        </w:r>
                        <w:r>
                          <w:rPr>
                            <w:rFonts w:ascii="宋体" w:hAnsi="宋体" w:cs="宋体" w:eastAsia="宋体" w:hint="default"/>
                            <w:spacing w:val="-49"/>
                            <w:sz w:val="21"/>
                            <w:szCs w:val="21"/>
                          </w:rPr>
                          <w:t> </w:t>
                        </w:r>
                        <w:r>
                          <w:rPr>
                            <w:rFonts w:ascii="宋体" w:hAnsi="宋体" w:cs="宋体" w:eastAsia="宋体" w:hint="default"/>
                            <w:sz w:val="21"/>
                            <w:szCs w:val="21"/>
                          </w:rPr>
                          <w:t>2012</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29</w:t>
                        </w:r>
                        <w:r>
                          <w:rPr>
                            <w:rFonts w:ascii="宋体" w:hAnsi="宋体" w:cs="宋体" w:eastAsia="宋体" w:hint="default"/>
                            <w:spacing w:val="-58"/>
                            <w:sz w:val="21"/>
                            <w:szCs w:val="21"/>
                          </w:rPr>
                          <w:t> </w:t>
                        </w:r>
                        <w:r>
                          <w:rPr>
                            <w:rFonts w:ascii="宋体" w:hAnsi="宋体" w:cs="宋体" w:eastAsia="宋体" w:hint="default"/>
                            <w:sz w:val="21"/>
                            <w:szCs w:val="21"/>
                          </w:rPr>
                          <w:t>日公司第一届董事会第二十次会议审议通过，第一届监事会第十四次会议审</w:t>
                        </w:r>
                      </w:p>
                    </w:tc>
                  </w:tr>
                </w:tbl>
                <w:p>
                  <w:pPr/>
                </w:p>
              </w:txbxContent>
            </v:textbox>
            <w10:wrap type="none"/>
          </v:shape>
        </w:pict>
      </w:r>
    </w:p>
    <w:p>
      <w:pPr>
        <w:spacing w:before="35"/>
        <w:ind w:left="0" w:right="825"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82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35"/>
        <w:ind w:left="0" w:right="825"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tbl>
      <w:tblPr>
        <w:tblW w:w="0" w:type="auto"/>
        <w:jc w:val="left"/>
        <w:tblInd w:w="1435" w:type="dxa"/>
        <w:tblLayout w:type="fixed"/>
        <w:tblCellMar>
          <w:top w:w="0" w:type="dxa"/>
          <w:left w:w="0" w:type="dxa"/>
          <w:bottom w:w="0" w:type="dxa"/>
          <w:right w:w="0" w:type="dxa"/>
        </w:tblCellMar>
        <w:tblLook w:val="01E0"/>
      </w:tblPr>
      <w:tblGrid>
        <w:gridCol w:w="1650"/>
        <w:gridCol w:w="7912"/>
      </w:tblGrid>
      <w:tr>
        <w:trPr>
          <w:trHeight w:val="370" w:hRule="exact"/>
        </w:trPr>
        <w:tc>
          <w:tcPr>
            <w:tcW w:w="165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10"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议通过、独立董事发表了独立意见、保荐人发表了核查意见，一致同意该事项</w:t>
            </w:r>
            <w:r>
              <w:rPr>
                <w:rFonts w:ascii="宋体" w:hAnsi="宋体" w:cs="宋体" w:eastAsia="宋体" w:hint="default"/>
                <w:spacing w:val="1"/>
                <w:sz w:val="21"/>
                <w:szCs w:val="21"/>
              </w:rPr>
              <w:t> </w:t>
            </w:r>
            <w:r>
              <w:rPr>
                <w:rFonts w:ascii="宋体" w:hAnsi="宋体" w:cs="宋体" w:eastAsia="宋体" w:hint="default"/>
                <w:sz w:val="21"/>
                <w:szCs w:val="21"/>
              </w:rPr>
              <w:t>。</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16"/>
              <w:ind w:left="22" w:right="147"/>
              <w:jc w:val="both"/>
              <w:rPr>
                <w:rFonts w:ascii="宋体" w:hAnsi="宋体" w:cs="宋体" w:eastAsia="宋体" w:hint="default"/>
                <w:sz w:val="21"/>
                <w:szCs w:val="21"/>
              </w:rPr>
            </w:pPr>
            <w:r>
              <w:rPr>
                <w:rFonts w:ascii="宋体" w:hAnsi="宋体" w:cs="宋体" w:eastAsia="宋体" w:hint="default"/>
                <w:sz w:val="21"/>
                <w:szCs w:val="21"/>
              </w:rPr>
              <w:t>募集资金投资项 目实施方式调整 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 w:right="147"/>
              <w:jc w:val="both"/>
              <w:rPr>
                <w:rFonts w:ascii="宋体" w:hAnsi="宋体" w:cs="宋体" w:eastAsia="宋体" w:hint="default"/>
                <w:sz w:val="21"/>
                <w:szCs w:val="21"/>
              </w:rPr>
            </w:pPr>
            <w:r>
              <w:rPr>
                <w:rFonts w:ascii="宋体" w:hAnsi="宋体" w:cs="宋体" w:eastAsia="宋体" w:hint="default"/>
                <w:sz w:val="21"/>
                <w:szCs w:val="21"/>
              </w:rPr>
              <w:t>募集资金投资项 目先期投入及置 换情况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 w:right="147"/>
              <w:jc w:val="both"/>
              <w:rPr>
                <w:rFonts w:ascii="宋体" w:hAnsi="宋体" w:cs="宋体" w:eastAsia="宋体" w:hint="default"/>
                <w:sz w:val="21"/>
                <w:szCs w:val="21"/>
              </w:rPr>
            </w:pPr>
            <w:r>
              <w:rPr>
                <w:rFonts w:ascii="宋体" w:hAnsi="宋体" w:cs="宋体" w:eastAsia="宋体" w:hint="default"/>
                <w:sz w:val="21"/>
                <w:szCs w:val="21"/>
              </w:rPr>
              <w:t>用闲置募集资金 暂时补充流动资 金情况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73" w:lineRule="auto"/>
              <w:ind w:left="22" w:right="147"/>
              <w:jc w:val="both"/>
              <w:rPr>
                <w:rFonts w:ascii="宋体" w:hAnsi="宋体" w:cs="宋体" w:eastAsia="宋体" w:hint="default"/>
                <w:sz w:val="21"/>
                <w:szCs w:val="21"/>
              </w:rPr>
            </w:pPr>
            <w:r>
              <w:rPr>
                <w:rFonts w:ascii="宋体" w:hAnsi="宋体" w:cs="宋体" w:eastAsia="宋体" w:hint="default"/>
                <w:sz w:val="21"/>
                <w:szCs w:val="21"/>
              </w:rPr>
              <w:t>项目实施出现募 集资金结余的金 额及原因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6449"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8"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、精密机房空调生产技术改造项目节余资金</w:t>
            </w:r>
            <w:r>
              <w:rPr>
                <w:rFonts w:ascii="宋体" w:hAnsi="宋体" w:cs="宋体" w:eastAsia="宋体" w:hint="default"/>
                <w:spacing w:val="-54"/>
                <w:sz w:val="21"/>
                <w:szCs w:val="21"/>
              </w:rPr>
              <w:t> </w:t>
            </w:r>
            <w:r>
              <w:rPr>
                <w:rFonts w:ascii="宋体" w:hAnsi="宋体" w:cs="宋体" w:eastAsia="宋体" w:hint="default"/>
                <w:sz w:val="21"/>
                <w:szCs w:val="21"/>
              </w:rPr>
              <w:t>1,053.61</w:t>
            </w:r>
            <w:r>
              <w:rPr>
                <w:rFonts w:ascii="宋体" w:hAnsi="宋体" w:cs="宋体" w:eastAsia="宋体" w:hint="default"/>
                <w:spacing w:val="-54"/>
                <w:sz w:val="21"/>
                <w:szCs w:val="21"/>
              </w:rPr>
              <w:t> </w:t>
            </w:r>
            <w:r>
              <w:rPr>
                <w:rFonts w:ascii="宋体" w:hAnsi="宋体" w:cs="宋体" w:eastAsia="宋体" w:hint="default"/>
                <w:sz w:val="21"/>
                <w:szCs w:val="21"/>
              </w:rPr>
              <w:t>万元，主要原因是公司对 现有资源进行了整合，严格控制了各项费用支出。</w:t>
            </w:r>
          </w:p>
          <w:p>
            <w:pPr>
              <w:pStyle w:val="TableParagraph"/>
              <w:spacing w:line="273" w:lineRule="auto" w:before="47"/>
              <w:ind w:left="22" w:right="109"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、技术研发中心技术改造项目节余资金</w:t>
            </w:r>
            <w:r>
              <w:rPr>
                <w:rFonts w:ascii="宋体" w:hAnsi="宋体" w:cs="宋体" w:eastAsia="宋体" w:hint="default"/>
                <w:spacing w:val="-54"/>
                <w:sz w:val="21"/>
                <w:szCs w:val="21"/>
              </w:rPr>
              <w:t> </w:t>
            </w:r>
            <w:r>
              <w:rPr>
                <w:rFonts w:ascii="宋体" w:hAnsi="宋体" w:cs="宋体" w:eastAsia="宋体" w:hint="default"/>
                <w:sz w:val="21"/>
                <w:szCs w:val="21"/>
              </w:rPr>
              <w:t>1,255.12</w:t>
            </w:r>
            <w:r>
              <w:rPr>
                <w:rFonts w:ascii="宋体" w:hAnsi="宋体" w:cs="宋体" w:eastAsia="宋体" w:hint="default"/>
                <w:spacing w:val="-54"/>
                <w:sz w:val="21"/>
                <w:szCs w:val="21"/>
              </w:rPr>
              <w:t> </w:t>
            </w:r>
            <w:r>
              <w:rPr>
                <w:rFonts w:ascii="宋体" w:hAnsi="宋体" w:cs="宋体" w:eastAsia="宋体" w:hint="default"/>
                <w:sz w:val="21"/>
                <w:szCs w:val="21"/>
              </w:rPr>
              <w:t>万元，主要原因是项目实施过 程中经综合考察评定，向合肥通用环境控制技术有限责任公司采购综合性焓差实验室 设备，与公司新建焓差实验室工程配套使用，达到目前公司研发需求，其他实验室设 备根据公司未来实际情况，再另行购买。</w:t>
            </w:r>
          </w:p>
          <w:p>
            <w:pPr>
              <w:pStyle w:val="TableParagraph"/>
              <w:spacing w:line="273" w:lineRule="auto" w:before="47"/>
              <w:ind w:left="22" w:right="107"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、营销服务网络建设技术改造项目节余资金</w:t>
            </w:r>
            <w:r>
              <w:rPr>
                <w:rFonts w:ascii="宋体" w:hAnsi="宋体" w:cs="宋体" w:eastAsia="宋体" w:hint="default"/>
                <w:spacing w:val="-54"/>
                <w:sz w:val="21"/>
                <w:szCs w:val="21"/>
              </w:rPr>
              <w:t> </w:t>
            </w:r>
            <w:r>
              <w:rPr>
                <w:rFonts w:ascii="宋体" w:hAnsi="宋体" w:cs="宋体" w:eastAsia="宋体" w:hint="default"/>
                <w:sz w:val="21"/>
                <w:szCs w:val="21"/>
              </w:rPr>
              <w:t>767.41</w:t>
            </w:r>
            <w:r>
              <w:rPr>
                <w:rFonts w:ascii="宋体" w:hAnsi="宋体" w:cs="宋体" w:eastAsia="宋体" w:hint="default"/>
                <w:spacing w:val="-54"/>
                <w:sz w:val="21"/>
                <w:szCs w:val="21"/>
              </w:rPr>
              <w:t> </w:t>
            </w:r>
            <w:r>
              <w:rPr>
                <w:rFonts w:ascii="宋体" w:hAnsi="宋体" w:cs="宋体" w:eastAsia="宋体" w:hint="default"/>
                <w:sz w:val="21"/>
                <w:szCs w:val="21"/>
              </w:rPr>
              <w:t>万元，主要原因是本项目建 设过程中，为了应对市场变化，并有效利用现有资源并节约成本，依米康对现有资源 进行了整合，严格控制了在装修、办公设备、车辆、</w:t>
            </w:r>
            <w:r>
              <w:rPr>
                <w:rFonts w:ascii="宋体" w:hAnsi="宋体" w:cs="宋体" w:eastAsia="宋体" w:hint="default"/>
                <w:sz w:val="21"/>
                <w:szCs w:val="21"/>
              </w:rPr>
              <w:t>ERP</w:t>
            </w:r>
            <w:r>
              <w:rPr>
                <w:rFonts w:ascii="宋体" w:hAnsi="宋体" w:cs="宋体" w:eastAsia="宋体" w:hint="default"/>
                <w:spacing w:val="-54"/>
                <w:sz w:val="21"/>
                <w:szCs w:val="21"/>
              </w:rPr>
              <w:t> </w:t>
            </w:r>
            <w:r>
              <w:rPr>
                <w:rFonts w:ascii="宋体" w:hAnsi="宋体" w:cs="宋体" w:eastAsia="宋体" w:hint="default"/>
                <w:sz w:val="21"/>
                <w:szCs w:val="21"/>
              </w:rPr>
              <w:t>系统上的支出。</w:t>
            </w:r>
          </w:p>
          <w:p>
            <w:pPr>
              <w:pStyle w:val="TableParagraph"/>
              <w:spacing w:line="273" w:lineRule="auto" w:before="46"/>
              <w:ind w:left="22" w:right="21"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日公司召开第二届董事会第十八次会议和第二届监事会第十四 次会议审议通过了《关于对募集资金投资项目结项并用剩余募集资金及利息永久补充 </w:t>
            </w:r>
            <w:r>
              <w:rPr>
                <w:rFonts w:ascii="宋体" w:hAnsi="宋体" w:cs="宋体" w:eastAsia="宋体" w:hint="default"/>
                <w:spacing w:val="-4"/>
                <w:sz w:val="21"/>
                <w:szCs w:val="21"/>
              </w:rPr>
              <w:t>流动资金的议案》，独立董事发表了同意的独立意见《关于公司对募集资金投资项目结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项并用剩余募集资金及利息永久补充流动资金的独立意见》、海际证券有限责任公司</w:t>
            </w:r>
          </w:p>
          <w:p>
            <w:pPr>
              <w:pStyle w:val="TableParagraph"/>
              <w:spacing w:line="273" w:lineRule="auto" w:before="7"/>
              <w:ind w:left="22" w:right="107"/>
              <w:jc w:val="left"/>
              <w:rPr>
                <w:rFonts w:ascii="宋体" w:hAnsi="宋体" w:cs="宋体" w:eastAsia="宋体" w:hint="default"/>
                <w:sz w:val="21"/>
                <w:szCs w:val="21"/>
              </w:rPr>
            </w:pPr>
            <w:r>
              <w:rPr>
                <w:rFonts w:ascii="宋体" w:hAnsi="宋体" w:cs="宋体" w:eastAsia="宋体" w:hint="default"/>
                <w:sz w:val="21"/>
                <w:szCs w:val="21"/>
              </w:rPr>
              <w:t>《关于四川依米康环境科技股份有限公司募集资金投资项目结项并用剩余募集资金及 </w:t>
            </w:r>
            <w:r>
              <w:rPr>
                <w:rFonts w:ascii="宋体" w:hAnsi="宋体" w:cs="宋体" w:eastAsia="宋体" w:hint="default"/>
                <w:spacing w:val="-3"/>
                <w:sz w:val="21"/>
                <w:szCs w:val="21"/>
              </w:rPr>
              <w:t>利息永久补充流动资金的保荐意见》，同意公司对“精密机房空调生产技术改造项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目”、“技术研发中心技术改造项目”、“营销服务网络建设技术改造项目”、“工 程承包业务营运资金项目”四个募集资金投资项目进行结项，并将剩余募集资金</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30,761,388.04</w:t>
            </w:r>
            <w:r>
              <w:rPr>
                <w:rFonts w:ascii="宋体" w:hAnsi="宋体" w:cs="宋体" w:eastAsia="宋体" w:hint="default"/>
                <w:spacing w:val="-7"/>
                <w:sz w:val="21"/>
                <w:szCs w:val="21"/>
              </w:rPr>
              <w:t> </w:t>
            </w:r>
            <w:r>
              <w:rPr>
                <w:rFonts w:ascii="宋体" w:hAnsi="宋体" w:cs="宋体" w:eastAsia="宋体" w:hint="default"/>
                <w:sz w:val="21"/>
                <w:szCs w:val="21"/>
              </w:rPr>
              <w:t>元）及专户账户的利息收入永久补充流动资金；公司于</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5"/>
                <w:sz w:val="21"/>
                <w:szCs w:val="21"/>
              </w:rPr>
              <w:t> </w:t>
            </w:r>
            <w:r>
              <w:rPr>
                <w:rFonts w:ascii="宋体" w:hAnsi="宋体" w:cs="宋体" w:eastAsia="宋体" w:hint="default"/>
                <w:spacing w:val="-3"/>
                <w:sz w:val="21"/>
                <w:szCs w:val="21"/>
              </w:rPr>
              <w:t>日召开的二〇一四年第二次临时股东大会会议审议通过了《关于对募集资金投资项目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结项并用剩余募集资金及利息永久补充流动资金的议案》。</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47"/>
              <w:jc w:val="left"/>
              <w:rPr>
                <w:rFonts w:ascii="宋体" w:hAnsi="宋体" w:cs="宋体" w:eastAsia="宋体" w:hint="default"/>
                <w:sz w:val="21"/>
                <w:szCs w:val="21"/>
              </w:rPr>
            </w:pPr>
            <w:r>
              <w:rPr>
                <w:rFonts w:ascii="宋体" w:hAnsi="宋体" w:cs="宋体" w:eastAsia="宋体" w:hint="default"/>
                <w:sz w:val="21"/>
                <w:szCs w:val="21"/>
              </w:rPr>
              <w:t>尚未使用的募集 资金用途及去向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存放于募集资金专项账户</w:t>
            </w:r>
          </w:p>
        </w:tc>
      </w:tr>
      <w:tr>
        <w:trPr>
          <w:trHeight w:val="1027"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47"/>
              <w:jc w:val="both"/>
              <w:rPr>
                <w:rFonts w:ascii="宋体" w:hAnsi="宋体" w:cs="宋体" w:eastAsia="宋体" w:hint="default"/>
                <w:sz w:val="21"/>
                <w:szCs w:val="21"/>
              </w:rPr>
            </w:pPr>
            <w:r>
              <w:rPr>
                <w:rFonts w:ascii="宋体" w:hAnsi="宋体" w:cs="宋体" w:eastAsia="宋体" w:hint="default"/>
                <w:sz w:val="21"/>
                <w:szCs w:val="21"/>
              </w:rPr>
              <w:t>募集资金使用及 披露中存在的问 题或其他情况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sz w:val="18"/>
          <w:szCs w:val="18"/>
        </w:rPr>
      </w:pPr>
    </w:p>
    <w:p>
      <w:pPr>
        <w:pStyle w:val="Heading3"/>
        <w:spacing w:line="240" w:lineRule="auto" w:before="26"/>
        <w:ind w:left="1440" w:right="1033"/>
        <w:jc w:val="left"/>
        <w:rPr>
          <w:b w:val="0"/>
          <w:bCs w:val="0"/>
        </w:rPr>
      </w:pPr>
      <w:bookmarkStart w:name="（3）募集资金变更项目情况" w:id="50"/>
      <w:bookmarkEnd w:id="50"/>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11"/>
        <w:rPr>
          <w:rFonts w:ascii="宋体" w:hAnsi="宋体" w:cs="宋体" w:eastAsia="宋体" w:hint="default"/>
          <w:b/>
          <w:bCs/>
          <w:sz w:val="28"/>
          <w:szCs w:val="28"/>
        </w:rPr>
      </w:pPr>
    </w:p>
    <w:p>
      <w:pPr>
        <w:pStyle w:val="BodyText"/>
        <w:spacing w:line="388" w:lineRule="auto"/>
        <w:ind w:left="1440" w:right="5886"/>
        <w:jc w:val="left"/>
      </w:pPr>
      <w:r>
        <w:rPr/>
        <w:t>□ 适用 √ 不适用 公司报告期不存在募集资金变更项目情况。</w:t>
      </w:r>
    </w:p>
    <w:p>
      <w:pPr>
        <w:spacing w:after="0" w:line="388" w:lineRule="auto"/>
        <w:jc w:val="left"/>
        <w:sectPr>
          <w:pgSz w:w="11910" w:h="16840"/>
          <w:pgMar w:header="747" w:footer="979" w:top="1060" w:bottom="1160" w:left="0" w:right="0"/>
        </w:sectPr>
      </w:pPr>
    </w:p>
    <w:p>
      <w:pPr>
        <w:pStyle w:val="Heading3"/>
        <w:spacing w:line="470" w:lineRule="auto" w:before="14"/>
        <w:ind w:left="1440" w:right="6486"/>
        <w:jc w:val="left"/>
        <w:rPr>
          <w:b w:val="0"/>
          <w:bCs w:val="0"/>
        </w:rPr>
      </w:pPr>
      <w:r>
        <w:rPr/>
        <w:pict>
          <v:group style="position:absolute;margin-left:70.5pt;margin-top:2.235632pt;width:454.4pt;height:.1pt;mso-position-horizontal-relative:page;mso-position-vertical-relative:paragraph;z-index:-1061488" coordorigin="1410,45" coordsize="9088,2">
            <v:shape style="position:absolute;left:1410;top:45;width:9088;height:2" coordorigin="1410,45" coordsize="9088,0" path="m1410,45l10498,45e" filled="false" stroked="true" strokeweight=".72pt" strokecolor="#000000">
              <v:path arrowok="t"/>
            </v:shape>
            <w10:wrap type="none"/>
          </v:group>
        </w:pict>
      </w:r>
      <w:bookmarkStart w:name="六、重大资产和股权出售" w:id="51"/>
      <w:bookmarkEnd w:id="51"/>
      <w:r>
        <w:rPr>
          <w:b w:val="0"/>
          <w:bCs w:val="0"/>
        </w:rPr>
      </w:r>
      <w:r>
        <w:rPr>
          <w:w w:val="95"/>
        </w:rPr>
        <w:t>六、重大资产和股权出售</w:t>
      </w:r>
      <w:r>
        <w:rPr>
          <w:spacing w:val="7"/>
          <w:w w:val="95"/>
        </w:rPr>
        <w:t> </w:t>
      </w:r>
      <w:bookmarkStart w:name="1、出售重大资产情况" w:id="52"/>
      <w:bookmarkEnd w:id="52"/>
      <w:r>
        <w:rPr>
          <w:spacing w:val="7"/>
          <w:w w:val="95"/>
        </w:rPr>
      </w:r>
      <w:r>
        <w:rPr>
          <w:rFonts w:ascii="宋体" w:hAnsi="宋体" w:cs="宋体" w:eastAsia="宋体" w:hint="default"/>
        </w:rPr>
        <w:t>1</w:t>
      </w:r>
      <w:r>
        <w:rPr/>
        <w:t>、出售重大资产情况</w:t>
      </w:r>
      <w:r>
        <w:rPr>
          <w:b w:val="0"/>
          <w:bCs w:val="0"/>
        </w:rPr>
      </w:r>
    </w:p>
    <w:p>
      <w:pPr>
        <w:pStyle w:val="BodyText"/>
        <w:spacing w:line="388" w:lineRule="auto" w:before="146"/>
        <w:ind w:left="1440" w:right="7326"/>
        <w:jc w:val="left"/>
      </w:pPr>
      <w:r>
        <w:rPr/>
        <w:t>□ 适用 √ 不适用 公司报告期未出售重大资产。</w:t>
      </w:r>
    </w:p>
    <w:p>
      <w:pPr>
        <w:spacing w:line="240" w:lineRule="auto" w:before="5"/>
        <w:rPr>
          <w:rFonts w:ascii="宋体" w:hAnsi="宋体" w:cs="宋体" w:eastAsia="宋体" w:hint="default"/>
          <w:sz w:val="17"/>
          <w:szCs w:val="17"/>
        </w:rPr>
      </w:pPr>
    </w:p>
    <w:p>
      <w:pPr>
        <w:pStyle w:val="Heading3"/>
        <w:spacing w:line="240" w:lineRule="auto"/>
        <w:ind w:left="1440" w:right="1033"/>
        <w:jc w:val="left"/>
        <w:rPr>
          <w:b w:val="0"/>
          <w:bCs w:val="0"/>
        </w:rPr>
      </w:pPr>
      <w:bookmarkStart w:name="2、出售重大股权情况" w:id="53"/>
      <w:bookmarkEnd w:id="53"/>
      <w:r>
        <w:rPr>
          <w:b w:val="0"/>
          <w:bCs w:val="0"/>
        </w:rPr>
      </w:r>
      <w:r>
        <w:rPr>
          <w:rFonts w:ascii="宋体" w:hAnsi="宋体" w:cs="宋体" w:eastAsia="宋体" w:hint="default"/>
        </w:rPr>
        <w:t>2</w:t>
      </w:r>
      <w:r>
        <w:rPr/>
        <w:t>、出售重大股权情况</w:t>
      </w:r>
      <w:r>
        <w:rPr>
          <w:b w:val="0"/>
          <w:bCs w:val="0"/>
        </w:rPr>
      </w:r>
    </w:p>
    <w:p>
      <w:pPr>
        <w:spacing w:line="240" w:lineRule="auto" w:before="11"/>
        <w:rPr>
          <w:rFonts w:ascii="宋体" w:hAnsi="宋体" w:cs="宋体" w:eastAsia="宋体" w:hint="default"/>
          <w:b/>
          <w:bCs/>
          <w:sz w:val="28"/>
          <w:szCs w:val="28"/>
        </w:rPr>
      </w:pPr>
    </w:p>
    <w:p>
      <w:pPr>
        <w:spacing w:line="528" w:lineRule="auto" w:before="0"/>
        <w:ind w:left="1440" w:right="6486" w:firstLine="0"/>
        <w:jc w:val="left"/>
        <w:rPr>
          <w:rFonts w:ascii="宋体" w:hAnsi="宋体" w:cs="宋体" w:eastAsia="宋体" w:hint="default"/>
          <w:sz w:val="24"/>
          <w:szCs w:val="24"/>
        </w:rPr>
      </w:pPr>
      <w:r>
        <w:rPr>
          <w:rFonts w:ascii="宋体" w:hAnsi="宋体" w:cs="宋体" w:eastAsia="宋体" w:hint="default"/>
          <w:sz w:val="24"/>
          <w:szCs w:val="24"/>
        </w:rPr>
        <w:t>□ 适用 √不适用 </w:t>
      </w:r>
      <w:bookmarkStart w:name="七、主要控股参股公司分析" w:id="54"/>
      <w:bookmarkEnd w:id="54"/>
      <w:r>
        <w:rPr>
          <w:rFonts w:ascii="宋体" w:hAnsi="宋体" w:cs="宋体" w:eastAsia="宋体" w:hint="default"/>
          <w:sz w:val="24"/>
          <w:szCs w:val="24"/>
        </w:rPr>
      </w:r>
      <w:r>
        <w:rPr>
          <w:rFonts w:ascii="宋体" w:hAnsi="宋体" w:cs="宋体" w:eastAsia="宋体" w:hint="default"/>
          <w:b/>
          <w:bCs/>
          <w:w w:val="95"/>
          <w:sz w:val="24"/>
          <w:szCs w:val="24"/>
        </w:rPr>
        <w:t>七、主要控股参股公司分析</w:t>
      </w:r>
      <w:r>
        <w:rPr>
          <w:rFonts w:ascii="宋体" w:hAnsi="宋体" w:cs="宋体" w:eastAsia="宋体" w:hint="default"/>
          <w:sz w:val="24"/>
          <w:szCs w:val="24"/>
        </w:rPr>
      </w:r>
    </w:p>
    <w:p>
      <w:pPr>
        <w:pStyle w:val="BodyText"/>
        <w:spacing w:line="240" w:lineRule="auto" w:before="90"/>
        <w:ind w:left="1440" w:right="1033"/>
        <w:jc w:val="left"/>
      </w:pPr>
      <w:r>
        <w:rPr/>
        <w:t>√适用 □</w:t>
      </w:r>
      <w:r>
        <w:rPr>
          <w:spacing w:val="-1"/>
        </w:rPr>
        <w:t> </w:t>
      </w:r>
      <w:r>
        <w:rPr/>
        <w:t>不适用</w:t>
      </w:r>
    </w:p>
    <w:p>
      <w:pPr>
        <w:pStyle w:val="Heading3"/>
        <w:spacing w:line="240" w:lineRule="auto" w:before="193"/>
        <w:ind w:left="1440" w:right="1033"/>
        <w:jc w:val="left"/>
        <w:rPr>
          <w:b w:val="0"/>
          <w:bCs w:val="0"/>
        </w:rPr>
      </w:pPr>
      <w:r>
        <w:rPr>
          <w:rFonts w:ascii="宋体" w:hAnsi="宋体" w:cs="宋体" w:eastAsia="宋体" w:hint="default"/>
        </w:rPr>
        <w:t>1</w:t>
      </w:r>
      <w:r>
        <w:rPr/>
        <w:t>、主要子公司及对公司净利润影响达</w:t>
      </w:r>
      <w:r>
        <w:rPr>
          <w:spacing w:val="-80"/>
        </w:rPr>
        <w:t> </w:t>
      </w:r>
      <w:r>
        <w:rPr>
          <w:rFonts w:ascii="宋体" w:hAnsi="宋体" w:cs="宋体" w:eastAsia="宋体" w:hint="default"/>
        </w:rPr>
        <w:t>10%</w:t>
      </w:r>
      <w:r>
        <w:rPr/>
        <w:t>以上的参股公司情况</w:t>
      </w:r>
      <w:r>
        <w:rPr>
          <w:b w:val="0"/>
          <w:bCs w:val="0"/>
        </w:rPr>
      </w:r>
    </w:p>
    <w:p>
      <w:pPr>
        <w:spacing w:line="240" w:lineRule="auto" w:before="2"/>
        <w:rPr>
          <w:rFonts w:ascii="宋体" w:hAnsi="宋体" w:cs="宋体" w:eastAsia="宋体" w:hint="default"/>
          <w:b/>
          <w:bCs/>
          <w:sz w:val="9"/>
          <w:szCs w:val="9"/>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35"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3"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7"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2"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2"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7"/>
              <w:ind w:left="22" w:right="179"/>
              <w:jc w:val="both"/>
              <w:rPr>
                <w:rFonts w:ascii="宋体" w:hAnsi="宋体" w:cs="宋体" w:eastAsia="宋体" w:hint="default"/>
                <w:sz w:val="21"/>
                <w:szCs w:val="21"/>
              </w:rPr>
            </w:pPr>
            <w:r>
              <w:rPr>
                <w:rFonts w:ascii="宋体" w:hAnsi="宋体" w:cs="宋体" w:eastAsia="宋体" w:hint="default"/>
                <w:sz w:val="21"/>
                <w:szCs w:val="21"/>
              </w:rPr>
              <w:t>四川桑瑞 思环境技 术工程有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22" w:right="170"/>
              <w:jc w:val="left"/>
              <w:rPr>
                <w:rFonts w:ascii="宋体" w:hAnsi="宋体" w:cs="宋体" w:eastAsia="宋体" w:hint="default"/>
                <w:sz w:val="21"/>
                <w:szCs w:val="21"/>
              </w:rPr>
            </w:pPr>
            <w:r>
              <w:rPr>
                <w:rFonts w:ascii="宋体" w:hAnsi="宋体" w:cs="宋体" w:eastAsia="宋体" w:hint="default"/>
                <w:sz w:val="21"/>
                <w:szCs w:val="21"/>
              </w:rPr>
              <w:t>精密环境 工程</w:t>
            </w:r>
          </w:p>
        </w:tc>
        <w:tc>
          <w:tcPr>
            <w:tcW w:w="10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60,000,000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68" w:right="0"/>
              <w:jc w:val="left"/>
              <w:rPr>
                <w:rFonts w:ascii="Times New Roman" w:hAnsi="Times New Roman" w:cs="Times New Roman" w:eastAsia="Times New Roman" w:hint="default"/>
                <w:sz w:val="21"/>
                <w:szCs w:val="21"/>
              </w:rPr>
            </w:pPr>
            <w:r>
              <w:rPr>
                <w:rFonts w:ascii="Times New Roman"/>
                <w:sz w:val="21"/>
              </w:rPr>
              <w:t>223,270,81</w:t>
            </w:r>
          </w:p>
          <w:p>
            <w:pPr>
              <w:pStyle w:val="TableParagraph"/>
              <w:spacing w:line="240" w:lineRule="auto" w:before="70"/>
              <w:ind w:left="645" w:right="0"/>
              <w:jc w:val="left"/>
              <w:rPr>
                <w:rFonts w:ascii="Times New Roman" w:hAnsi="Times New Roman" w:cs="Times New Roman" w:eastAsia="Times New Roman" w:hint="default"/>
                <w:sz w:val="21"/>
                <w:szCs w:val="21"/>
              </w:rPr>
            </w:pPr>
            <w:r>
              <w:rPr>
                <w:rFonts w:ascii="Times New Roman"/>
                <w:sz w:val="21"/>
              </w:rPr>
              <w:t>8.10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61,912,535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67,210,737</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649,656.86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84,995.90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6"/>
              <w:ind w:left="22" w:right="179"/>
              <w:jc w:val="both"/>
              <w:rPr>
                <w:rFonts w:ascii="宋体" w:hAnsi="宋体" w:cs="宋体" w:eastAsia="宋体" w:hint="default"/>
                <w:sz w:val="21"/>
                <w:szCs w:val="21"/>
              </w:rPr>
            </w:pPr>
            <w:r>
              <w:rPr>
                <w:rFonts w:ascii="宋体" w:hAnsi="宋体" w:cs="宋体" w:eastAsia="宋体" w:hint="default"/>
                <w:sz w:val="21"/>
                <w:szCs w:val="21"/>
              </w:rPr>
              <w:t>四川依米 康软件有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0"/>
              <w:jc w:val="left"/>
              <w:rPr>
                <w:rFonts w:ascii="宋体" w:hAnsi="宋体" w:cs="宋体" w:eastAsia="宋体" w:hint="default"/>
                <w:sz w:val="21"/>
                <w:szCs w:val="21"/>
              </w:rPr>
            </w:pPr>
            <w:r>
              <w:rPr>
                <w:rFonts w:ascii="宋体" w:hAnsi="宋体" w:cs="宋体" w:eastAsia="宋体" w:hint="default"/>
                <w:sz w:val="21"/>
                <w:szCs w:val="21"/>
              </w:rPr>
              <w:t>精密空调 设备</w:t>
            </w:r>
          </w:p>
        </w:tc>
        <w:tc>
          <w:tcPr>
            <w:tcW w:w="10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2,105,300.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22,386,453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-5,307,808.</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176,752.14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-6,818,322.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-6,818,322.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51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6"/>
              <w:ind w:left="22" w:right="179"/>
              <w:jc w:val="both"/>
              <w:rPr>
                <w:rFonts w:ascii="宋体" w:hAnsi="宋体" w:cs="宋体" w:eastAsia="宋体" w:hint="default"/>
                <w:sz w:val="21"/>
                <w:szCs w:val="21"/>
              </w:rPr>
            </w:pPr>
            <w:r>
              <w:rPr>
                <w:rFonts w:ascii="宋体" w:hAnsi="宋体" w:cs="宋体" w:eastAsia="宋体" w:hint="default"/>
                <w:sz w:val="21"/>
                <w:szCs w:val="21"/>
              </w:rPr>
              <w:t>深圳市龙 控智能技 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70"/>
              <w:jc w:val="left"/>
              <w:rPr>
                <w:rFonts w:ascii="宋体" w:hAnsi="宋体" w:cs="宋体" w:eastAsia="宋体" w:hint="default"/>
                <w:sz w:val="21"/>
                <w:szCs w:val="21"/>
              </w:rPr>
            </w:pPr>
            <w:r>
              <w:rPr>
                <w:rFonts w:ascii="宋体" w:hAnsi="宋体" w:cs="宋体" w:eastAsia="宋体" w:hint="default"/>
                <w:sz w:val="21"/>
                <w:szCs w:val="21"/>
              </w:rPr>
              <w:t>机房环境 监控</w:t>
            </w:r>
          </w:p>
        </w:tc>
        <w:tc>
          <w:tcPr>
            <w:tcW w:w="10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5" w:right="0"/>
              <w:jc w:val="left"/>
              <w:rPr>
                <w:rFonts w:ascii="Times New Roman" w:hAnsi="Times New Roman" w:cs="Times New Roman" w:eastAsia="Times New Roman" w:hint="default"/>
                <w:sz w:val="21"/>
                <w:szCs w:val="21"/>
              </w:rPr>
            </w:pPr>
            <w:r>
              <w:rPr>
                <w:rFonts w:ascii="Times New Roman"/>
                <w:sz w:val="21"/>
              </w:rPr>
              <w:t>105,120,31</w:t>
            </w:r>
          </w:p>
          <w:p>
            <w:pPr>
              <w:pStyle w:val="TableParagraph"/>
              <w:spacing w:line="240" w:lineRule="auto" w:before="70"/>
              <w:ind w:left="645" w:right="0"/>
              <w:jc w:val="left"/>
              <w:rPr>
                <w:rFonts w:ascii="Times New Roman" w:hAnsi="Times New Roman" w:cs="Times New Roman" w:eastAsia="Times New Roman" w:hint="default"/>
                <w:sz w:val="21"/>
                <w:szCs w:val="21"/>
              </w:rPr>
            </w:pPr>
            <w:r>
              <w:rPr>
                <w:rFonts w:ascii="Times New Roman"/>
                <w:sz w:val="21"/>
              </w:rPr>
              <w:t>1.03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45,609,910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65,709,243</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1,762,159.</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2,396,365.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6"/>
              <w:ind w:left="22" w:right="179"/>
              <w:jc w:val="both"/>
              <w:rPr>
                <w:rFonts w:ascii="宋体" w:hAnsi="宋体" w:cs="宋体" w:eastAsia="宋体" w:hint="default"/>
                <w:sz w:val="21"/>
                <w:szCs w:val="21"/>
              </w:rPr>
            </w:pPr>
            <w:r>
              <w:rPr>
                <w:rFonts w:ascii="宋体" w:hAnsi="宋体" w:cs="宋体" w:eastAsia="宋体" w:hint="default"/>
                <w:sz w:val="21"/>
                <w:szCs w:val="21"/>
              </w:rPr>
              <w:t>上海虹港 数据信息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0"/>
              <w:jc w:val="left"/>
              <w:rPr>
                <w:rFonts w:ascii="宋体" w:hAnsi="宋体" w:cs="宋体" w:eastAsia="宋体" w:hint="default"/>
                <w:sz w:val="21"/>
                <w:szCs w:val="21"/>
              </w:rPr>
            </w:pPr>
            <w:r>
              <w:rPr>
                <w:rFonts w:ascii="宋体" w:hAnsi="宋体" w:cs="宋体" w:eastAsia="宋体" w:hint="default"/>
                <w:sz w:val="21"/>
                <w:szCs w:val="21"/>
              </w:rPr>
              <w:t>机房环境 监控</w:t>
            </w:r>
          </w:p>
        </w:tc>
        <w:tc>
          <w:tcPr>
            <w:tcW w:w="10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45,000,000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95,891,509</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49,820,900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8,106,171.</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-8,836,203.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-8,836,203.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49</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6"/>
              <w:ind w:left="22" w:right="179"/>
              <w:jc w:val="both"/>
              <w:rPr>
                <w:rFonts w:ascii="宋体" w:hAnsi="宋体" w:cs="宋体" w:eastAsia="宋体" w:hint="default"/>
                <w:sz w:val="21"/>
                <w:szCs w:val="21"/>
              </w:rPr>
            </w:pPr>
            <w:r>
              <w:rPr>
                <w:rFonts w:ascii="宋体" w:hAnsi="宋体" w:cs="宋体" w:eastAsia="宋体" w:hint="default"/>
                <w:sz w:val="21"/>
                <w:szCs w:val="21"/>
              </w:rPr>
              <w:t>西安华西 信息智能 工程有限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70"/>
              <w:jc w:val="left"/>
              <w:rPr>
                <w:rFonts w:ascii="宋体" w:hAnsi="宋体" w:cs="宋体" w:eastAsia="宋体" w:hint="default"/>
                <w:sz w:val="21"/>
                <w:szCs w:val="21"/>
              </w:rPr>
            </w:pPr>
            <w:r>
              <w:rPr>
                <w:rFonts w:ascii="宋体" w:hAnsi="宋体" w:cs="宋体" w:eastAsia="宋体" w:hint="default"/>
                <w:sz w:val="21"/>
                <w:szCs w:val="21"/>
              </w:rPr>
              <w:t>精密环境 工程</w:t>
            </w:r>
          </w:p>
        </w:tc>
        <w:tc>
          <w:tcPr>
            <w:tcW w:w="10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30,100,000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8" w:right="0"/>
              <w:jc w:val="left"/>
              <w:rPr>
                <w:rFonts w:ascii="Times New Roman" w:hAnsi="Times New Roman" w:cs="Times New Roman" w:eastAsia="Times New Roman" w:hint="default"/>
                <w:sz w:val="21"/>
                <w:szCs w:val="21"/>
              </w:rPr>
            </w:pPr>
            <w:r>
              <w:rPr>
                <w:rFonts w:ascii="Times New Roman"/>
                <w:sz w:val="21"/>
              </w:rPr>
              <w:t>237,553,87</w:t>
            </w:r>
          </w:p>
          <w:p>
            <w:pPr>
              <w:pStyle w:val="TableParagraph"/>
              <w:spacing w:line="240" w:lineRule="auto" w:before="70"/>
              <w:ind w:left="645" w:right="0"/>
              <w:jc w:val="left"/>
              <w:rPr>
                <w:rFonts w:ascii="Times New Roman" w:hAnsi="Times New Roman" w:cs="Times New Roman" w:eastAsia="Times New Roman" w:hint="default"/>
                <w:sz w:val="21"/>
                <w:szCs w:val="21"/>
              </w:rPr>
            </w:pPr>
            <w:r>
              <w:rPr>
                <w:rFonts w:ascii="Times New Roman"/>
                <w:sz w:val="21"/>
              </w:rPr>
              <w:t>6.68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81,761,655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176,503,50</w:t>
            </w:r>
          </w:p>
          <w:p>
            <w:pPr>
              <w:pStyle w:val="TableParagraph"/>
              <w:spacing w:line="240" w:lineRule="auto" w:before="70"/>
              <w:ind w:left="644" w:right="0"/>
              <w:jc w:val="left"/>
              <w:rPr>
                <w:rFonts w:ascii="Times New Roman" w:hAnsi="Times New Roman" w:cs="Times New Roman" w:eastAsia="Times New Roman" w:hint="default"/>
                <w:sz w:val="21"/>
                <w:szCs w:val="21"/>
              </w:rPr>
            </w:pPr>
            <w:r>
              <w:rPr>
                <w:rFonts w:ascii="Times New Roman"/>
                <w:sz w:val="21"/>
              </w:rPr>
              <w:t>2.05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4,019,090.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3,297,380.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96</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7"/>
              <w:ind w:left="22" w:right="179"/>
              <w:jc w:val="both"/>
              <w:rPr>
                <w:rFonts w:ascii="宋体" w:hAnsi="宋体" w:cs="宋体" w:eastAsia="宋体" w:hint="default"/>
                <w:sz w:val="21"/>
                <w:szCs w:val="21"/>
              </w:rPr>
            </w:pPr>
            <w:r>
              <w:rPr>
                <w:rFonts w:ascii="宋体" w:hAnsi="宋体" w:cs="宋体" w:eastAsia="宋体" w:hint="default"/>
                <w:sz w:val="21"/>
                <w:szCs w:val="21"/>
              </w:rPr>
              <w:t>江苏亿金 环保科技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环保设备</w:t>
            </w:r>
          </w:p>
        </w:tc>
        <w:tc>
          <w:tcPr>
            <w:tcW w:w="10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100,000,00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8" w:right="0"/>
              <w:jc w:val="left"/>
              <w:rPr>
                <w:rFonts w:ascii="Times New Roman" w:hAnsi="Times New Roman" w:cs="Times New Roman" w:eastAsia="Times New Roman" w:hint="default"/>
                <w:sz w:val="21"/>
                <w:szCs w:val="21"/>
              </w:rPr>
            </w:pPr>
            <w:r>
              <w:rPr>
                <w:rFonts w:ascii="Times New Roman"/>
                <w:sz w:val="21"/>
              </w:rPr>
              <w:t>653,090,40</w:t>
            </w:r>
          </w:p>
          <w:p>
            <w:pPr>
              <w:pStyle w:val="TableParagraph"/>
              <w:spacing w:line="240" w:lineRule="auto" w:before="71"/>
              <w:ind w:left="645" w:right="0"/>
              <w:jc w:val="left"/>
              <w:rPr>
                <w:rFonts w:ascii="Times New Roman" w:hAnsi="Times New Roman" w:cs="Times New Roman" w:eastAsia="Times New Roman" w:hint="default"/>
                <w:sz w:val="21"/>
                <w:szCs w:val="21"/>
              </w:rPr>
            </w:pPr>
            <w:r>
              <w:rPr>
                <w:rFonts w:ascii="Times New Roman"/>
                <w:sz w:val="21"/>
              </w:rPr>
              <w:t>1.12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8" w:right="0"/>
              <w:jc w:val="left"/>
              <w:rPr>
                <w:rFonts w:ascii="Times New Roman" w:hAnsi="Times New Roman" w:cs="Times New Roman" w:eastAsia="Times New Roman" w:hint="default"/>
                <w:sz w:val="21"/>
                <w:szCs w:val="21"/>
              </w:rPr>
            </w:pPr>
            <w:r>
              <w:rPr>
                <w:rFonts w:ascii="Times New Roman"/>
                <w:sz w:val="21"/>
              </w:rPr>
              <w:t>267,652,24</w:t>
            </w:r>
          </w:p>
          <w:p>
            <w:pPr>
              <w:pStyle w:val="TableParagraph"/>
              <w:spacing w:line="240" w:lineRule="auto" w:before="71"/>
              <w:ind w:left="645" w:right="0"/>
              <w:jc w:val="left"/>
              <w:rPr>
                <w:rFonts w:ascii="Times New Roman" w:hAnsi="Times New Roman" w:cs="Times New Roman" w:eastAsia="Times New Roman" w:hint="default"/>
                <w:sz w:val="21"/>
                <w:szCs w:val="21"/>
              </w:rPr>
            </w:pPr>
            <w:r>
              <w:rPr>
                <w:rFonts w:ascii="Times New Roman"/>
                <w:sz w:val="21"/>
              </w:rPr>
              <w:t>1.53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369,509,20</w:t>
            </w:r>
          </w:p>
          <w:p>
            <w:pPr>
              <w:pStyle w:val="TableParagraph"/>
              <w:spacing w:line="240" w:lineRule="auto" w:before="71"/>
              <w:ind w:left="644" w:right="0"/>
              <w:jc w:val="left"/>
              <w:rPr>
                <w:rFonts w:ascii="Times New Roman" w:hAnsi="Times New Roman" w:cs="Times New Roman" w:eastAsia="Times New Roman" w:hint="default"/>
                <w:sz w:val="21"/>
                <w:szCs w:val="21"/>
              </w:rPr>
            </w:pPr>
            <w:r>
              <w:rPr>
                <w:rFonts w:ascii="Times New Roman"/>
                <w:sz w:val="21"/>
              </w:rPr>
              <w:t>1.93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40,565,996</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35,601,694</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.72</w:t>
            </w:r>
          </w:p>
        </w:tc>
      </w:tr>
    </w:tbl>
    <w:p>
      <w:pPr>
        <w:spacing w:line="240" w:lineRule="auto" w:before="0"/>
        <w:rPr>
          <w:rFonts w:ascii="宋体" w:hAnsi="宋体" w:cs="宋体" w:eastAsia="宋体" w:hint="default"/>
          <w:sz w:val="20"/>
          <w:szCs w:val="20"/>
        </w:rPr>
      </w:pPr>
    </w:p>
    <w:p>
      <w:pPr>
        <w:pStyle w:val="BodyText"/>
        <w:spacing w:line="240" w:lineRule="auto" w:before="170"/>
        <w:ind w:left="1440" w:right="1033"/>
        <w:jc w:val="left"/>
      </w:pPr>
      <w:r>
        <w:rPr/>
        <w:t>报告期内取得和处置子公司的情况</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spacing w:line="388" w:lineRule="auto" w:before="35"/>
        <w:ind w:left="1440" w:right="6470"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2</w:t>
      </w:r>
      <w:r>
        <w:rPr>
          <w:rFonts w:ascii="宋体" w:hAnsi="宋体" w:cs="宋体" w:eastAsia="宋体" w:hint="default"/>
          <w:b/>
          <w:bCs/>
          <w:sz w:val="24"/>
          <w:szCs w:val="24"/>
        </w:rPr>
        <w:t>、主要控股参股公司情况补充说明：</w:t>
      </w:r>
      <w:r>
        <w:rPr>
          <w:rFonts w:ascii="宋体" w:hAnsi="宋体" w:cs="宋体" w:eastAsia="宋体" w:hint="default"/>
          <w:sz w:val="24"/>
          <w:szCs w:val="24"/>
        </w:rPr>
      </w:r>
    </w:p>
    <w:p>
      <w:pPr>
        <w:pStyle w:val="BodyText"/>
        <w:spacing w:line="240" w:lineRule="auto" w:before="46"/>
        <w:ind w:left="1800" w:right="1033"/>
        <w:jc w:val="left"/>
      </w:pPr>
      <w:r>
        <w:rPr/>
        <w:t>（</w:t>
      </w:r>
      <w:r>
        <w:rPr>
          <w:rFonts w:ascii="Times New Roman" w:hAnsi="Times New Roman" w:cs="Times New Roman" w:eastAsia="Times New Roman" w:hint="default"/>
        </w:rPr>
        <w:t>1</w:t>
      </w:r>
      <w:r>
        <w:rPr/>
        <w:t>）四川桑瑞思环境技术工程有限公司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35"/>
        <w:ind w:left="0" w:right="162" w:firstLine="0"/>
        <w:jc w:val="right"/>
        <w:rPr>
          <w:rFonts w:ascii="宋体" w:hAnsi="宋体" w:cs="宋体" w:eastAsia="宋体" w:hint="default"/>
          <w:sz w:val="21"/>
          <w:szCs w:val="21"/>
        </w:rPr>
      </w:pPr>
      <w:r>
        <w:rPr/>
        <w:pict>
          <v:shape style="position:absolute;margin-left:71.639999pt;margin-top:-158.086304pt;width:511.5pt;height:235.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8364"/>
                  </w:tblGrid>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2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1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19" w:right="0"/>
                          <w:jc w:val="center"/>
                          <w:rPr>
                            <w:rFonts w:ascii="Times New Roman" w:hAnsi="Times New Roman" w:cs="Times New Roman" w:eastAsia="Times New Roman" w:hint="default"/>
                            <w:sz w:val="21"/>
                            <w:szCs w:val="21"/>
                          </w:rPr>
                        </w:pPr>
                        <w:r>
                          <w:rPr>
                            <w:rFonts w:ascii="Times New Roman"/>
                            <w:sz w:val="21"/>
                          </w:rPr>
                          <w:t>510000000004586</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7" w:right="0"/>
                          <w:jc w:val="center"/>
                          <w:rPr>
                            <w:rFonts w:ascii="宋体" w:hAnsi="宋体" w:cs="宋体" w:eastAsia="宋体" w:hint="default"/>
                            <w:sz w:val="21"/>
                            <w:szCs w:val="21"/>
                          </w:rPr>
                        </w:pPr>
                        <w:r>
                          <w:rPr>
                            <w:rFonts w:ascii="宋体" w:hAnsi="宋体" w:cs="宋体" w:eastAsia="宋体" w:hint="default"/>
                            <w:sz w:val="21"/>
                            <w:szCs w:val="21"/>
                          </w:rPr>
                          <w:t>成都市高新区科园南二路二号</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8" w:right="0"/>
                          <w:jc w:val="center"/>
                          <w:rPr>
                            <w:rFonts w:ascii="宋体" w:hAnsi="宋体" w:cs="宋体" w:eastAsia="宋体" w:hint="default"/>
                            <w:sz w:val="21"/>
                            <w:szCs w:val="21"/>
                          </w:rPr>
                        </w:pPr>
                        <w:r>
                          <w:rPr>
                            <w:rFonts w:ascii="宋体" w:hAnsi="宋体" w:cs="宋体" w:eastAsia="宋体" w:hint="default"/>
                            <w:sz w:val="21"/>
                            <w:szCs w:val="21"/>
                          </w:rPr>
                          <w:t>张菀</w:t>
                        </w:r>
                      </w:p>
                    </w:tc>
                  </w:tr>
                  <w:tr>
                    <w:trPr>
                      <w:trHeight w:val="42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1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6,000</w:t>
                        </w:r>
                        <w:r>
                          <w:rPr>
                            <w:rFonts w:ascii="宋体" w:hAnsi="宋体" w:cs="宋体" w:eastAsia="宋体" w:hint="default"/>
                            <w:sz w:val="21"/>
                            <w:szCs w:val="21"/>
                          </w:rPr>
                          <w:t>（万人民币）</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7" w:right="0"/>
                          <w:jc w:val="center"/>
                          <w:rPr>
                            <w:rFonts w:ascii="宋体" w:hAnsi="宋体" w:cs="宋体" w:eastAsia="宋体" w:hint="default"/>
                            <w:sz w:val="21"/>
                            <w:szCs w:val="21"/>
                          </w:rPr>
                        </w:pPr>
                        <w:r>
                          <w:rPr>
                            <w:rFonts w:ascii="宋体" w:hAnsi="宋体" w:cs="宋体" w:eastAsia="宋体" w:hint="default"/>
                            <w:sz w:val="21"/>
                            <w:szCs w:val="21"/>
                          </w:rPr>
                          <w:t>有限责任公司（自然人投资或控股的法人独资）</w:t>
                        </w:r>
                      </w:p>
                    </w:tc>
                  </w:tr>
                  <w:tr>
                    <w:trPr>
                      <w:trHeight w:val="1283"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许可经营项目：销售医疗器械二、三类。（以上项目及期限以许可证为准）。一般经营项目</w:t>
                        </w:r>
                      </w:p>
                      <w:p>
                        <w:pPr>
                          <w:pStyle w:val="TableParagraph"/>
                          <w:spacing w:line="273" w:lineRule="auto" w:before="37"/>
                          <w:ind w:left="2" w:right="3"/>
                          <w:jc w:val="left"/>
                          <w:rPr>
                            <w:rFonts w:ascii="宋体" w:hAnsi="宋体" w:cs="宋体" w:eastAsia="宋体" w:hint="default"/>
                            <w:sz w:val="21"/>
                            <w:szCs w:val="21"/>
                          </w:rPr>
                        </w:pPr>
                        <w:r>
                          <w:rPr>
                            <w:rFonts w:ascii="宋体" w:hAnsi="宋体" w:cs="宋体" w:eastAsia="宋体" w:hint="default"/>
                            <w:spacing w:val="-2"/>
                            <w:sz w:val="21"/>
                            <w:szCs w:val="21"/>
                          </w:rPr>
                          <w:t>（以下范围不含前置许可项目，后置许可项目凭许可证或审批文件经营）：环保工程、机电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sz w:val="21"/>
                            <w:szCs w:val="21"/>
                          </w:rPr>
                          <w:t>设备安装工程、建筑智能化工程、建筑装修装饰工程、电子工程、消防设施工程；工程设计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商品批发与零售；商务服务业；科技中介服务；节能服务。</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18" w:right="0"/>
                          <w:jc w:val="center"/>
                          <w:rPr>
                            <w:rFonts w:ascii="Times New Roman" w:hAnsi="Times New Roman" w:cs="Times New Roman" w:eastAsia="Times New Roman" w:hint="default"/>
                            <w:sz w:val="21"/>
                            <w:szCs w:val="21"/>
                          </w:rPr>
                        </w:pPr>
                        <w:r>
                          <w:rPr>
                            <w:rFonts w:ascii="Times New Roman"/>
                            <w:sz w:val="21"/>
                          </w:rPr>
                          <w:t>100%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18" w:right="0"/>
                          <w:jc w:val="center"/>
                          <w:rPr>
                            <w:rFonts w:ascii="Times New Roman" w:hAnsi="Times New Roman" w:cs="Times New Roman" w:eastAsia="Times New Roman" w:hint="default"/>
                            <w:sz w:val="21"/>
                            <w:szCs w:val="21"/>
                          </w:rPr>
                        </w:pPr>
                        <w:r>
                          <w:rPr>
                            <w:rFonts w:ascii="Times New Roman"/>
                            <w:sz w:val="21"/>
                          </w:rPr>
                          <w:t>100%</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338" w:lineRule="auto" w:before="26"/>
        <w:ind w:left="1440" w:right="1033" w:firstLine="48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日，桑瑞思总资产</w:t>
      </w:r>
      <w:r>
        <w:rPr>
          <w:rFonts w:ascii="Times New Roman" w:hAnsi="Times New Roman" w:cs="Times New Roman" w:eastAsia="Times New Roman" w:hint="default"/>
        </w:rPr>
        <w:t>22,327.08</w:t>
      </w:r>
      <w:r>
        <w:rPr/>
        <w:t>万元，净资产</w:t>
      </w:r>
      <w:r>
        <w:rPr>
          <w:rFonts w:ascii="Times New Roman" w:hAnsi="Times New Roman" w:cs="Times New Roman" w:eastAsia="Times New Roman" w:hint="default"/>
        </w:rPr>
        <w:t>6,191.25</w:t>
      </w:r>
      <w:r>
        <w:rPr/>
        <w:t>万元。报告期 内，桑瑞思实现营业收入</w:t>
      </w:r>
      <w:r>
        <w:rPr>
          <w:rFonts w:ascii="Times New Roman" w:hAnsi="Times New Roman" w:cs="Times New Roman" w:eastAsia="Times New Roman" w:hint="default"/>
        </w:rPr>
        <w:t>6,721.07</w:t>
      </w:r>
      <w:r>
        <w:rPr/>
        <w:t>万元，净利润</w:t>
      </w:r>
      <w:r>
        <w:rPr>
          <w:rFonts w:ascii="Times New Roman" w:hAnsi="Times New Roman" w:cs="Times New Roman" w:eastAsia="Times New Roman" w:hint="default"/>
        </w:rPr>
        <w:t>8.50</w:t>
      </w:r>
      <w:r>
        <w:rPr/>
        <w:t>万元。</w:t>
      </w:r>
    </w:p>
    <w:p>
      <w:pPr>
        <w:pStyle w:val="BodyText"/>
        <w:spacing w:line="240" w:lineRule="auto" w:before="68"/>
        <w:ind w:left="1800" w:right="1033"/>
        <w:jc w:val="left"/>
      </w:pPr>
      <w:r>
        <w:rPr/>
        <w:t>（</w:t>
      </w:r>
      <w:r>
        <w:rPr>
          <w:rFonts w:ascii="Times New Roman" w:hAnsi="Times New Roman" w:cs="Times New Roman" w:eastAsia="Times New Roman" w:hint="default"/>
        </w:rPr>
        <w:t>2</w:t>
      </w:r>
      <w:r>
        <w:rPr/>
        <w:t>）四川依米康软件有限责任公司（前身为</w:t>
      </w:r>
      <w:r>
        <w:rPr>
          <w:rFonts w:ascii="Times New Roman" w:hAnsi="Times New Roman" w:cs="Times New Roman" w:eastAsia="Times New Roman" w:hint="default"/>
        </w:rPr>
        <w:t>“</w:t>
      </w:r>
      <w:r>
        <w:rPr/>
        <w:t>四川多富冷暖设备有限公司</w:t>
      </w:r>
      <w:r>
        <w:rPr>
          <w:rFonts w:ascii="Times New Roman" w:hAnsi="Times New Roman" w:cs="Times New Roman" w:eastAsia="Times New Roman" w:hint="default"/>
        </w:rPr>
        <w:t>”</w:t>
      </w:r>
      <w:r>
        <w:rPr/>
        <w:t>）</w:t>
      </w:r>
    </w:p>
    <w:tbl>
      <w:tblPr>
        <w:tblW w:w="0" w:type="auto"/>
        <w:jc w:val="left"/>
        <w:tblInd w:w="1432" w:type="dxa"/>
        <w:tblLayout w:type="fixed"/>
        <w:tblCellMar>
          <w:top w:w="0" w:type="dxa"/>
          <w:left w:w="0" w:type="dxa"/>
          <w:bottom w:w="0" w:type="dxa"/>
          <w:right w:w="0" w:type="dxa"/>
        </w:tblCellMar>
        <w:tblLook w:val="01E0"/>
      </w:tblPr>
      <w:tblGrid>
        <w:gridCol w:w="2567"/>
        <w:gridCol w:w="7640"/>
      </w:tblGrid>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7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41" w:right="0"/>
              <w:jc w:val="center"/>
              <w:rPr>
                <w:rFonts w:ascii="Times New Roman" w:hAnsi="Times New Roman" w:cs="Times New Roman" w:eastAsia="Times New Roman" w:hint="default"/>
                <w:sz w:val="21"/>
                <w:szCs w:val="21"/>
              </w:rPr>
            </w:pPr>
            <w:r>
              <w:rPr>
                <w:rFonts w:ascii="Times New Roman"/>
                <w:sz w:val="21"/>
              </w:rPr>
              <w:t>91510100679681585H</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64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成都高新区科园南二路</w:t>
            </w:r>
            <w:r>
              <w:rPr>
                <w:rFonts w:ascii="Times New Roman" w:hAnsi="Times New Roman" w:cs="Times New Roman" w:eastAsia="Times New Roman" w:hint="default"/>
                <w:sz w:val="21"/>
                <w:szCs w:val="21"/>
              </w:rPr>
              <w:t>2</w:t>
            </w:r>
            <w:r>
              <w:rPr>
                <w:rFonts w:ascii="宋体" w:hAnsi="宋体" w:cs="宋体" w:eastAsia="宋体" w:hint="default"/>
                <w:sz w:val="21"/>
                <w:szCs w:val="21"/>
              </w:rPr>
              <w:t>号</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0" w:right="0"/>
              <w:jc w:val="center"/>
              <w:rPr>
                <w:rFonts w:ascii="宋体" w:hAnsi="宋体" w:cs="宋体" w:eastAsia="宋体" w:hint="default"/>
                <w:sz w:val="21"/>
                <w:szCs w:val="21"/>
              </w:rPr>
            </w:pPr>
            <w:r>
              <w:rPr>
                <w:rFonts w:ascii="宋体" w:hAnsi="宋体" w:cs="宋体" w:eastAsia="宋体" w:hint="default"/>
                <w:sz w:val="21"/>
                <w:szCs w:val="21"/>
              </w:rPr>
              <w:t>黄建军</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3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210.53</w:t>
            </w:r>
            <w:r>
              <w:rPr>
                <w:rFonts w:ascii="宋体" w:hAnsi="宋体" w:cs="宋体" w:eastAsia="宋体" w:hint="default"/>
                <w:sz w:val="21"/>
                <w:szCs w:val="21"/>
              </w:rPr>
              <w:t>（万人民币）</w:t>
            </w:r>
          </w:p>
        </w:tc>
      </w:tr>
      <w:tr>
        <w:trPr>
          <w:trHeight w:val="426"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3"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7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27" w:right="0"/>
              <w:jc w:val="left"/>
              <w:rPr>
                <w:rFonts w:ascii="宋体" w:hAnsi="宋体" w:cs="宋体" w:eastAsia="宋体" w:hint="default"/>
                <w:sz w:val="21"/>
                <w:szCs w:val="21"/>
              </w:rPr>
            </w:pPr>
            <w:r>
              <w:rPr>
                <w:rFonts w:ascii="宋体" w:hAnsi="宋体" w:cs="宋体" w:eastAsia="宋体" w:hint="default"/>
                <w:sz w:val="21"/>
                <w:szCs w:val="21"/>
              </w:rPr>
              <w:t>有限责任公司（自然人投资或控股的法人独资）</w:t>
            </w:r>
          </w:p>
        </w:tc>
      </w:tr>
      <w:tr>
        <w:trPr>
          <w:trHeight w:val="1908"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76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60"/>
              <w:jc w:val="both"/>
              <w:rPr>
                <w:rFonts w:ascii="宋体" w:hAnsi="宋体" w:cs="宋体" w:eastAsia="宋体" w:hint="default"/>
                <w:sz w:val="21"/>
                <w:szCs w:val="21"/>
              </w:rPr>
            </w:pPr>
            <w:r>
              <w:rPr>
                <w:rFonts w:ascii="宋体" w:hAnsi="宋体" w:cs="宋体" w:eastAsia="宋体" w:hint="default"/>
                <w:sz w:val="21"/>
                <w:szCs w:val="21"/>
              </w:rPr>
              <w:t>计算机软硬件、电子产品的技术开发及销售；计算机系统集成并提供技术咨询、技 术服务、技术转让；空调、制冷设备、试验箱和气候环境试验设备的生产、销售、 安装与维修；生产、销售机电产品（不含九座以下乘用车辆）；货物进出口、技术 进出口；节能技术的研发、应用、推广；节能工程设计、施工（凭资质证书经营） 并提供技术咨询、技术服务；合同能源管理（依法须经批准的项目，经相关部门批 准后方可开展经营活动）</w:t>
            </w:r>
          </w:p>
        </w:tc>
      </w:tr>
      <w:tr>
        <w:trPr>
          <w:trHeight w:val="426"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7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41" w:right="0"/>
              <w:jc w:val="center"/>
              <w:rPr>
                <w:rFonts w:ascii="Times New Roman" w:hAnsi="Times New Roman" w:cs="Times New Roman" w:eastAsia="Times New Roman" w:hint="default"/>
                <w:sz w:val="21"/>
                <w:szCs w:val="21"/>
              </w:rPr>
            </w:pPr>
            <w:r>
              <w:rPr>
                <w:rFonts w:ascii="Times New Roman"/>
                <w:sz w:val="21"/>
              </w:rPr>
              <w:t>100%</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7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41" w:right="0"/>
              <w:jc w:val="center"/>
              <w:rPr>
                <w:rFonts w:ascii="Times New Roman" w:hAnsi="Times New Roman" w:cs="Times New Roman" w:eastAsia="Times New Roman" w:hint="default"/>
                <w:sz w:val="21"/>
                <w:szCs w:val="21"/>
              </w:rPr>
            </w:pPr>
            <w:r>
              <w:rPr>
                <w:rFonts w:ascii="Times New Roman"/>
                <w:sz w:val="21"/>
              </w:rPr>
              <w:t>100%</w:t>
            </w:r>
          </w:p>
        </w:tc>
      </w:tr>
      <w:tr>
        <w:trPr>
          <w:trHeight w:val="780"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43"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7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）依米康于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日出资</w:t>
            </w:r>
            <w:r>
              <w:rPr>
                <w:rFonts w:ascii="Times New Roman" w:hAnsi="Times New Roman" w:cs="Times New Roman" w:eastAsia="Times New Roman" w:hint="default"/>
                <w:sz w:val="21"/>
                <w:szCs w:val="21"/>
              </w:rPr>
              <w:t>151</w:t>
            </w:r>
            <w:r>
              <w:rPr>
                <w:rFonts w:ascii="宋体" w:hAnsi="宋体" w:cs="宋体" w:eastAsia="宋体" w:hint="default"/>
                <w:sz w:val="21"/>
                <w:szCs w:val="21"/>
              </w:rPr>
              <w:t>万元收购四川多富</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p>
            <w:pPr>
              <w:pStyle w:val="TableParagraph"/>
              <w:spacing w:line="240" w:lineRule="auto" w:before="62"/>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月四川多富完成名称、经营范围等工商变更事项。</w:t>
            </w:r>
          </w:p>
        </w:tc>
      </w:tr>
    </w:tbl>
    <w:p>
      <w:pPr>
        <w:pStyle w:val="BodyText"/>
        <w:spacing w:line="240" w:lineRule="auto" w:before="59"/>
        <w:ind w:left="1920" w:right="1033"/>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日，依米康软件总资产</w:t>
      </w:r>
      <w:r>
        <w:rPr>
          <w:rFonts w:ascii="Times New Roman" w:hAnsi="Times New Roman" w:cs="Times New Roman" w:eastAsia="Times New Roman" w:hint="default"/>
        </w:rPr>
        <w:t>2,238.65</w:t>
      </w:r>
      <w:r>
        <w:rPr/>
        <w:t>万元，净资产</w:t>
      </w:r>
      <w:r>
        <w:rPr>
          <w:rFonts w:ascii="Times New Roman" w:hAnsi="Times New Roman" w:cs="Times New Roman" w:eastAsia="Times New Roman" w:hint="default"/>
        </w:rPr>
        <w:t>-530.78</w:t>
      </w:r>
      <w:r>
        <w:rPr/>
        <w:t>万元。报告</w:t>
      </w:r>
    </w:p>
    <w:p>
      <w:pPr>
        <w:pStyle w:val="BodyText"/>
        <w:spacing w:line="240" w:lineRule="auto" w:before="135"/>
        <w:ind w:left="1440" w:right="1033"/>
        <w:jc w:val="left"/>
      </w:pPr>
      <w:r>
        <w:rPr/>
        <w:t>期内，依米康软件实现营业收入</w:t>
      </w:r>
      <w:r>
        <w:rPr>
          <w:rFonts w:ascii="Times New Roman" w:hAnsi="Times New Roman" w:cs="Times New Roman" w:eastAsia="Times New Roman" w:hint="default"/>
        </w:rPr>
        <w:t>17.68</w:t>
      </w:r>
      <w:r>
        <w:rPr/>
        <w:t>万元，净利润</w:t>
      </w:r>
      <w:r>
        <w:rPr>
          <w:rFonts w:ascii="Times New Roman" w:hAnsi="Times New Roman" w:cs="Times New Roman" w:eastAsia="Times New Roman" w:hint="default"/>
        </w:rPr>
        <w:t>-681.83</w:t>
      </w:r>
      <w:r>
        <w:rPr/>
        <w:t>万元。</w:t>
      </w:r>
    </w:p>
    <w:p>
      <w:pPr>
        <w:spacing w:after="0" w:line="240" w:lineRule="auto"/>
        <w:jc w:val="left"/>
        <w:sectPr>
          <w:pgSz w:w="11910" w:h="16840"/>
          <w:pgMar w:header="747" w:footer="979" w:top="1060" w:bottom="1160" w:left="0" w:right="0"/>
        </w:sectPr>
      </w:pPr>
    </w:p>
    <w:p>
      <w:pPr>
        <w:pStyle w:val="BodyText"/>
        <w:spacing w:line="240" w:lineRule="auto" w:before="13"/>
        <w:ind w:left="1920" w:right="1033"/>
        <w:jc w:val="left"/>
      </w:pPr>
      <w:r>
        <w:rPr/>
        <w:pict>
          <v:group style="position:absolute;margin-left:70.5pt;margin-top:2.245630pt;width:454.4pt;height:.1pt;mso-position-horizontal-relative:page;mso-position-vertical-relative:paragraph;z-index:-1061416" coordorigin="1410,45" coordsize="9088,2">
            <v:shape style="position:absolute;left:1410;top:45;width:9088;height:2" coordorigin="1410,45" coordsize="9088,0" path="m1410,45l10498,45e" filled="false" stroked="true" strokeweight=".72pt" strokecolor="#000000">
              <v:path arrowok="t"/>
            </v:shape>
            <w10:wrap type="none"/>
          </v:group>
        </w:pict>
      </w:r>
      <w:r>
        <w:rPr/>
        <w:t>（</w:t>
      </w:r>
      <w:r>
        <w:rPr>
          <w:rFonts w:ascii="Times New Roman" w:hAnsi="Times New Roman" w:cs="Times New Roman" w:eastAsia="Times New Roman" w:hint="default"/>
        </w:rPr>
        <w:t>3</w:t>
      </w:r>
      <w:r>
        <w:rPr/>
        <w:t>）深圳市龙控智能技术有限公司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35"/>
        <w:ind w:left="0" w:right="188" w:firstLine="0"/>
        <w:jc w:val="right"/>
        <w:rPr>
          <w:rFonts w:ascii="宋体" w:hAnsi="宋体" w:cs="宋体" w:eastAsia="宋体" w:hint="default"/>
          <w:sz w:val="21"/>
          <w:szCs w:val="21"/>
        </w:rPr>
      </w:pPr>
      <w:r>
        <w:rPr/>
        <w:pict>
          <v:shape style="position:absolute;margin-left:71.639999pt;margin-top:-311.68631pt;width:511.5pt;height:362.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6"/>
                    <w:gridCol w:w="7782"/>
                  </w:tblGrid>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7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20" w:right="0"/>
                          <w:jc w:val="center"/>
                          <w:rPr>
                            <w:rFonts w:ascii="Times New Roman" w:hAnsi="Times New Roman" w:cs="Times New Roman" w:eastAsia="Times New Roman" w:hint="default"/>
                            <w:sz w:val="21"/>
                            <w:szCs w:val="21"/>
                          </w:rPr>
                        </w:pPr>
                        <w:r>
                          <w:rPr>
                            <w:rFonts w:ascii="Times New Roman"/>
                            <w:sz w:val="21"/>
                          </w:rPr>
                          <w:t>440301103215815</w:t>
                        </w:r>
                      </w:p>
                    </w:tc>
                  </w:tr>
                  <w:tr>
                    <w:trPr>
                      <w:trHeight w:val="426"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18" w:right="0"/>
                          <w:jc w:val="center"/>
                          <w:rPr>
                            <w:rFonts w:ascii="宋体" w:hAnsi="宋体" w:cs="宋体" w:eastAsia="宋体" w:hint="default"/>
                            <w:sz w:val="21"/>
                            <w:szCs w:val="21"/>
                          </w:rPr>
                        </w:pPr>
                        <w:r>
                          <w:rPr>
                            <w:rFonts w:ascii="宋体" w:hAnsi="宋体" w:cs="宋体" w:eastAsia="宋体" w:hint="default"/>
                            <w:sz w:val="21"/>
                            <w:szCs w:val="21"/>
                          </w:rPr>
                          <w:t>深圳市福田区景田商报路奥林匹克大厦</w:t>
                        </w:r>
                        <w:r>
                          <w:rPr>
                            <w:rFonts w:ascii="Times New Roman" w:hAnsi="Times New Roman" w:cs="Times New Roman" w:eastAsia="Times New Roman" w:hint="default"/>
                            <w:sz w:val="21"/>
                            <w:szCs w:val="21"/>
                          </w:rPr>
                          <w:t>26</w:t>
                        </w:r>
                        <w:r>
                          <w:rPr>
                            <w:rFonts w:ascii="宋体" w:hAnsi="宋体" w:cs="宋体" w:eastAsia="宋体" w:hint="default"/>
                            <w:sz w:val="21"/>
                            <w:szCs w:val="21"/>
                          </w:rPr>
                          <w:t>楼</w:t>
                        </w:r>
                        <w:r>
                          <w:rPr>
                            <w:rFonts w:ascii="Times New Roman" w:hAnsi="Times New Roman" w:cs="Times New Roman" w:eastAsia="Times New Roman" w:hint="default"/>
                            <w:sz w:val="21"/>
                            <w:szCs w:val="21"/>
                          </w:rPr>
                          <w:t>B.C.D</w:t>
                        </w:r>
                        <w:r>
                          <w:rPr>
                            <w:rFonts w:ascii="宋体" w:hAnsi="宋体" w:cs="宋体" w:eastAsia="宋体" w:hint="default"/>
                            <w:sz w:val="21"/>
                            <w:szCs w:val="21"/>
                          </w:rPr>
                          <w:t>号</w:t>
                        </w:r>
                      </w:p>
                    </w:tc>
                  </w:tr>
                  <w:tr>
                    <w:trPr>
                      <w:trHeight w:val="428"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18" w:right="0"/>
                          <w:jc w:val="center"/>
                          <w:rPr>
                            <w:rFonts w:ascii="宋体" w:hAnsi="宋体" w:cs="宋体" w:eastAsia="宋体" w:hint="default"/>
                            <w:sz w:val="21"/>
                            <w:szCs w:val="21"/>
                          </w:rPr>
                        </w:pPr>
                        <w:r>
                          <w:rPr>
                            <w:rFonts w:ascii="宋体" w:hAnsi="宋体" w:cs="宋体" w:eastAsia="宋体" w:hint="default"/>
                            <w:sz w:val="21"/>
                            <w:szCs w:val="21"/>
                          </w:rPr>
                          <w:t>王楚标</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宋体" w:hAnsi="宋体" w:cs="宋体" w:eastAsia="宋体" w:hint="default"/>
                            <w:sz w:val="21"/>
                            <w:szCs w:val="21"/>
                          </w:rPr>
                          <w:t>（万人民币）</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7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9"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1595"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77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both"/>
                          <w:rPr>
                            <w:rFonts w:ascii="宋体" w:hAnsi="宋体" w:cs="宋体" w:eastAsia="宋体" w:hint="default"/>
                            <w:sz w:val="21"/>
                            <w:szCs w:val="21"/>
                          </w:rPr>
                        </w:pPr>
                        <w:r>
                          <w:rPr>
                            <w:rFonts w:ascii="宋体" w:hAnsi="宋体" w:cs="宋体" w:eastAsia="宋体" w:hint="default"/>
                            <w:sz w:val="21"/>
                            <w:szCs w:val="21"/>
                          </w:rPr>
                          <w:t>计算机软硬件、电子产品、安防产品技术开发、销售及上门维修；计算机系统集成及 上门安装（以上不含限制项目和专营、专控、专卖商品）；精密环境基础监控设备的 销售及上门维护；机房精密环境运行维护的技术咨询及上门维护（法律、行政法规、 国务院决定需凭资质经营的，需取得相关资质后方可经营）；信息咨询（不含人才中 介服务及其它限制项目）。</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7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35" w:right="0"/>
                          <w:jc w:val="center"/>
                          <w:rPr>
                            <w:rFonts w:ascii="Times New Roman" w:hAnsi="Times New Roman" w:cs="Times New Roman" w:eastAsia="Times New Roman" w:hint="default"/>
                            <w:sz w:val="21"/>
                            <w:szCs w:val="21"/>
                          </w:rPr>
                        </w:pPr>
                        <w:r>
                          <w:rPr>
                            <w:rFonts w:ascii="Times New Roman"/>
                            <w:sz w:val="21"/>
                          </w:rPr>
                          <w:t>51%</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7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19" w:right="0"/>
                          <w:jc w:val="center"/>
                          <w:rPr>
                            <w:rFonts w:ascii="Times New Roman" w:hAnsi="Times New Roman" w:cs="Times New Roman" w:eastAsia="Times New Roman" w:hint="default"/>
                            <w:sz w:val="21"/>
                            <w:szCs w:val="21"/>
                          </w:rPr>
                        </w:pPr>
                        <w:r>
                          <w:rPr>
                            <w:rFonts w:ascii="Times New Roman"/>
                            <w:sz w:val="21"/>
                          </w:rPr>
                          <w:t>51%</w:t>
                        </w:r>
                      </w:p>
                    </w:tc>
                  </w:tr>
                  <w:tr>
                    <w:trPr>
                      <w:trHeight w:val="2219"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77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深圳龙控主要从事机房动力环境监控系统、数据中心基础设施管理系统、海关物流监 控系统的研究、设计及开发，为深圳市软件企业及国家高新技术企业。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月份完成依米康收购深圳龙控</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w:t>
                        </w:r>
                      </w:p>
                      <w:p>
                        <w:pPr>
                          <w:pStyle w:val="TableParagraph"/>
                          <w:spacing w:line="279"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月完成深圳龙控注册地址的变更；</w:t>
                        </w:r>
                      </w:p>
                      <w:p>
                        <w:pPr>
                          <w:pStyle w:val="TableParagraph"/>
                          <w:spacing w:line="256" w:lineRule="auto" w:before="21"/>
                          <w:ind w:left="2"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月完成深圳龙控股东严城将其持有的</w:t>
                        </w:r>
                        <w:r>
                          <w:rPr>
                            <w:rFonts w:ascii="Times New Roman" w:hAnsi="Times New Roman" w:cs="Times New Roman" w:eastAsia="Times New Roman" w:hint="default"/>
                            <w:sz w:val="21"/>
                            <w:szCs w:val="21"/>
                          </w:rPr>
                          <w:t>5%</w:t>
                        </w:r>
                        <w:r>
                          <w:rPr>
                            <w:rFonts w:ascii="宋体" w:hAnsi="宋体" w:cs="宋体" w:eastAsia="宋体" w:hint="default"/>
                            <w:sz w:val="21"/>
                            <w:szCs w:val="21"/>
                          </w:rPr>
                          <w:t>股权对应出资</w:t>
                        </w:r>
                        <w:r>
                          <w:rPr>
                            <w:rFonts w:ascii="Times New Roman" w:hAnsi="Times New Roman" w:cs="Times New Roman" w:eastAsia="Times New Roman" w:hint="default"/>
                            <w:sz w:val="21"/>
                            <w:szCs w:val="21"/>
                          </w:rPr>
                          <w:t>50</w:t>
                        </w:r>
                        <w:r>
                          <w:rPr>
                            <w:rFonts w:ascii="宋体" w:hAnsi="宋体" w:cs="宋体" w:eastAsia="宋体" w:hint="default"/>
                            <w:sz w:val="21"/>
                            <w:szCs w:val="21"/>
                          </w:rPr>
                          <w:t>万元转让给肖卉 </w:t>
                        </w:r>
                        <w:r>
                          <w:rPr>
                            <w:rFonts w:ascii="宋体" w:hAnsi="宋体" w:cs="宋体" w:eastAsia="宋体" w:hint="default"/>
                            <w:spacing w:val="8"/>
                            <w:sz w:val="21"/>
                            <w:szCs w:val="21"/>
                          </w:rPr>
                          <w:t>公司名称由</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深圳市龙控计算机技术有限公司</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变更为</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深圳市龙控智能技术有限公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、董事王楚霞变更为王楚龙等事项的工商备案手续。</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338" w:lineRule="auto" w:before="26"/>
        <w:ind w:left="1440" w:right="1434" w:firstLine="480"/>
        <w:jc w:val="left"/>
      </w:pPr>
      <w:r>
        <w:rPr>
          <w:spacing w:val="-2"/>
        </w:rPr>
        <w:t>报告期内，深圳龙控通过</w:t>
      </w:r>
      <w:r>
        <w:rPr>
          <w:rFonts w:ascii="Times New Roman" w:hAnsi="Times New Roman" w:cs="Times New Roman" w:eastAsia="Times New Roman" w:hint="default"/>
          <w:spacing w:val="-2"/>
        </w:rPr>
        <w:t>ISO27001</w:t>
      </w:r>
      <w:r>
        <w:rPr>
          <w:spacing w:val="-2"/>
        </w:rPr>
        <w:t>信息安全管理体系认证、</w:t>
      </w:r>
      <w:r>
        <w:rPr>
          <w:rFonts w:ascii="Times New Roman" w:hAnsi="Times New Roman" w:cs="Times New Roman" w:eastAsia="Times New Roman" w:hint="default"/>
          <w:spacing w:val="-2"/>
        </w:rPr>
        <w:t>CMMI</w:t>
      </w:r>
      <w:r>
        <w:rPr>
          <w:spacing w:val="-2"/>
        </w:rPr>
        <w:t>认证，其全资子</w:t>
      </w:r>
      <w:r>
        <w:rPr/>
        <w:t> 公司四川龙控通过双软企业认证，进一步提升了公司市场竞争能力。</w:t>
      </w:r>
    </w:p>
    <w:p>
      <w:pPr>
        <w:pStyle w:val="BodyText"/>
        <w:spacing w:line="338" w:lineRule="auto" w:before="55"/>
        <w:ind w:left="1440" w:right="1033" w:firstLine="48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日，深圳龙控总资产</w:t>
      </w:r>
      <w:r>
        <w:rPr>
          <w:rFonts w:ascii="Times New Roman" w:hAnsi="Times New Roman" w:cs="Times New Roman" w:eastAsia="Times New Roman" w:hint="default"/>
        </w:rPr>
        <w:t>10,512.03</w:t>
      </w:r>
      <w:r>
        <w:rPr/>
        <w:t>万元，净资产</w:t>
      </w:r>
      <w:r>
        <w:rPr>
          <w:rFonts w:ascii="Times New Roman" w:hAnsi="Times New Roman" w:cs="Times New Roman" w:eastAsia="Times New Roman" w:hint="default"/>
        </w:rPr>
        <w:t>4,560.99</w:t>
      </w:r>
      <w:r>
        <w:rPr/>
        <w:t>万元。报告 期内，深圳龙控实现营业收入</w:t>
      </w:r>
      <w:r>
        <w:rPr>
          <w:rFonts w:ascii="Times New Roman" w:hAnsi="Times New Roman" w:cs="Times New Roman" w:eastAsia="Times New Roman" w:hint="default"/>
        </w:rPr>
        <w:t>6,570.92</w:t>
      </w:r>
      <w:r>
        <w:rPr/>
        <w:t>万元，净利润</w:t>
      </w:r>
      <w:r>
        <w:rPr>
          <w:rFonts w:ascii="Times New Roman" w:hAnsi="Times New Roman" w:cs="Times New Roman" w:eastAsia="Times New Roman" w:hint="default"/>
        </w:rPr>
        <w:t>239.64</w:t>
      </w:r>
      <w:r>
        <w:rPr/>
        <w:t>万元。</w:t>
      </w:r>
    </w:p>
    <w:p>
      <w:pPr>
        <w:pStyle w:val="BodyText"/>
        <w:spacing w:line="240" w:lineRule="auto" w:before="27"/>
        <w:ind w:left="1800" w:right="1033"/>
        <w:jc w:val="left"/>
      </w:pPr>
      <w:r>
        <w:rPr/>
        <w:t>（</w:t>
      </w:r>
      <w:r>
        <w:rPr>
          <w:rFonts w:ascii="Times New Roman" w:hAnsi="Times New Roman" w:cs="Times New Roman" w:eastAsia="Times New Roman" w:hint="default"/>
        </w:rPr>
        <w:t>4</w:t>
      </w:r>
      <w:r>
        <w:rPr/>
        <w:t>）上海虹港数据信息有限公司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35"/>
        <w:ind w:left="0" w:right="162" w:firstLine="0"/>
        <w:jc w:val="right"/>
        <w:rPr>
          <w:rFonts w:ascii="宋体" w:hAnsi="宋体" w:cs="宋体" w:eastAsia="宋体" w:hint="default"/>
          <w:sz w:val="21"/>
          <w:szCs w:val="21"/>
        </w:rPr>
      </w:pPr>
      <w:r>
        <w:rPr/>
        <w:pict>
          <v:shape style="position:absolute;margin-left:71.639999pt;margin-top:-142.486328pt;width:511.5pt;height:214.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8789"/>
                  </w:tblGrid>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91310109591674081J</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sz w:val="21"/>
                            <w:szCs w:val="21"/>
                          </w:rPr>
                          <w:t>上海市虹口区欧阳路</w:t>
                        </w:r>
                        <w:r>
                          <w:rPr>
                            <w:rFonts w:ascii="Times New Roman" w:hAnsi="Times New Roman" w:cs="Times New Roman" w:eastAsia="Times New Roman" w:hint="default"/>
                            <w:sz w:val="21"/>
                            <w:szCs w:val="21"/>
                          </w:rPr>
                          <w:t>196</w:t>
                        </w:r>
                        <w:r>
                          <w:rPr>
                            <w:rFonts w:ascii="宋体" w:hAnsi="宋体" w:cs="宋体" w:eastAsia="宋体" w:hint="default"/>
                            <w:sz w:val="21"/>
                            <w:szCs w:val="21"/>
                          </w:rPr>
                          <w:t>号</w:t>
                        </w:r>
                        <w:r>
                          <w:rPr>
                            <w:rFonts w:ascii="Times New Roman" w:hAnsi="Times New Roman" w:cs="Times New Roman" w:eastAsia="Times New Roman" w:hint="default"/>
                            <w:sz w:val="21"/>
                            <w:szCs w:val="21"/>
                          </w:rPr>
                          <w:t>10</w:t>
                        </w:r>
                        <w:r>
                          <w:rPr>
                            <w:rFonts w:ascii="宋体" w:hAnsi="宋体" w:cs="宋体" w:eastAsia="宋体" w:hint="default"/>
                            <w:sz w:val="21"/>
                            <w:szCs w:val="21"/>
                          </w:rPr>
                          <w:t>号楼</w:t>
                        </w:r>
                        <w:r>
                          <w:rPr>
                            <w:rFonts w:ascii="Times New Roman" w:hAnsi="Times New Roman" w:cs="Times New Roman" w:eastAsia="Times New Roman" w:hint="default"/>
                            <w:sz w:val="21"/>
                            <w:szCs w:val="21"/>
                          </w:rPr>
                          <w:t>1</w:t>
                        </w:r>
                        <w:r>
                          <w:rPr>
                            <w:rFonts w:ascii="宋体" w:hAnsi="宋体" w:cs="宋体" w:eastAsia="宋体" w:hint="default"/>
                            <w:sz w:val="21"/>
                            <w:szCs w:val="21"/>
                          </w:rPr>
                          <w:t>层</w:t>
                        </w:r>
                        <w:r>
                          <w:rPr>
                            <w:rFonts w:ascii="Times New Roman" w:hAnsi="Times New Roman" w:cs="Times New Roman" w:eastAsia="Times New Roman" w:hint="default"/>
                            <w:sz w:val="21"/>
                            <w:szCs w:val="21"/>
                          </w:rPr>
                          <w:t>08</w:t>
                        </w:r>
                        <w:r>
                          <w:rPr>
                            <w:rFonts w:ascii="宋体" w:hAnsi="宋体" w:cs="宋体" w:eastAsia="宋体" w:hint="default"/>
                            <w:sz w:val="21"/>
                            <w:szCs w:val="21"/>
                          </w:rPr>
                          <w:t>室</w:t>
                        </w:r>
                      </w:p>
                    </w:tc>
                  </w:tr>
                  <w:tr>
                    <w:trPr>
                      <w:trHeight w:val="73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法定代表</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人</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闻之航</w:t>
                        </w:r>
                      </w:p>
                    </w:tc>
                  </w:tr>
                  <w:tr>
                    <w:trPr>
                      <w:trHeight w:val="42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4,500</w:t>
                        </w:r>
                        <w:r>
                          <w:rPr>
                            <w:rFonts w:ascii="宋体" w:hAnsi="宋体" w:cs="宋体" w:eastAsia="宋体" w:hint="default"/>
                            <w:sz w:val="21"/>
                            <w:szCs w:val="21"/>
                          </w:rPr>
                          <w:t>（万人民币）</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971"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04"/>
                          <w:jc w:val="both"/>
                          <w:rPr>
                            <w:rFonts w:ascii="宋体" w:hAnsi="宋体" w:cs="宋体" w:eastAsia="宋体" w:hint="default"/>
                            <w:sz w:val="21"/>
                            <w:szCs w:val="21"/>
                          </w:rPr>
                        </w:pPr>
                        <w:r>
                          <w:rPr>
                            <w:rFonts w:ascii="宋体" w:hAnsi="宋体" w:cs="宋体" w:eastAsia="宋体" w:hint="default"/>
                            <w:spacing w:val="-4"/>
                            <w:sz w:val="21"/>
                            <w:szCs w:val="21"/>
                          </w:rPr>
                          <w:t>计算机、网络信息技术领域内的技术开发、技术转让、技术咨询、技术服务，通信建设工程施工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9"/>
                            <w:sz w:val="21"/>
                            <w:szCs w:val="21"/>
                          </w:rPr>
                          <w:t>建筑智能化建设工程专业施工，销售计算机、软件及辅助设备（除计算机信息系统安全专用产品）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电子产品，通信设备（除卫星地面接收装置），办公用品。</w:t>
                        </w:r>
                      </w:p>
                    </w:tc>
                  </w:tr>
                  <w:tr>
                    <w:trPr>
                      <w:trHeight w:val="42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31%</w:t>
                        </w:r>
                      </w:p>
                    </w:tc>
                  </w:tr>
                </w:tbl>
                <w:p>
                  <w:pPr/>
                </w:p>
              </w:txbxContent>
            </v:textbox>
            <w10:wrap type="none"/>
          </v:shape>
        </w:pict>
      </w:r>
      <w:r>
        <w:rPr>
          <w:rFonts w:ascii="宋体" w:hAnsi="宋体" w:cs="宋体" w:eastAsia="宋体" w:hint="default"/>
          <w:sz w:val="21"/>
          <w:szCs w:val="21"/>
        </w:rPr>
        <w:t>，</w:t>
      </w:r>
    </w:p>
    <w:p>
      <w:pPr>
        <w:spacing w:before="37"/>
        <w:ind w:left="0" w:right="160"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tbl>
      <w:tblPr>
        <w:tblW w:w="0" w:type="auto"/>
        <w:jc w:val="left"/>
        <w:tblInd w:w="1432" w:type="dxa"/>
        <w:tblLayout w:type="fixed"/>
        <w:tblCellMar>
          <w:top w:w="0" w:type="dxa"/>
          <w:left w:w="0" w:type="dxa"/>
          <w:bottom w:w="0" w:type="dxa"/>
          <w:right w:w="0" w:type="dxa"/>
        </w:tblCellMar>
        <w:tblLook w:val="01E0"/>
      </w:tblPr>
      <w:tblGrid>
        <w:gridCol w:w="1419"/>
        <w:gridCol w:w="8789"/>
      </w:tblGrid>
      <w:tr>
        <w:trPr>
          <w:trHeight w:val="434" w:hRule="exact"/>
        </w:trPr>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87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31%</w:t>
            </w:r>
          </w:p>
        </w:tc>
      </w:tr>
      <w:tr>
        <w:trPr>
          <w:trHeight w:val="50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firstLine="210"/>
              <w:jc w:val="both"/>
              <w:rPr>
                <w:rFonts w:ascii="宋体" w:hAnsi="宋体" w:cs="宋体" w:eastAsia="宋体" w:hint="default"/>
                <w:sz w:val="21"/>
                <w:szCs w:val="21"/>
              </w:rPr>
            </w:pPr>
            <w:r>
              <w:rPr>
                <w:rFonts w:ascii="宋体" w:hAnsi="宋体" w:cs="宋体" w:eastAsia="宋体" w:hint="default"/>
                <w:spacing w:val="-2"/>
                <w:sz w:val="21"/>
                <w:szCs w:val="21"/>
              </w:rPr>
              <w:t>上海虹港主要从事云计算数据中心的建设以及数据中心基础设施外包服务及增值服务业务，已</w:t>
            </w:r>
            <w:r>
              <w:rPr>
                <w:rFonts w:ascii="宋体" w:hAnsi="宋体" w:cs="宋体" w:eastAsia="宋体" w:hint="default"/>
                <w:sz w:val="21"/>
                <w:szCs w:val="21"/>
              </w:rPr>
              <w:t> 于</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年</w:t>
            </w:r>
            <w:r>
              <w:rPr>
                <w:rFonts w:ascii="宋体" w:hAnsi="宋体" w:cs="宋体" w:eastAsia="宋体" w:hint="default"/>
                <w:sz w:val="21"/>
                <w:szCs w:val="21"/>
              </w:rPr>
              <w:t>28</w:t>
            </w:r>
            <w:r>
              <w:rPr>
                <w:rFonts w:ascii="宋体" w:hAnsi="宋体" w:cs="宋体" w:eastAsia="宋体" w:hint="default"/>
                <w:sz w:val="21"/>
                <w:szCs w:val="21"/>
              </w:rPr>
              <w:t>日取得《中华人民共和国增值电信业务经营许可证》（沪</w:t>
            </w:r>
            <w:r>
              <w:rPr>
                <w:rFonts w:ascii="宋体" w:hAnsi="宋体" w:cs="宋体" w:eastAsia="宋体" w:hint="default"/>
                <w:sz w:val="21"/>
                <w:szCs w:val="21"/>
              </w:rPr>
              <w:t>B1-20120125</w:t>
            </w:r>
            <w:r>
              <w:rPr>
                <w:rFonts w:ascii="宋体" w:hAnsi="宋体" w:cs="宋体" w:eastAsia="宋体" w:hint="default"/>
                <w:sz w:val="21"/>
                <w:szCs w:val="21"/>
              </w:rPr>
              <w:t>），可开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展“第一类业务中的因特网数据中心业务”。</w:t>
            </w:r>
          </w:p>
          <w:p>
            <w:pPr>
              <w:pStyle w:val="TableParagraph"/>
              <w:spacing w:line="240" w:lineRule="auto" w:before="7"/>
              <w:ind w:left="3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月份依米康使用超募资金</w:t>
            </w:r>
            <w:r>
              <w:rPr>
                <w:rFonts w:ascii="宋体" w:hAnsi="宋体" w:cs="宋体" w:eastAsia="宋体" w:hint="default"/>
                <w:sz w:val="21"/>
                <w:szCs w:val="21"/>
              </w:rPr>
              <w:t>450</w:t>
            </w:r>
            <w:r>
              <w:rPr>
                <w:rFonts w:ascii="宋体" w:hAnsi="宋体" w:cs="宋体" w:eastAsia="宋体" w:hint="default"/>
                <w:sz w:val="21"/>
                <w:szCs w:val="21"/>
              </w:rPr>
              <w:t>万元完成上海虹港</w:t>
            </w:r>
            <w:r>
              <w:rPr>
                <w:rFonts w:ascii="宋体" w:hAnsi="宋体" w:cs="宋体" w:eastAsia="宋体" w:hint="default"/>
                <w:sz w:val="21"/>
                <w:szCs w:val="21"/>
              </w:rPr>
              <w:t>30%</w:t>
            </w:r>
            <w:r>
              <w:rPr>
                <w:rFonts w:ascii="宋体" w:hAnsi="宋体" w:cs="宋体" w:eastAsia="宋体" w:hint="default"/>
                <w:sz w:val="21"/>
                <w:szCs w:val="21"/>
              </w:rPr>
              <w:t>股权收购；</w:t>
            </w:r>
          </w:p>
          <w:p>
            <w:pPr>
              <w:pStyle w:val="TableParagraph"/>
              <w:spacing w:line="240" w:lineRule="auto" w:before="37"/>
              <w:ind w:left="3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月依米康使用超募资金</w:t>
            </w:r>
            <w:r>
              <w:rPr>
                <w:rFonts w:ascii="宋体" w:hAnsi="宋体" w:cs="宋体" w:eastAsia="宋体" w:hint="default"/>
                <w:sz w:val="21"/>
                <w:szCs w:val="21"/>
              </w:rPr>
              <w:t>900</w:t>
            </w:r>
            <w:r>
              <w:rPr>
                <w:rFonts w:ascii="宋体" w:hAnsi="宋体" w:cs="宋体" w:eastAsia="宋体" w:hint="default"/>
                <w:sz w:val="21"/>
                <w:szCs w:val="21"/>
              </w:rPr>
              <w:t>万元与其他股东按原持股比例共同对上海股东增资到</w:t>
            </w:r>
          </w:p>
          <w:p>
            <w:pPr>
              <w:pStyle w:val="TableParagraph"/>
              <w:spacing w:line="240" w:lineRule="auto" w:before="37"/>
              <w:ind w:left="2" w:right="0"/>
              <w:jc w:val="both"/>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z w:val="21"/>
                <w:szCs w:val="21"/>
              </w:rPr>
              <w:t>万；</w:t>
            </w:r>
          </w:p>
          <w:p>
            <w:pPr>
              <w:pStyle w:val="TableParagraph"/>
              <w:spacing w:line="240" w:lineRule="auto" w:before="37"/>
              <w:ind w:left="3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月依米康使用超募资金</w:t>
            </w:r>
            <w:r>
              <w:rPr>
                <w:rFonts w:ascii="宋体" w:hAnsi="宋体" w:cs="宋体" w:eastAsia="宋体" w:hint="default"/>
                <w:sz w:val="21"/>
                <w:szCs w:val="21"/>
              </w:rPr>
              <w:t>500</w:t>
            </w:r>
            <w:r>
              <w:rPr>
                <w:rFonts w:ascii="宋体" w:hAnsi="宋体" w:cs="宋体" w:eastAsia="宋体" w:hint="default"/>
                <w:sz w:val="21"/>
                <w:szCs w:val="21"/>
              </w:rPr>
              <w:t>万元单方面对上海虹港增资，持股比例变更为</w:t>
            </w:r>
            <w:r>
              <w:rPr>
                <w:rFonts w:ascii="宋体" w:hAnsi="宋体" w:cs="宋体" w:eastAsia="宋体" w:hint="default"/>
                <w:sz w:val="21"/>
                <w:szCs w:val="21"/>
              </w:rPr>
              <w:t>40%</w:t>
            </w:r>
            <w:r>
              <w:rPr>
                <w:rFonts w:ascii="宋体" w:hAnsi="宋体" w:cs="宋体" w:eastAsia="宋体" w:hint="default"/>
                <w:sz w:val="21"/>
                <w:szCs w:val="21"/>
              </w:rPr>
              <w:t>；</w:t>
            </w:r>
          </w:p>
          <w:p>
            <w:pPr>
              <w:pStyle w:val="TableParagraph"/>
              <w:spacing w:line="273" w:lineRule="auto" w:before="37"/>
              <w:ind w:left="2" w:right="1" w:firstLine="315"/>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月上海虹港完成以下工商变更备案手续：股东上海瓦研信息技术有限公司（以下 </w:t>
            </w:r>
            <w:r>
              <w:rPr>
                <w:rFonts w:ascii="宋体" w:hAnsi="宋体" w:cs="宋体" w:eastAsia="宋体" w:hint="default"/>
                <w:spacing w:val="-2"/>
                <w:sz w:val="21"/>
                <w:szCs w:val="21"/>
              </w:rPr>
              <w:t>简称“上海瓦研”）将所持有的上海虹港</w:t>
            </w:r>
            <w:r>
              <w:rPr>
                <w:rFonts w:ascii="宋体" w:hAnsi="宋体" w:cs="宋体" w:eastAsia="宋体" w:hint="default"/>
                <w:spacing w:val="-2"/>
                <w:sz w:val="21"/>
                <w:szCs w:val="21"/>
              </w:rPr>
              <w:t>10%</w:t>
            </w:r>
            <w:r>
              <w:rPr>
                <w:rFonts w:ascii="宋体" w:hAnsi="宋体" w:cs="宋体" w:eastAsia="宋体" w:hint="default"/>
                <w:spacing w:val="-2"/>
                <w:sz w:val="21"/>
                <w:szCs w:val="21"/>
              </w:rPr>
              <w:t>股权对应出资</w:t>
            </w:r>
            <w:r>
              <w:rPr>
                <w:rFonts w:ascii="宋体" w:hAnsi="宋体" w:cs="宋体" w:eastAsia="宋体" w:hint="default"/>
                <w:spacing w:val="-2"/>
                <w:sz w:val="21"/>
                <w:szCs w:val="21"/>
              </w:rPr>
              <w:t>350</w:t>
            </w:r>
            <w:r>
              <w:rPr>
                <w:rFonts w:ascii="宋体" w:hAnsi="宋体" w:cs="宋体" w:eastAsia="宋体" w:hint="default"/>
                <w:spacing w:val="-2"/>
                <w:sz w:val="21"/>
                <w:szCs w:val="21"/>
              </w:rPr>
              <w:t>万元转让给深圳市前海和钧天源资</w:t>
            </w:r>
            <w:r>
              <w:rPr>
                <w:rFonts w:ascii="宋体" w:hAnsi="宋体" w:cs="宋体" w:eastAsia="宋体" w:hint="default"/>
                <w:spacing w:val="-70"/>
                <w:sz w:val="21"/>
                <w:szCs w:val="21"/>
              </w:rPr>
              <w:t> </w:t>
            </w:r>
            <w:r>
              <w:rPr>
                <w:rFonts w:ascii="宋体" w:hAnsi="宋体" w:cs="宋体" w:eastAsia="宋体" w:hint="default"/>
                <w:spacing w:val="-2"/>
                <w:sz w:val="21"/>
                <w:szCs w:val="21"/>
              </w:rPr>
              <w:t>产管理中心（有限合伙）（以下简称“和钧天源”）；上海虹港董事胡哲离任，张钧先生新任董</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事。以上事项上海虹港已于办理工商备案手续，并取得上海市虹口区市场监督管理局于</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日签发的营业执照。</w:t>
            </w:r>
          </w:p>
          <w:p>
            <w:pPr>
              <w:pStyle w:val="TableParagraph"/>
              <w:spacing w:line="240" w:lineRule="auto" w:before="7"/>
              <w:ind w:left="419"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月上海虹港完成以下工商变更备案手续：和钧天源出资</w:t>
            </w:r>
            <w:r>
              <w:rPr>
                <w:rFonts w:ascii="宋体" w:hAnsi="宋体" w:cs="宋体" w:eastAsia="宋体" w:hint="default"/>
                <w:sz w:val="21"/>
                <w:szCs w:val="21"/>
              </w:rPr>
              <w:t>3,000</w:t>
            </w:r>
            <w:r>
              <w:rPr>
                <w:rFonts w:ascii="宋体" w:hAnsi="宋体" w:cs="宋体" w:eastAsia="宋体" w:hint="default"/>
                <w:sz w:val="21"/>
                <w:szCs w:val="21"/>
              </w:rPr>
              <w:t>万元对应注册资本</w:t>
            </w:r>
          </w:p>
          <w:p>
            <w:pPr>
              <w:pStyle w:val="TableParagraph"/>
              <w:spacing w:line="273" w:lineRule="auto" w:before="36"/>
              <w:ind w:left="2" w:right="0"/>
              <w:jc w:val="both"/>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z w:val="21"/>
                <w:szCs w:val="21"/>
              </w:rPr>
              <w:t>万元对上海虹港进行单方面增资，上海虹港的注册资本从</w:t>
            </w:r>
            <w:r>
              <w:rPr>
                <w:rFonts w:ascii="宋体" w:hAnsi="宋体" w:cs="宋体" w:eastAsia="宋体" w:hint="default"/>
                <w:sz w:val="21"/>
                <w:szCs w:val="21"/>
              </w:rPr>
              <w:t>3,500</w:t>
            </w:r>
            <w:r>
              <w:rPr>
                <w:rFonts w:ascii="宋体" w:hAnsi="宋体" w:cs="宋体" w:eastAsia="宋体" w:hint="default"/>
                <w:sz w:val="21"/>
                <w:szCs w:val="21"/>
              </w:rPr>
              <w:t>万元增至</w:t>
            </w:r>
            <w:r>
              <w:rPr>
                <w:rFonts w:ascii="宋体" w:hAnsi="宋体" w:cs="宋体" w:eastAsia="宋体" w:hint="default"/>
                <w:sz w:val="21"/>
                <w:szCs w:val="21"/>
              </w:rPr>
              <w:t>4,500</w:t>
            </w:r>
            <w:r>
              <w:rPr>
                <w:rFonts w:ascii="宋体" w:hAnsi="宋体" w:cs="宋体" w:eastAsia="宋体" w:hint="default"/>
                <w:sz w:val="21"/>
                <w:szCs w:val="21"/>
              </w:rPr>
              <w:t>万元，股东</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出资情况变更为：上海瓦研出资人民币</w:t>
            </w:r>
            <w:r>
              <w:rPr>
                <w:rFonts w:ascii="宋体" w:hAnsi="宋体" w:cs="宋体" w:eastAsia="宋体" w:hint="default"/>
                <w:sz w:val="21"/>
                <w:szCs w:val="21"/>
              </w:rPr>
              <w:t>1,750</w:t>
            </w:r>
            <w:r>
              <w:rPr>
                <w:rFonts w:ascii="宋体" w:hAnsi="宋体" w:cs="宋体" w:eastAsia="宋体" w:hint="default"/>
                <w:sz w:val="21"/>
                <w:szCs w:val="21"/>
              </w:rPr>
              <w:t>万元，持股比例为</w:t>
            </w:r>
            <w:r>
              <w:rPr>
                <w:rFonts w:ascii="宋体" w:hAnsi="宋体" w:cs="宋体" w:eastAsia="宋体" w:hint="default"/>
                <w:sz w:val="21"/>
                <w:szCs w:val="21"/>
              </w:rPr>
              <w:t>39%</w:t>
            </w:r>
            <w:r>
              <w:rPr>
                <w:rFonts w:ascii="宋体" w:hAnsi="宋体" w:cs="宋体" w:eastAsia="宋体" w:hint="default"/>
                <w:sz w:val="21"/>
                <w:szCs w:val="21"/>
              </w:rPr>
              <w:t>；依米康出资人民币</w:t>
            </w:r>
            <w:r>
              <w:rPr>
                <w:rFonts w:ascii="宋体" w:hAnsi="宋体" w:cs="宋体" w:eastAsia="宋体" w:hint="default"/>
                <w:sz w:val="21"/>
                <w:szCs w:val="21"/>
              </w:rPr>
              <w:t>1,400</w:t>
            </w:r>
            <w:r>
              <w:rPr>
                <w:rFonts w:ascii="宋体" w:hAnsi="宋体" w:cs="宋体" w:eastAsia="宋体" w:hint="default"/>
                <w:sz w:val="21"/>
                <w:szCs w:val="21"/>
              </w:rPr>
              <w:t>万</w:t>
            </w:r>
            <w:r>
              <w:rPr>
                <w:rFonts w:ascii="宋体" w:hAnsi="宋体" w:cs="宋体" w:eastAsia="宋体" w:hint="default"/>
                <w:spacing w:val="-58"/>
                <w:sz w:val="21"/>
                <w:szCs w:val="21"/>
              </w:rPr>
              <w:t> </w:t>
            </w:r>
            <w:r>
              <w:rPr>
                <w:rFonts w:ascii="宋体" w:hAnsi="宋体" w:cs="宋体" w:eastAsia="宋体" w:hint="default"/>
                <w:sz w:val="21"/>
                <w:szCs w:val="21"/>
              </w:rPr>
              <w:t>元，持股比例</w:t>
            </w:r>
            <w:r>
              <w:rPr>
                <w:rFonts w:ascii="宋体" w:hAnsi="宋体" w:cs="宋体" w:eastAsia="宋体" w:hint="default"/>
                <w:sz w:val="21"/>
                <w:szCs w:val="21"/>
              </w:rPr>
              <w:t>31%</w:t>
            </w:r>
            <w:r>
              <w:rPr>
                <w:rFonts w:ascii="宋体" w:hAnsi="宋体" w:cs="宋体" w:eastAsia="宋体" w:hint="default"/>
                <w:sz w:val="21"/>
                <w:szCs w:val="21"/>
              </w:rPr>
              <w:t>；和钧天源出资人民币</w:t>
            </w:r>
            <w:r>
              <w:rPr>
                <w:rFonts w:ascii="宋体" w:hAnsi="宋体" w:cs="宋体" w:eastAsia="宋体" w:hint="default"/>
                <w:sz w:val="21"/>
                <w:szCs w:val="21"/>
              </w:rPr>
              <w:t>1,350</w:t>
            </w:r>
            <w:r>
              <w:rPr>
                <w:rFonts w:ascii="宋体" w:hAnsi="宋体" w:cs="宋体" w:eastAsia="宋体" w:hint="default"/>
                <w:sz w:val="21"/>
                <w:szCs w:val="21"/>
              </w:rPr>
              <w:t>万元，持股比例为</w:t>
            </w:r>
            <w:r>
              <w:rPr>
                <w:rFonts w:ascii="宋体" w:hAnsi="宋体" w:cs="宋体" w:eastAsia="宋体" w:hint="default"/>
                <w:sz w:val="21"/>
                <w:szCs w:val="21"/>
              </w:rPr>
              <w:t>30%</w:t>
            </w:r>
            <w:r>
              <w:rPr>
                <w:rFonts w:ascii="宋体" w:hAnsi="宋体" w:cs="宋体" w:eastAsia="宋体" w:hint="default"/>
                <w:sz w:val="21"/>
                <w:szCs w:val="21"/>
              </w:rPr>
              <w:t>。</w:t>
            </w:r>
          </w:p>
        </w:tc>
      </w:tr>
    </w:tbl>
    <w:p>
      <w:pPr>
        <w:pStyle w:val="BodyText"/>
        <w:spacing w:line="338" w:lineRule="auto" w:before="40"/>
        <w:ind w:left="1440" w:right="1436" w:firstLine="480"/>
        <w:jc w:val="left"/>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日，上海虹港总资产</w:t>
      </w:r>
      <w:r>
        <w:rPr>
          <w:rFonts w:ascii="Times New Roman" w:hAnsi="Times New Roman" w:cs="Times New Roman" w:eastAsia="Times New Roman" w:hint="default"/>
          <w:spacing w:val="-2"/>
        </w:rPr>
        <w:t>9,589.15</w:t>
      </w:r>
      <w:r>
        <w:rPr>
          <w:spacing w:val="-2"/>
        </w:rPr>
        <w:t>万元，净资产</w:t>
      </w:r>
      <w:r>
        <w:rPr>
          <w:rFonts w:ascii="Times New Roman" w:hAnsi="Times New Roman" w:cs="Times New Roman" w:eastAsia="Times New Roman" w:hint="default"/>
          <w:spacing w:val="-2"/>
        </w:rPr>
        <w:t>4,982.09</w:t>
      </w:r>
      <w:r>
        <w:rPr>
          <w:spacing w:val="-2"/>
        </w:rPr>
        <w:t>万元。报告期</w:t>
      </w:r>
      <w:r>
        <w:rPr/>
        <w:t> 内，上海虹港实现营业收入</w:t>
      </w:r>
      <w:r>
        <w:rPr>
          <w:rFonts w:ascii="Times New Roman" w:hAnsi="Times New Roman" w:cs="Times New Roman" w:eastAsia="Times New Roman" w:hint="default"/>
        </w:rPr>
        <w:t>810.62</w:t>
      </w:r>
      <w:r>
        <w:rPr/>
        <w:t>万元，净利润</w:t>
      </w:r>
      <w:r>
        <w:rPr>
          <w:rFonts w:ascii="Times New Roman" w:hAnsi="Times New Roman" w:cs="Times New Roman" w:eastAsia="Times New Roman" w:hint="default"/>
        </w:rPr>
        <w:t>-883.62</w:t>
      </w:r>
      <w:r>
        <w:rPr/>
        <w:t>万元。</w:t>
      </w:r>
    </w:p>
    <w:p>
      <w:pPr>
        <w:pStyle w:val="BodyText"/>
        <w:spacing w:line="240" w:lineRule="auto" w:before="27"/>
        <w:ind w:left="1920" w:right="1033"/>
        <w:jc w:val="left"/>
      </w:pPr>
      <w:r>
        <w:rPr/>
        <w:t>（</w:t>
      </w:r>
      <w:r>
        <w:rPr>
          <w:rFonts w:ascii="Times New Roman" w:hAnsi="Times New Roman" w:cs="Times New Roman" w:eastAsia="Times New Roman" w:hint="default"/>
        </w:rPr>
        <w:t>5</w:t>
      </w:r>
      <w:r>
        <w:rPr/>
        <w:t>）西安华西信息智能工程有限公司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62" w:firstLine="0"/>
        <w:jc w:val="right"/>
        <w:rPr>
          <w:rFonts w:ascii="宋体" w:hAnsi="宋体" w:cs="宋体" w:eastAsia="宋体" w:hint="default"/>
          <w:sz w:val="21"/>
          <w:szCs w:val="21"/>
        </w:rPr>
      </w:pPr>
      <w:r>
        <w:rPr/>
        <w:pict>
          <v:shape style="position:absolute;margin-left:71.639999pt;margin-top:-344.716339pt;width:511.5pt;height:377.9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8789"/>
                  </w:tblGrid>
                  <w:tr>
                    <w:trPr>
                      <w:trHeight w:val="42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3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39" w:right="0"/>
                          <w:jc w:val="center"/>
                          <w:rPr>
                            <w:rFonts w:ascii="Times New Roman" w:hAnsi="Times New Roman" w:cs="Times New Roman" w:eastAsia="Times New Roman" w:hint="default"/>
                            <w:sz w:val="21"/>
                            <w:szCs w:val="21"/>
                          </w:rPr>
                        </w:pPr>
                        <w:r>
                          <w:rPr>
                            <w:rFonts w:ascii="Times New Roman"/>
                            <w:sz w:val="21"/>
                          </w:rPr>
                          <w:t>91610131X239210995</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396" w:right="0"/>
                          <w:jc w:val="left"/>
                          <w:rPr>
                            <w:rFonts w:ascii="宋体" w:hAnsi="宋体" w:cs="宋体" w:eastAsia="宋体" w:hint="default"/>
                            <w:sz w:val="21"/>
                            <w:szCs w:val="21"/>
                          </w:rPr>
                        </w:pPr>
                        <w:r>
                          <w:rPr>
                            <w:rFonts w:ascii="宋体" w:hAnsi="宋体" w:cs="宋体" w:eastAsia="宋体" w:hint="default"/>
                            <w:sz w:val="21"/>
                            <w:szCs w:val="21"/>
                          </w:rPr>
                          <w:t>西安市高新区枫叶新都市杰座</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A10-11002</w:t>
                        </w:r>
                        <w:r>
                          <w:rPr>
                            <w:rFonts w:ascii="宋体" w:hAnsi="宋体" w:cs="宋体" w:eastAsia="宋体" w:hint="default"/>
                            <w:sz w:val="21"/>
                            <w:szCs w:val="21"/>
                          </w:rPr>
                          <w:t>号</w:t>
                        </w:r>
                      </w:p>
                    </w:tc>
                  </w:tr>
                  <w:tr>
                    <w:trPr>
                      <w:trHeight w:val="73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法定代表</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人</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0" w:right="0"/>
                          <w:jc w:val="center"/>
                          <w:rPr>
                            <w:rFonts w:ascii="宋体" w:hAnsi="宋体" w:cs="宋体" w:eastAsia="宋体" w:hint="default"/>
                            <w:sz w:val="21"/>
                            <w:szCs w:val="21"/>
                          </w:rPr>
                        </w:pPr>
                        <w:r>
                          <w:rPr>
                            <w:rFonts w:ascii="宋体" w:hAnsi="宋体" w:cs="宋体" w:eastAsia="宋体" w:hint="default"/>
                            <w:sz w:val="21"/>
                            <w:szCs w:val="21"/>
                          </w:rPr>
                          <w:t>高峰</w:t>
                        </w:r>
                      </w:p>
                    </w:tc>
                  </w:tr>
                  <w:tr>
                    <w:trPr>
                      <w:trHeight w:val="42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3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5050</w:t>
                        </w:r>
                        <w:r>
                          <w:rPr>
                            <w:rFonts w:ascii="宋体" w:hAnsi="宋体" w:cs="宋体" w:eastAsia="宋体" w:hint="default"/>
                            <w:sz w:val="21"/>
                            <w:szCs w:val="21"/>
                          </w:rPr>
                          <w:t>（万人民币）</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0"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1283"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2"/>
                            <w:sz w:val="21"/>
                            <w:szCs w:val="21"/>
                          </w:rPr>
                          <w:t>建筑智能化工程设计与施工；计算机信息系统集成；软件开发；通信系统集成；专业净化、机电</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安装、空调、消防、防雷工程、民用建筑及装饰装修设计与施工；货物和技术的进出口经营（国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家限制和禁止进出口的货物和技术除外）；机房配套设备及建材的销售。（以上经营范围凡涉及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国家有专项专营规定的从其规定）。</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40" w:right="0"/>
                          <w:jc w:val="center"/>
                          <w:rPr>
                            <w:rFonts w:ascii="Times New Roman" w:hAnsi="Times New Roman" w:cs="Times New Roman" w:eastAsia="Times New Roman" w:hint="default"/>
                            <w:sz w:val="21"/>
                            <w:szCs w:val="21"/>
                          </w:rPr>
                        </w:pPr>
                        <w:r>
                          <w:rPr>
                            <w:rFonts w:ascii="Times New Roman"/>
                            <w:sz w:val="21"/>
                          </w:rPr>
                          <w:t>51.07%</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40" w:right="0"/>
                          <w:jc w:val="center"/>
                          <w:rPr>
                            <w:rFonts w:ascii="Times New Roman" w:hAnsi="Times New Roman" w:cs="Times New Roman" w:eastAsia="Times New Roman" w:hint="default"/>
                            <w:sz w:val="21"/>
                            <w:szCs w:val="21"/>
                          </w:rPr>
                        </w:pPr>
                        <w:r>
                          <w:rPr>
                            <w:rFonts w:ascii="Times New Roman"/>
                            <w:sz w:val="21"/>
                          </w:rPr>
                          <w:t>51.07%</w:t>
                        </w:r>
                      </w:p>
                    </w:tc>
                  </w:tr>
                  <w:tr>
                    <w:trPr>
                      <w:trHeight w:val="2532"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3"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月依米康使用超募资金</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4,233</w:t>
                        </w:r>
                        <w:r>
                          <w:rPr>
                            <w:rFonts w:ascii="宋体" w:hAnsi="宋体" w:cs="宋体" w:eastAsia="宋体" w:hint="default"/>
                            <w:sz w:val="21"/>
                            <w:szCs w:val="21"/>
                          </w:rPr>
                          <w:t>万元收购深圳市西秦商贸有限公司所持有的西安华 西信息智能工程有限公司</w:t>
                        </w:r>
                        <w:r>
                          <w:rPr>
                            <w:rFonts w:ascii="Times New Roman" w:hAnsi="Times New Roman" w:cs="Times New Roman" w:eastAsia="Times New Roman" w:hint="default"/>
                            <w:sz w:val="21"/>
                            <w:szCs w:val="21"/>
                          </w:rPr>
                          <w:t>51.07%</w:t>
                        </w:r>
                        <w:r>
                          <w:rPr>
                            <w:rFonts w:ascii="宋体" w:hAnsi="宋体" w:cs="宋体" w:eastAsia="宋体" w:hint="default"/>
                            <w:sz w:val="21"/>
                            <w:szCs w:val="21"/>
                          </w:rPr>
                          <w:t>的股权；</w:t>
                        </w:r>
                      </w:p>
                      <w:p>
                        <w:pPr>
                          <w:pStyle w:val="TableParagraph"/>
                          <w:spacing w:line="240" w:lineRule="auto" w:before="5"/>
                          <w:ind w:left="4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月西安华西各股东按各自持股比例实施第一期增资（注册资本由</w:t>
                        </w:r>
                        <w:r>
                          <w:rPr>
                            <w:rFonts w:ascii="Times New Roman" w:hAnsi="Times New Roman" w:cs="Times New Roman" w:eastAsia="Times New Roman" w:hint="default"/>
                            <w:spacing w:val="-3"/>
                            <w:sz w:val="21"/>
                            <w:szCs w:val="21"/>
                          </w:rPr>
                          <w:t>2,150</w:t>
                        </w:r>
                        <w:r>
                          <w:rPr>
                            <w:rFonts w:ascii="宋体" w:hAnsi="宋体" w:cs="宋体" w:eastAsia="宋体" w:hint="default"/>
                            <w:spacing w:val="-3"/>
                            <w:sz w:val="21"/>
                            <w:szCs w:val="21"/>
                          </w:rPr>
                          <w:t>万元增资到</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3,010</w:t>
                        </w:r>
                        <w:r>
                          <w:rPr>
                            <w:rFonts w:ascii="宋体" w:hAnsi="宋体" w:cs="宋体" w:eastAsia="宋体" w:hint="default"/>
                            <w:sz w:val="21"/>
                            <w:szCs w:val="21"/>
                          </w:rPr>
                          <w:t>万元，依米康出资</w:t>
                        </w:r>
                        <w:r>
                          <w:rPr>
                            <w:rFonts w:ascii="Times New Roman" w:hAnsi="Times New Roman" w:cs="Times New Roman" w:eastAsia="Times New Roman" w:hint="default"/>
                            <w:sz w:val="21"/>
                            <w:szCs w:val="21"/>
                          </w:rPr>
                          <w:t>439.21</w:t>
                        </w:r>
                        <w:r>
                          <w:rPr>
                            <w:rFonts w:ascii="宋体" w:hAnsi="宋体" w:cs="宋体" w:eastAsia="宋体" w:hint="default"/>
                            <w:sz w:val="21"/>
                            <w:szCs w:val="21"/>
                          </w:rPr>
                          <w:t>万元）；</w:t>
                        </w:r>
                      </w:p>
                      <w:p>
                        <w:pPr>
                          <w:pStyle w:val="TableParagraph"/>
                          <w:spacing w:line="240" w:lineRule="auto" w:before="21"/>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日办理完成西安华西股东高峰和郭倩股权出质注销登记手续；</w:t>
                        </w:r>
                      </w:p>
                      <w:p>
                        <w:pPr>
                          <w:pStyle w:val="TableParagraph"/>
                          <w:spacing w:line="256" w:lineRule="auto" w:before="21"/>
                          <w:ind w:left="2" w:right="3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日西安华西股东会同意股东高峰将其持有</w:t>
                        </w:r>
                        <w:r>
                          <w:rPr>
                            <w:rFonts w:ascii="Times New Roman" w:hAnsi="Times New Roman" w:cs="Times New Roman" w:eastAsia="Times New Roman" w:hint="default"/>
                            <w:sz w:val="21"/>
                            <w:szCs w:val="21"/>
                          </w:rPr>
                          <w:t>5%</w:t>
                        </w:r>
                        <w:r>
                          <w:rPr>
                            <w:rFonts w:ascii="宋体" w:hAnsi="宋体" w:cs="宋体" w:eastAsia="宋体" w:hint="default"/>
                            <w:sz w:val="21"/>
                            <w:szCs w:val="21"/>
                          </w:rPr>
                          <w:t>的股权对应出资</w:t>
                        </w:r>
                        <w:r>
                          <w:rPr>
                            <w:rFonts w:ascii="Times New Roman" w:hAnsi="Times New Roman" w:cs="Times New Roman" w:eastAsia="Times New Roman" w:hint="default"/>
                            <w:sz w:val="21"/>
                            <w:szCs w:val="21"/>
                          </w:rPr>
                          <w:t>150.50</w:t>
                        </w:r>
                        <w:r>
                          <w:rPr>
                            <w:rFonts w:ascii="宋体" w:hAnsi="宋体" w:cs="宋体" w:eastAsia="宋体" w:hint="default"/>
                            <w:sz w:val="21"/>
                            <w:szCs w:val="21"/>
                          </w:rPr>
                          <w:t>万元转让 </w:t>
                        </w:r>
                        <w:r>
                          <w:rPr>
                            <w:rFonts w:ascii="宋体" w:hAnsi="宋体" w:cs="宋体" w:eastAsia="宋体" w:hint="default"/>
                            <w:spacing w:val="-2"/>
                            <w:sz w:val="21"/>
                            <w:szCs w:val="21"/>
                          </w:rPr>
                          <w:t>给深圳市前海汇金天源数字技术股份有限公司（以下简称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汇金天源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），转让价格为</w:t>
                        </w:r>
                        <w:r>
                          <w:rPr>
                            <w:rFonts w:ascii="Times New Roman" w:hAnsi="Times New Roman" w:cs="Times New Roman" w:eastAsia="Times New Roman" w:hint="default"/>
                            <w:spacing w:val="-2"/>
                            <w:sz w:val="21"/>
                            <w:szCs w:val="21"/>
                          </w:rPr>
                          <w:t>752.50</w:t>
                        </w:r>
                        <w:r>
                          <w:rPr>
                            <w:rFonts w:ascii="宋体" w:hAnsi="宋体" w:cs="宋体" w:eastAsia="宋体" w:hint="default"/>
                            <w:spacing w:val="-2"/>
                            <w:sz w:val="21"/>
                            <w:szCs w:val="21"/>
                          </w:rPr>
                          <w:t>万元</w:t>
                        </w:r>
                        <w:r>
                          <w:rPr>
                            <w:rFonts w:ascii="宋体" w:hAnsi="宋体" w:cs="宋体" w:eastAsia="宋体" w:hint="default"/>
                            <w:spacing w:val="-98"/>
                            <w:sz w:val="21"/>
                            <w:szCs w:val="21"/>
                          </w:rPr>
                          <w:t> </w:t>
                        </w:r>
                        <w:r>
                          <w:rPr>
                            <w:rFonts w:ascii="宋体" w:hAnsi="宋体" w:cs="宋体" w:eastAsia="宋体" w:hint="default"/>
                            <w:sz w:val="21"/>
                            <w:szCs w:val="21"/>
                          </w:rPr>
                          <w:t>已办理完成相关股权转让的工商变更手续，取得了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日签发的《营业执照》；</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1632" w:lineRule="exact"/>
        <w:ind w:left="1402"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517pt;height:81.6pt;mso-position-horizontal-relative:char;mso-position-vertical-relative:line" coordorigin="0,0" coordsize="10340,1632">
            <v:group style="position:absolute;left:7;top:7;width:9088;height:2" coordorigin="7,7" coordsize="9088,2">
              <v:shape style="position:absolute;left:7;top:7;width:9088;height:2" coordorigin="7,7" coordsize="9088,0" path="m7,7l9095,7e" filled="false" stroked="true" strokeweight=".72pt" strokecolor="#000000">
                <v:path arrowok="t"/>
              </v:shape>
            </v:group>
            <v:group style="position:absolute;left:44;top:22;width:1405;height:2" coordorigin="44,22" coordsize="1405,2">
              <v:shape style="position:absolute;left:44;top:22;width:1405;height:2" coordorigin="44,22" coordsize="1405,0" path="m44,22l1449,22e" filled="false" stroked="true" strokeweight=".72pt" strokecolor="#000000">
                <v:path arrowok="t"/>
              </v:shape>
            </v:group>
            <v:group style="position:absolute;left:1463;top:22;width:8775;height:2" coordorigin="1463,22" coordsize="8775,2">
              <v:shape style="position:absolute;left:1463;top:22;width:8775;height:2" coordorigin="1463,22" coordsize="8775,0" path="m1463,22l10238,22e" filled="false" stroked="true" strokeweight=".72pt" strokecolor="#000000">
                <v:path arrowok="t"/>
              </v:shape>
            </v:group>
            <v:group style="position:absolute;left:37;top:14;width:2;height:1611" coordorigin="37,14" coordsize="2,1611">
              <v:shape style="position:absolute;left:37;top:14;width:2;height:1611" coordorigin="37,14" coordsize="0,1611" path="m37,14l37,1625e" filled="false" stroked="true" strokeweight=".72pt" strokecolor="#000000">
                <v:path arrowok="t"/>
              </v:shape>
            </v:group>
            <v:group style="position:absolute;left:44;top:1618;width:1405;height:2" coordorigin="44,1618" coordsize="1405,2">
              <v:shape style="position:absolute;left:44;top:1618;width:1405;height:2" coordorigin="44,1618" coordsize="1405,0" path="m44,1618l1449,1618e" filled="false" stroked="true" strokeweight=".72pt" strokecolor="#000000">
                <v:path arrowok="t"/>
              </v:shape>
            </v:group>
            <v:group style="position:absolute;left:1456;top:14;width:2;height:1611" coordorigin="1456,14" coordsize="2,1611">
              <v:shape style="position:absolute;left:1456;top:14;width:2;height:1611" coordorigin="1456,14" coordsize="0,1611" path="m1456,14l1456,1625e" filled="false" stroked="true" strokeweight=".72pt" strokecolor="#000000">
                <v:path arrowok="t"/>
              </v:shape>
            </v:group>
            <v:group style="position:absolute;left:1463;top:1618;width:8775;height:2" coordorigin="1463,1618" coordsize="8775,2">
              <v:shape style="position:absolute;left:1463;top:1618;width:8775;height:2" coordorigin="1463,1618" coordsize="8775,0" path="m1463,1618l10238,1618e" filled="false" stroked="true" strokeweight=".72pt" strokecolor="#000000">
                <v:path arrowok="t"/>
              </v:shape>
            </v:group>
            <v:group style="position:absolute;left:10245;top:14;width:2;height:1611" coordorigin="10245,14" coordsize="2,1611">
              <v:shape style="position:absolute;left:10245;top:14;width:2;height:1611" coordorigin="10245,14" coordsize="0,1611" path="m10245,14l10245,1625e" filled="false" stroked="true" strokeweight=".72pt" strokecolor="#000000">
                <v:path arrowok="t"/>
              </v:shape>
              <v:shape style="position:absolute;left:1456;top:14;width:8789;height:1604" type="#_x0000_t202" filled="false" stroked="false">
                <v:textbox inset="0,0,0,0">
                  <w:txbxContent>
                    <w:p>
                      <w:pPr>
                        <w:spacing w:line="256" w:lineRule="auto" w:before="10"/>
                        <w:ind w:left="9" w:right="7"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月，西安华西股东会同意原股东和新股东上海乐长长投资有限公司（西安华西核</w:t>
                      </w:r>
                      <w:r>
                        <w:rPr>
                          <w:rFonts w:ascii="宋体" w:hAnsi="宋体" w:cs="宋体" w:eastAsia="宋体" w:hint="default"/>
                          <w:sz w:val="21"/>
                          <w:szCs w:val="21"/>
                        </w:rPr>
                        <w:t> 心员工持股的公司，以下简称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长乐乐</w:t>
                      </w:r>
                      <w:r>
                        <w:rPr>
                          <w:rFonts w:ascii="Times New Roman" w:hAnsi="Times New Roman" w:cs="Times New Roman" w:eastAsia="Times New Roman" w:hint="default"/>
                          <w:sz w:val="21"/>
                          <w:szCs w:val="21"/>
                        </w:rPr>
                        <w:t>”</w:t>
                      </w:r>
                      <w:r>
                        <w:rPr>
                          <w:rFonts w:ascii="宋体" w:hAnsi="宋体" w:cs="宋体" w:eastAsia="宋体" w:hint="default"/>
                          <w:sz w:val="21"/>
                          <w:szCs w:val="21"/>
                        </w:rPr>
                        <w:t>）出资对其进行增资注册资本由</w:t>
                      </w:r>
                      <w:r>
                        <w:rPr>
                          <w:rFonts w:ascii="Times New Roman" w:hAnsi="Times New Roman" w:cs="Times New Roman" w:eastAsia="Times New Roman" w:hint="default"/>
                          <w:sz w:val="21"/>
                          <w:szCs w:val="21"/>
                        </w:rPr>
                        <w:t>3,010</w:t>
                      </w:r>
                      <w:r>
                        <w:rPr>
                          <w:rFonts w:ascii="宋体" w:hAnsi="宋体" w:cs="宋体" w:eastAsia="宋体" w:hint="default"/>
                          <w:sz w:val="21"/>
                          <w:szCs w:val="21"/>
                        </w:rPr>
                        <w:t>万元增至</w:t>
                      </w:r>
                      <w:r>
                        <w:rPr>
                          <w:rFonts w:ascii="Times New Roman" w:hAnsi="Times New Roman" w:cs="Times New Roman" w:eastAsia="Times New Roman" w:hint="default"/>
                          <w:sz w:val="21"/>
                          <w:szCs w:val="21"/>
                        </w:rPr>
                        <w:t>5,050</w:t>
                      </w:r>
                      <w:r>
                        <w:rPr>
                          <w:rFonts w:ascii="宋体" w:hAnsi="宋体" w:cs="宋体" w:eastAsia="宋体" w:hint="default"/>
                          <w:sz w:val="21"/>
                          <w:szCs w:val="21"/>
                        </w:rPr>
                        <w:t>万元 </w:t>
                      </w:r>
                      <w:r>
                        <w:rPr>
                          <w:rFonts w:ascii="宋体" w:hAnsi="宋体" w:cs="宋体" w:eastAsia="宋体" w:hint="default"/>
                          <w:spacing w:val="-2"/>
                          <w:sz w:val="21"/>
                          <w:szCs w:val="21"/>
                        </w:rPr>
                        <w:t>出资情况如下：依米康出资</w:t>
                      </w:r>
                      <w:r>
                        <w:rPr>
                          <w:rFonts w:ascii="Times New Roman" w:hAnsi="Times New Roman" w:cs="Times New Roman" w:eastAsia="Times New Roman" w:hint="default"/>
                          <w:spacing w:val="-2"/>
                          <w:sz w:val="21"/>
                          <w:szCs w:val="21"/>
                        </w:rPr>
                        <w:t>1041.82</w:t>
                      </w:r>
                      <w:r>
                        <w:rPr>
                          <w:rFonts w:ascii="宋体" w:hAnsi="宋体" w:cs="宋体" w:eastAsia="宋体" w:hint="default"/>
                          <w:spacing w:val="-2"/>
                          <w:sz w:val="21"/>
                          <w:szCs w:val="21"/>
                        </w:rPr>
                        <w:t>万元、高峰出资</w:t>
                      </w:r>
                      <w:r>
                        <w:rPr>
                          <w:rFonts w:ascii="Times New Roman" w:hAnsi="Times New Roman" w:cs="Times New Roman" w:eastAsia="Times New Roman" w:hint="default"/>
                          <w:spacing w:val="-2"/>
                          <w:sz w:val="21"/>
                          <w:szCs w:val="21"/>
                        </w:rPr>
                        <w:t>582.50</w:t>
                      </w:r>
                      <w:r>
                        <w:rPr>
                          <w:rFonts w:ascii="宋体" w:hAnsi="宋体" w:cs="宋体" w:eastAsia="宋体" w:hint="default"/>
                          <w:spacing w:val="-2"/>
                          <w:sz w:val="21"/>
                          <w:szCs w:val="21"/>
                        </w:rPr>
                        <w:t>万元、郭倩出资</w:t>
                      </w:r>
                      <w:r>
                        <w:rPr>
                          <w:rFonts w:ascii="Times New Roman" w:hAnsi="Times New Roman" w:cs="Times New Roman" w:eastAsia="Times New Roman" w:hint="default"/>
                          <w:spacing w:val="-2"/>
                          <w:sz w:val="21"/>
                          <w:szCs w:val="21"/>
                        </w:rPr>
                        <w:t>73</w:t>
                      </w:r>
                      <w:r>
                        <w:rPr>
                          <w:rFonts w:ascii="宋体" w:hAnsi="宋体" w:cs="宋体" w:eastAsia="宋体" w:hint="default"/>
                          <w:spacing w:val="-2"/>
                          <w:sz w:val="21"/>
                          <w:szCs w:val="21"/>
                        </w:rPr>
                        <w:t>万元、汇金天源出资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Times New Roman" w:hAnsi="Times New Roman" w:cs="Times New Roman" w:eastAsia="Times New Roman" w:hint="default"/>
                          <w:spacing w:val="-3"/>
                          <w:sz w:val="21"/>
                          <w:szCs w:val="21"/>
                        </w:rPr>
                        <w:t>102</w:t>
                      </w:r>
                      <w:r>
                        <w:rPr>
                          <w:rFonts w:ascii="宋体" w:hAnsi="宋体" w:cs="宋体" w:eastAsia="宋体" w:hint="default"/>
                          <w:spacing w:val="-3"/>
                          <w:sz w:val="21"/>
                          <w:szCs w:val="21"/>
                        </w:rPr>
                        <w:t>万元、长乐乐出资</w:t>
                      </w:r>
                      <w:r>
                        <w:rPr>
                          <w:rFonts w:ascii="Times New Roman" w:hAnsi="Times New Roman" w:cs="Times New Roman" w:eastAsia="Times New Roman" w:hint="default"/>
                          <w:spacing w:val="-3"/>
                          <w:sz w:val="21"/>
                          <w:szCs w:val="21"/>
                        </w:rPr>
                        <w:t>240.68</w:t>
                      </w:r>
                      <w:r>
                        <w:rPr>
                          <w:rFonts w:ascii="宋体" w:hAnsi="宋体" w:cs="宋体" w:eastAsia="宋体" w:hint="default"/>
                          <w:spacing w:val="-3"/>
                          <w:sz w:val="21"/>
                          <w:szCs w:val="21"/>
                        </w:rPr>
                        <w:t>万元；以上增资事项于</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月完成工商变更登记手续，并取得换</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发的《营业执照》。</w:t>
                      </w:r>
                    </w:p>
                  </w:txbxContent>
                </v:textbox>
                <w10:wrap type="none"/>
              </v:shape>
              <v:shape style="position:absolute;left:10129;top:402;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v:group>
          </v:group>
        </w:pict>
      </w:r>
      <w:r>
        <w:rPr>
          <w:rFonts w:ascii="宋体" w:hAnsi="宋体" w:cs="宋体" w:eastAsia="宋体" w:hint="default"/>
          <w:position w:val="-32"/>
          <w:sz w:val="20"/>
          <w:szCs w:val="20"/>
        </w:rPr>
      </w:r>
    </w:p>
    <w:p>
      <w:pPr>
        <w:pStyle w:val="BodyText"/>
        <w:spacing w:line="338" w:lineRule="auto" w:before="33"/>
        <w:ind w:left="1439" w:right="1438" w:firstLine="480"/>
        <w:jc w:val="both"/>
      </w:pPr>
      <w:r>
        <w:rPr/>
        <w:t>报告期内，西安华西取得了</w:t>
      </w:r>
      <w:r>
        <w:rPr>
          <w:rFonts w:ascii="Times New Roman" w:hAnsi="Times New Roman" w:cs="Times New Roman" w:eastAsia="Times New Roman" w:hint="default"/>
        </w:rPr>
        <w:t>“</w:t>
      </w:r>
      <w:r>
        <w:rPr/>
        <w:t>消防设施工程专业承包一级</w:t>
      </w:r>
      <w:r>
        <w:rPr>
          <w:rFonts w:ascii="Times New Roman" w:hAnsi="Times New Roman" w:cs="Times New Roman" w:eastAsia="Times New Roman" w:hint="default"/>
        </w:rPr>
        <w:t>”</w:t>
      </w:r>
      <w:r>
        <w:rPr/>
        <w:t>资质，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月西安华 </w:t>
      </w:r>
      <w:r>
        <w:rPr>
          <w:spacing w:val="-2"/>
        </w:rPr>
        <w:t>西取得了中国信息安全认证中心颁发的</w:t>
      </w:r>
      <w:r>
        <w:rPr>
          <w:rFonts w:ascii="Times New Roman" w:hAnsi="Times New Roman" w:cs="Times New Roman" w:eastAsia="Times New Roman" w:hint="default"/>
          <w:spacing w:val="-2"/>
        </w:rPr>
        <w:t>“ISCC</w:t>
      </w:r>
      <w:r>
        <w:rPr>
          <w:rFonts w:ascii="Times New Roman" w:hAnsi="Times New Roman" w:cs="Times New Roman" w:eastAsia="Times New Roman" w:hint="default"/>
          <w:spacing w:val="-2"/>
        </w:rPr>
        <w:t>C</w:t>
      </w:r>
      <w:r>
        <w:rPr>
          <w:spacing w:val="-2"/>
        </w:rPr>
        <w:t>信息安全服务一级资质</w:t>
      </w:r>
      <w:r>
        <w:rPr>
          <w:rFonts w:ascii="Times New Roman" w:hAnsi="Times New Roman" w:cs="Times New Roman" w:eastAsia="Times New Roman" w:hint="default"/>
          <w:spacing w:val="-2"/>
        </w:rPr>
        <w:t>”</w:t>
      </w:r>
      <w:r>
        <w:rPr>
          <w:spacing w:val="-2"/>
        </w:rPr>
        <w:t>，以上资质的取</w:t>
      </w:r>
      <w:r>
        <w:rPr>
          <w:spacing w:val="-82"/>
        </w:rPr>
        <w:t> </w:t>
      </w:r>
      <w:r>
        <w:rPr>
          <w:spacing w:val="-82"/>
        </w:rPr>
      </w:r>
      <w:r>
        <w:rPr/>
        <w:t>得进一步提升了公司的市场综合竞争力，有利于公司扩大经营规模，提升经营效益。</w:t>
      </w:r>
    </w:p>
    <w:p>
      <w:pPr>
        <w:pStyle w:val="BodyText"/>
        <w:spacing w:line="338" w:lineRule="auto" w:before="55"/>
        <w:ind w:left="1440" w:right="1436" w:firstLine="480"/>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日，西安华西总资产</w:t>
      </w:r>
      <w:r>
        <w:rPr>
          <w:rFonts w:ascii="Times New Roman" w:hAnsi="Times New Roman" w:cs="Times New Roman" w:eastAsia="Times New Roman" w:hint="default"/>
        </w:rPr>
        <w:t>23,755.39</w:t>
      </w:r>
      <w:r>
        <w:rPr/>
        <w:t>万元，净资产</w:t>
      </w:r>
      <w:r>
        <w:rPr>
          <w:rFonts w:ascii="Times New Roman" w:hAnsi="Times New Roman" w:cs="Times New Roman" w:eastAsia="Times New Roman" w:hint="default"/>
        </w:rPr>
        <w:t>8,176.17</w:t>
      </w:r>
      <w:r>
        <w:rPr/>
        <w:t>万元。报告 期内，西安华西实现营业收入</w:t>
      </w:r>
      <w:r>
        <w:rPr>
          <w:rFonts w:ascii="Times New Roman" w:hAnsi="Times New Roman" w:cs="Times New Roman" w:eastAsia="Times New Roman" w:hint="default"/>
        </w:rPr>
        <w:t>17,650.35</w:t>
      </w:r>
      <w:r>
        <w:rPr/>
        <w:t>万元，净利润</w:t>
      </w:r>
      <w:r>
        <w:rPr>
          <w:rFonts w:ascii="Times New Roman" w:hAnsi="Times New Roman" w:cs="Times New Roman" w:eastAsia="Times New Roman" w:hint="default"/>
        </w:rPr>
        <w:t>329.74</w:t>
      </w:r>
      <w:r>
        <w:rPr/>
        <w:t>万元。</w:t>
      </w:r>
    </w:p>
    <w:p>
      <w:pPr>
        <w:pStyle w:val="BodyText"/>
        <w:spacing w:line="240" w:lineRule="auto" w:before="27"/>
        <w:ind w:left="1800" w:right="1033"/>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Rectifier Technologies</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t>（澳大利亚整流器技术有限公司）</w:t>
      </w:r>
    </w:p>
    <w:p>
      <w:pPr>
        <w:spacing w:line="240" w:lineRule="auto" w:before="4"/>
        <w:rPr>
          <w:rFonts w:ascii="宋体" w:hAnsi="宋体" w:cs="宋体" w:eastAsia="宋体" w:hint="default"/>
          <w:sz w:val="7"/>
          <w:szCs w:val="7"/>
        </w:rPr>
      </w:pPr>
    </w:p>
    <w:tbl>
      <w:tblPr>
        <w:tblW w:w="0" w:type="auto"/>
        <w:jc w:val="left"/>
        <w:tblInd w:w="1432" w:type="dxa"/>
        <w:tblLayout w:type="fixed"/>
        <w:tblCellMar>
          <w:top w:w="0" w:type="dxa"/>
          <w:left w:w="0" w:type="dxa"/>
          <w:bottom w:w="0" w:type="dxa"/>
          <w:right w:w="0" w:type="dxa"/>
        </w:tblCellMar>
        <w:tblLook w:val="01E0"/>
      </w:tblPr>
      <w:tblGrid>
        <w:gridCol w:w="1985"/>
        <w:gridCol w:w="8224"/>
      </w:tblGrid>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65"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1992</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r>
      <w:tr>
        <w:trPr>
          <w:trHeight w:val="73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36"/>
              <w:ind w:left="845" w:right="96" w:hanging="74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ACN(</w:t>
            </w:r>
            <w:r>
              <w:rPr>
                <w:rFonts w:ascii="宋体" w:hAnsi="宋体" w:cs="宋体" w:eastAsia="宋体" w:hint="default"/>
                <w:sz w:val="21"/>
                <w:szCs w:val="21"/>
              </w:rPr>
              <w:t>澳大利亚公司 号</w:t>
            </w:r>
            <w:r>
              <w:rPr>
                <w:rFonts w:ascii="Times New Roman" w:hAnsi="Times New Roman" w:cs="Times New Roman" w:eastAsia="Times New Roman" w:hint="default"/>
                <w:sz w:val="21"/>
                <w:szCs w:val="21"/>
              </w:rPr>
              <w:t>)</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058010692</w:t>
            </w:r>
          </w:p>
        </w:tc>
      </w:tr>
      <w:tr>
        <w:trPr>
          <w:trHeight w:val="73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36"/>
              <w:ind w:left="845" w:right="96" w:hanging="74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ABN(</w:t>
            </w:r>
            <w:r>
              <w:rPr>
                <w:rFonts w:ascii="宋体" w:hAnsi="宋体" w:cs="宋体" w:eastAsia="宋体" w:hint="default"/>
                <w:sz w:val="21"/>
                <w:szCs w:val="21"/>
              </w:rPr>
              <w:t>澳大利亚营业 号</w:t>
            </w:r>
            <w:r>
              <w:rPr>
                <w:rFonts w:ascii="Times New Roman" w:hAnsi="Times New Roman" w:cs="Times New Roman" w:eastAsia="Times New Roman" w:hint="default"/>
                <w:sz w:val="21"/>
                <w:szCs w:val="21"/>
              </w:rPr>
              <w:t>)</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82058010692</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65"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909" w:right="0"/>
              <w:jc w:val="left"/>
              <w:rPr>
                <w:rFonts w:ascii="Times New Roman" w:hAnsi="Times New Roman" w:cs="Times New Roman" w:eastAsia="Times New Roman" w:hint="default"/>
                <w:sz w:val="21"/>
                <w:szCs w:val="21"/>
              </w:rPr>
            </w:pPr>
            <w:r>
              <w:rPr>
                <w:rFonts w:ascii="Times New Roman"/>
                <w:sz w:val="21"/>
              </w:rPr>
              <w:t>24 Harker Street, BURWOOD, VIC 3125,</w:t>
            </w:r>
            <w:r>
              <w:rPr>
                <w:rFonts w:ascii="Times New Roman"/>
                <w:spacing w:val="-5"/>
                <w:sz w:val="21"/>
              </w:rPr>
              <w:t> </w:t>
            </w:r>
            <w:r>
              <w:rPr>
                <w:rFonts w:ascii="Times New Roman"/>
                <w:sz w:val="21"/>
              </w:rPr>
              <w:t>Australia</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65" w:right="0"/>
              <w:jc w:val="left"/>
              <w:rPr>
                <w:rFonts w:ascii="宋体" w:hAnsi="宋体" w:cs="宋体" w:eastAsia="宋体" w:hint="default"/>
                <w:sz w:val="21"/>
                <w:szCs w:val="21"/>
              </w:rPr>
            </w:pPr>
            <w:r>
              <w:rPr>
                <w:rFonts w:ascii="宋体" w:hAnsi="宋体" w:cs="宋体" w:eastAsia="宋体" w:hint="default"/>
                <w:sz w:val="21"/>
                <w:szCs w:val="21"/>
              </w:rPr>
              <w:t>企业性质</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634" w:right="0"/>
              <w:jc w:val="left"/>
              <w:rPr>
                <w:rFonts w:ascii="宋体" w:hAnsi="宋体" w:cs="宋体" w:eastAsia="宋体" w:hint="default"/>
                <w:sz w:val="21"/>
                <w:szCs w:val="21"/>
              </w:rPr>
            </w:pPr>
            <w:r>
              <w:rPr>
                <w:rFonts w:ascii="宋体" w:hAnsi="宋体" w:cs="宋体" w:eastAsia="宋体" w:hint="default"/>
                <w:sz w:val="21"/>
                <w:szCs w:val="21"/>
              </w:rPr>
              <w:t>公众股份有限公司（上市公司）</w:t>
            </w:r>
          </w:p>
        </w:tc>
      </w:tr>
      <w:tr>
        <w:trPr>
          <w:trHeight w:val="42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总股份</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1,245,140,602</w:t>
            </w:r>
            <w:r>
              <w:rPr>
                <w:rFonts w:ascii="宋体" w:hAnsi="宋体" w:cs="宋体" w:eastAsia="宋体" w:hint="default"/>
                <w:sz w:val="21"/>
                <w:szCs w:val="21"/>
              </w:rPr>
              <w:t>股</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上市地</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ASX</w:t>
            </w:r>
            <w:r>
              <w:rPr>
                <w:rFonts w:ascii="宋体" w:hAnsi="宋体" w:cs="宋体" w:eastAsia="宋体" w:hint="default"/>
                <w:sz w:val="21"/>
                <w:szCs w:val="21"/>
              </w:rPr>
              <w:t>（澳大利亚证券交易所）</w:t>
            </w:r>
          </w:p>
        </w:tc>
      </w:tr>
      <w:tr>
        <w:trPr>
          <w:trHeight w:val="6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65"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3"/>
              <w:jc w:val="left"/>
              <w:rPr>
                <w:rFonts w:ascii="宋体" w:hAnsi="宋体" w:cs="宋体" w:eastAsia="宋体" w:hint="default"/>
                <w:sz w:val="21"/>
                <w:szCs w:val="21"/>
              </w:rPr>
            </w:pPr>
            <w:r>
              <w:rPr>
                <w:rFonts w:ascii="宋体" w:hAnsi="宋体" w:cs="宋体" w:eastAsia="宋体" w:hint="default"/>
                <w:sz w:val="21"/>
                <w:szCs w:val="21"/>
              </w:rPr>
              <w:t>开关电源整流模块、监控系统、电池管理系统、不间断电源系统等的技术开发以及技术转 让，相关产品设计、制造、销售及售后服务。</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43"/>
              <w:jc w:val="right"/>
              <w:rPr>
                <w:rFonts w:ascii="宋体" w:hAnsi="宋体" w:cs="宋体" w:eastAsia="宋体" w:hint="default"/>
                <w:sz w:val="21"/>
                <w:szCs w:val="21"/>
              </w:rPr>
            </w:pPr>
            <w:r>
              <w:rPr>
                <w:rFonts w:ascii="宋体" w:hAnsi="宋体" w:cs="宋体" w:eastAsia="宋体" w:hint="default"/>
                <w:sz w:val="21"/>
                <w:szCs w:val="21"/>
              </w:rPr>
              <w:t>持股比例</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41" w:right="0"/>
              <w:jc w:val="center"/>
              <w:rPr>
                <w:rFonts w:ascii="Times New Roman" w:hAnsi="Times New Roman" w:cs="Times New Roman" w:eastAsia="Times New Roman" w:hint="default"/>
                <w:sz w:val="21"/>
                <w:szCs w:val="21"/>
              </w:rPr>
            </w:pPr>
            <w:r>
              <w:rPr>
                <w:rFonts w:ascii="Times New Roman"/>
                <w:sz w:val="21"/>
              </w:rPr>
              <w:t>15.26%</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49"/>
              <w:jc w:val="right"/>
              <w:rPr>
                <w:rFonts w:ascii="宋体" w:hAnsi="宋体" w:cs="宋体" w:eastAsia="宋体" w:hint="default"/>
                <w:sz w:val="21"/>
                <w:szCs w:val="21"/>
              </w:rPr>
            </w:pPr>
            <w:r>
              <w:rPr>
                <w:rFonts w:ascii="宋体" w:hAnsi="宋体" w:cs="宋体" w:eastAsia="宋体" w:hint="default"/>
                <w:sz w:val="21"/>
                <w:szCs w:val="21"/>
              </w:rPr>
              <w:t>表决权</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41" w:right="0"/>
              <w:jc w:val="center"/>
              <w:rPr>
                <w:rFonts w:ascii="Times New Roman" w:hAnsi="Times New Roman" w:cs="Times New Roman" w:eastAsia="Times New Roman" w:hint="default"/>
                <w:sz w:val="21"/>
                <w:szCs w:val="21"/>
              </w:rPr>
            </w:pPr>
            <w:r>
              <w:rPr>
                <w:rFonts w:ascii="Times New Roman"/>
                <w:sz w:val="21"/>
              </w:rPr>
              <w:t>15.26%</w:t>
            </w:r>
          </w:p>
        </w:tc>
      </w:tr>
      <w:tr>
        <w:trPr>
          <w:trHeight w:val="2844"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95"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822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3" w:right="1" w:firstLine="315"/>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日，依米康完成使用自有资金</w:t>
            </w:r>
            <w:r>
              <w:rPr>
                <w:rFonts w:ascii="Times New Roman" w:hAnsi="Times New Roman" w:cs="Times New Roman" w:eastAsia="Times New Roman" w:hint="default"/>
                <w:spacing w:val="-2"/>
                <w:sz w:val="21"/>
                <w:szCs w:val="21"/>
              </w:rPr>
              <w:t>552.21</w:t>
            </w:r>
            <w:r>
              <w:rPr>
                <w:rFonts w:ascii="宋体" w:hAnsi="宋体" w:cs="宋体" w:eastAsia="宋体" w:hint="default"/>
                <w:spacing w:val="-2"/>
                <w:sz w:val="21"/>
                <w:szCs w:val="21"/>
              </w:rPr>
              <w:t>万元收购</w:t>
            </w:r>
            <w:r>
              <w:rPr>
                <w:rFonts w:ascii="Times New Roman" w:hAnsi="Times New Roman" w:cs="Times New Roman" w:eastAsia="Times New Roman" w:hint="default"/>
                <w:spacing w:val="-2"/>
                <w:sz w:val="21"/>
                <w:szCs w:val="21"/>
              </w:rPr>
              <w:t>Pudu</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pacing w:val="-1"/>
                <w:sz w:val="21"/>
                <w:szCs w:val="21"/>
              </w:rPr>
              <w:t>Investment(Australia)</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PTY LTD</w:t>
            </w:r>
            <w:r>
              <w:rPr>
                <w:rFonts w:ascii="宋体" w:hAnsi="宋体" w:cs="宋体" w:eastAsia="宋体" w:hint="default"/>
                <w:sz w:val="21"/>
                <w:szCs w:val="21"/>
              </w:rPr>
              <w:t>所持有的</w:t>
            </w:r>
            <w:r>
              <w:rPr>
                <w:rFonts w:ascii="Times New Roman" w:hAnsi="Times New Roman" w:cs="Times New Roman" w:eastAsia="Times New Roman" w:hint="default"/>
                <w:sz w:val="21"/>
                <w:szCs w:val="21"/>
              </w:rPr>
              <w:t>Rectifier Technologies Limited</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189,975,136</w:t>
            </w:r>
            <w:r>
              <w:rPr>
                <w:rFonts w:ascii="宋体" w:hAnsi="宋体" w:cs="宋体" w:eastAsia="宋体" w:hint="default"/>
                <w:sz w:val="21"/>
                <w:szCs w:val="21"/>
              </w:rPr>
              <w:t>股股份，依米康持股比例为 </w:t>
            </w:r>
            <w:r>
              <w:rPr>
                <w:rFonts w:ascii="Times New Roman" w:hAnsi="Times New Roman" w:cs="Times New Roman" w:eastAsia="Times New Roman" w:hint="default"/>
                <w:sz w:val="21"/>
                <w:szCs w:val="21"/>
              </w:rPr>
              <w:t>17.69%</w:t>
            </w:r>
            <w:r>
              <w:rPr>
                <w:rFonts w:ascii="宋体" w:hAnsi="宋体" w:cs="宋体" w:eastAsia="宋体" w:hint="default"/>
                <w:sz w:val="21"/>
                <w:szCs w:val="21"/>
              </w:rPr>
              <w:t>；</w:t>
            </w:r>
          </w:p>
          <w:p>
            <w:pPr>
              <w:pStyle w:val="TableParagraph"/>
              <w:spacing w:line="240" w:lineRule="auto" w:before="5"/>
              <w:ind w:left="4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r>
              <w:rPr>
                <w:rFonts w:ascii="Times New Roman" w:hAnsi="Times New Roman" w:cs="Times New Roman" w:eastAsia="Times New Roman" w:hint="default"/>
                <w:sz w:val="21"/>
                <w:szCs w:val="21"/>
              </w:rPr>
              <w:t>RFT</w:t>
            </w:r>
            <w:r>
              <w:rPr>
                <w:rFonts w:ascii="宋体" w:hAnsi="宋体" w:cs="宋体" w:eastAsia="宋体" w:hint="default"/>
                <w:sz w:val="21"/>
                <w:szCs w:val="21"/>
              </w:rPr>
              <w:t>定向增发股份</w:t>
            </w:r>
            <w:r>
              <w:rPr>
                <w:rFonts w:ascii="Times New Roman" w:hAnsi="Times New Roman" w:cs="Times New Roman" w:eastAsia="Times New Roman" w:hint="default"/>
                <w:sz w:val="21"/>
                <w:szCs w:val="21"/>
              </w:rPr>
              <w:t>68,460,000</w:t>
            </w:r>
            <w:r>
              <w:rPr>
                <w:rFonts w:ascii="宋体" w:hAnsi="宋体" w:cs="宋体" w:eastAsia="宋体" w:hint="default"/>
                <w:sz w:val="21"/>
                <w:szCs w:val="21"/>
              </w:rPr>
              <w:t>股股权，依米康持股比例下降为</w:t>
            </w:r>
          </w:p>
          <w:p>
            <w:pPr>
              <w:pStyle w:val="TableParagraph"/>
              <w:spacing w:line="240" w:lineRule="auto" w:before="21"/>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16.35%</w:t>
            </w:r>
            <w:r>
              <w:rPr>
                <w:rFonts w:ascii="宋体" w:hAnsi="宋体" w:cs="宋体" w:eastAsia="宋体" w:hint="default"/>
                <w:sz w:val="21"/>
                <w:szCs w:val="21"/>
              </w:rPr>
              <w:t>；</w:t>
            </w:r>
          </w:p>
          <w:p>
            <w:pPr>
              <w:pStyle w:val="TableParagraph"/>
              <w:spacing w:line="256" w:lineRule="auto" w:before="21"/>
              <w:ind w:left="3" w:right="1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r>
              <w:rPr>
                <w:rFonts w:ascii="Times New Roman" w:hAnsi="Times New Roman" w:cs="Times New Roman" w:eastAsia="Times New Roman" w:hint="default"/>
                <w:sz w:val="21"/>
                <w:szCs w:val="21"/>
              </w:rPr>
              <w:t>RFT</w:t>
            </w:r>
            <w:r>
              <w:rPr>
                <w:rFonts w:ascii="宋体" w:hAnsi="宋体" w:cs="宋体" w:eastAsia="宋体" w:hint="default"/>
                <w:sz w:val="21"/>
                <w:szCs w:val="21"/>
              </w:rPr>
              <w:t>定向增发股份</w:t>
            </w:r>
            <w:r>
              <w:rPr>
                <w:rFonts w:ascii="Times New Roman" w:hAnsi="Times New Roman" w:cs="Times New Roman" w:eastAsia="Times New Roman" w:hint="default"/>
                <w:sz w:val="21"/>
                <w:szCs w:val="21"/>
              </w:rPr>
              <w:t>(</w:t>
            </w:r>
            <w:r>
              <w:rPr>
                <w:rFonts w:ascii="宋体" w:hAnsi="宋体" w:cs="宋体" w:eastAsia="宋体" w:hint="default"/>
                <w:sz w:val="21"/>
                <w:szCs w:val="21"/>
              </w:rPr>
              <w:t>债转股</w:t>
            </w:r>
            <w:r>
              <w:rPr>
                <w:rFonts w:ascii="Times New Roman" w:hAnsi="Times New Roman" w:cs="Times New Roman" w:eastAsia="Times New Roman" w:hint="default"/>
                <w:sz w:val="21"/>
                <w:szCs w:val="21"/>
              </w:rPr>
              <w:t>)51,142,150</w:t>
            </w:r>
            <w:r>
              <w:rPr>
                <w:rFonts w:ascii="宋体" w:hAnsi="宋体" w:cs="宋体" w:eastAsia="宋体" w:hint="default"/>
                <w:sz w:val="21"/>
                <w:szCs w:val="21"/>
              </w:rPr>
              <w:t>股股权，依米康持股比例下 降为</w:t>
            </w:r>
            <w:r>
              <w:rPr>
                <w:rFonts w:ascii="Times New Roman" w:hAnsi="Times New Roman" w:cs="Times New Roman" w:eastAsia="Times New Roman" w:hint="default"/>
                <w:sz w:val="21"/>
                <w:szCs w:val="21"/>
              </w:rPr>
              <w:t>15.66%</w:t>
            </w:r>
            <w:r>
              <w:rPr>
                <w:rFonts w:ascii="宋体" w:hAnsi="宋体" w:cs="宋体" w:eastAsia="宋体" w:hint="default"/>
                <w:sz w:val="21"/>
                <w:szCs w:val="21"/>
              </w:rPr>
              <w:t>。</w:t>
            </w:r>
          </w:p>
          <w:p>
            <w:pPr>
              <w:pStyle w:val="TableParagraph"/>
              <w:spacing w:line="256" w:lineRule="auto" w:before="5"/>
              <w:ind w:left="3" w:right="0" w:firstLine="42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r>
              <w:rPr>
                <w:rFonts w:ascii="Times New Roman" w:hAnsi="Times New Roman" w:cs="Times New Roman" w:eastAsia="Times New Roman" w:hint="default"/>
                <w:sz w:val="21"/>
                <w:szCs w:val="21"/>
              </w:rPr>
              <w:t>RFT</w:t>
            </w:r>
            <w:r>
              <w:rPr>
                <w:rFonts w:ascii="宋体" w:hAnsi="宋体" w:cs="宋体" w:eastAsia="宋体" w:hint="default"/>
                <w:sz w:val="21"/>
                <w:szCs w:val="21"/>
              </w:rPr>
              <w:t>定向增发股份</w:t>
            </w:r>
            <w:r>
              <w:rPr>
                <w:rFonts w:ascii="Times New Roman" w:hAnsi="Times New Roman" w:cs="Times New Roman" w:eastAsia="Times New Roman" w:hint="default"/>
                <w:sz w:val="21"/>
                <w:szCs w:val="21"/>
              </w:rPr>
              <w:t>(</w:t>
            </w:r>
            <w:r>
              <w:rPr>
                <w:rFonts w:ascii="宋体" w:hAnsi="宋体" w:cs="宋体" w:eastAsia="宋体" w:hint="default"/>
                <w:sz w:val="21"/>
                <w:szCs w:val="21"/>
              </w:rPr>
              <w:t>债转股</w:t>
            </w:r>
            <w:r>
              <w:rPr>
                <w:rFonts w:ascii="Times New Roman" w:hAnsi="Times New Roman" w:cs="Times New Roman" w:eastAsia="Times New Roman" w:hint="default"/>
                <w:sz w:val="21"/>
                <w:szCs w:val="21"/>
              </w:rPr>
              <w:t>)31,827,348</w:t>
            </w:r>
            <w:r>
              <w:rPr>
                <w:rFonts w:ascii="宋体" w:hAnsi="宋体" w:cs="宋体" w:eastAsia="宋体" w:hint="default"/>
                <w:sz w:val="21"/>
                <w:szCs w:val="21"/>
              </w:rPr>
              <w:t>股股权</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依米康持股比例下 降为</w:t>
            </w:r>
            <w:r>
              <w:rPr>
                <w:rFonts w:ascii="Times New Roman" w:hAnsi="Times New Roman" w:cs="Times New Roman" w:eastAsia="Times New Roman" w:hint="default"/>
                <w:sz w:val="21"/>
                <w:szCs w:val="21"/>
              </w:rPr>
              <w:t>15.26%</w:t>
            </w:r>
          </w:p>
        </w:tc>
      </w:tr>
    </w:tbl>
    <w:p>
      <w:pPr>
        <w:pStyle w:val="BodyText"/>
        <w:spacing w:line="240" w:lineRule="auto" w:before="81"/>
        <w:ind w:left="1920" w:right="1033"/>
        <w:jc w:val="left"/>
      </w:pPr>
      <w:r>
        <w:rPr/>
        <w:t>（</w:t>
      </w:r>
      <w:r>
        <w:rPr>
          <w:rFonts w:ascii="Times New Roman" w:hAnsi="Times New Roman" w:cs="Times New Roman" w:eastAsia="Times New Roman" w:hint="default"/>
        </w:rPr>
        <w:t>7</w:t>
      </w:r>
      <w:r>
        <w:rPr/>
        <w:t>）江苏亿金环保科技有限公司</w:t>
      </w:r>
    </w:p>
    <w:tbl>
      <w:tblPr>
        <w:tblW w:w="0" w:type="auto"/>
        <w:jc w:val="left"/>
        <w:tblInd w:w="1432" w:type="dxa"/>
        <w:tblLayout w:type="fixed"/>
        <w:tblCellMar>
          <w:top w:w="0" w:type="dxa"/>
          <w:left w:w="0" w:type="dxa"/>
          <w:bottom w:w="0" w:type="dxa"/>
          <w:right w:w="0" w:type="dxa"/>
        </w:tblCellMar>
        <w:tblLook w:val="01E0"/>
      </w:tblPr>
      <w:tblGrid>
        <w:gridCol w:w="1560"/>
        <w:gridCol w:w="8647"/>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注册号</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320281000105483</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江苏省江阴市顾山镇国东村</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宋正兴</w:t>
            </w:r>
          </w:p>
        </w:tc>
      </w:tr>
    </w:tbl>
    <w:p>
      <w:pPr>
        <w:spacing w:after="0" w:line="271" w:lineRule="exact"/>
        <w:jc w:val="center"/>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tbl>
      <w:tblPr>
        <w:tblW w:w="0" w:type="auto"/>
        <w:jc w:val="left"/>
        <w:tblInd w:w="1432" w:type="dxa"/>
        <w:tblLayout w:type="fixed"/>
        <w:tblCellMar>
          <w:top w:w="0" w:type="dxa"/>
          <w:left w:w="0" w:type="dxa"/>
          <w:bottom w:w="0" w:type="dxa"/>
          <w:right w:w="0" w:type="dxa"/>
        </w:tblCellMar>
        <w:tblLook w:val="01E0"/>
      </w:tblPr>
      <w:tblGrid>
        <w:gridCol w:w="1560"/>
        <w:gridCol w:w="8647"/>
      </w:tblGrid>
      <w:tr>
        <w:trPr>
          <w:trHeight w:val="354" w:hRule="exact"/>
        </w:trPr>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647" w:type="dxa"/>
            <w:tcBorders>
              <w:top w:val="single" w:sz="12"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10,000</w:t>
            </w:r>
            <w:r>
              <w:rPr>
                <w:rFonts w:ascii="宋体" w:hAnsi="宋体" w:cs="宋体" w:eastAsia="宋体" w:hint="default"/>
                <w:sz w:val="21"/>
                <w:szCs w:val="21"/>
              </w:rPr>
              <w:t>（万人民币）</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190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8"/>
              <w:jc w:val="both"/>
              <w:rPr>
                <w:rFonts w:ascii="宋体" w:hAnsi="宋体" w:cs="宋体" w:eastAsia="宋体" w:hint="default"/>
                <w:sz w:val="21"/>
                <w:szCs w:val="21"/>
              </w:rPr>
            </w:pPr>
            <w:r>
              <w:rPr>
                <w:rFonts w:ascii="宋体" w:hAnsi="宋体" w:cs="宋体" w:eastAsia="宋体" w:hint="default"/>
                <w:sz w:val="21"/>
                <w:szCs w:val="21"/>
              </w:rPr>
              <w:t>许可经营项目：无。一般经营项目：环保节能技术研发；石化、炼钢、环保成套设备的制造、 安装；给排水工程的安装；轻钢结构、交通设施的加工、安装；架线、管道、设备的施工；通 风管道及设备安装；环境工程设计、施工总承包（凭资质经营）；金属材料、纺织原料（不含 籽棉）的销售；自营和代理各类商品及技术的进出口业务（但国家限定企业经营或禁止进出口 的商品和技术除外）。（（以上项目不含国家限制、禁止类；涉及专项审批的经批准后方可经 营）</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59.22%</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59.22%</w:t>
            </w:r>
          </w:p>
        </w:tc>
      </w:tr>
      <w:tr>
        <w:trPr>
          <w:trHeight w:val="221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江苏亿金环保科技股份有限公司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变更为</w:t>
            </w:r>
            <w:r>
              <w:rPr>
                <w:rFonts w:ascii="Times New Roman" w:hAnsi="Times New Roman" w:cs="Times New Roman" w:eastAsia="Times New Roman" w:hint="default"/>
                <w:sz w:val="21"/>
                <w:szCs w:val="21"/>
              </w:rPr>
              <w:t>“</w:t>
            </w:r>
            <w:r>
              <w:rPr>
                <w:rFonts w:ascii="宋体" w:hAnsi="宋体" w:cs="宋体" w:eastAsia="宋体" w:hint="default"/>
                <w:sz w:val="21"/>
                <w:szCs w:val="21"/>
              </w:rPr>
              <w:t>江苏亿金环保科技有限公 </w:t>
            </w:r>
            <w:r>
              <w:rPr>
                <w:rFonts w:ascii="宋体" w:hAnsi="宋体" w:cs="宋体" w:eastAsia="宋体" w:hint="default"/>
                <w:spacing w:val="-2"/>
                <w:sz w:val="21"/>
                <w:szCs w:val="21"/>
              </w:rPr>
              <w:t>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，企业性质由股份有限公司变更为有限责任公司；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日公司完成发行股份购买江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苏亿金的资产交割，依米康持有江苏亿金的股份比例为</w:t>
            </w:r>
            <w:r>
              <w:rPr>
                <w:rFonts w:ascii="Times New Roman" w:hAnsi="Times New Roman" w:cs="Times New Roman" w:eastAsia="Times New Roman" w:hint="default"/>
                <w:sz w:val="21"/>
                <w:szCs w:val="21"/>
              </w:rPr>
              <w:t>53.00%</w:t>
            </w:r>
            <w:r>
              <w:rPr>
                <w:rFonts w:ascii="宋体" w:hAnsi="宋体" w:cs="宋体" w:eastAsia="宋体" w:hint="default"/>
                <w:sz w:val="21"/>
                <w:szCs w:val="21"/>
              </w:rPr>
              <w:t>；</w:t>
            </w:r>
          </w:p>
          <w:p>
            <w:pPr>
              <w:pStyle w:val="TableParagraph"/>
              <w:spacing w:line="240" w:lineRule="auto" w:before="5"/>
              <w:ind w:left="4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月，依米康使用配套募集资金净额单方面向江苏亿金增资，其注册资本从</w:t>
            </w:r>
            <w:r>
              <w:rPr>
                <w:rFonts w:ascii="Times New Roman" w:hAnsi="Times New Roman" w:cs="Times New Roman" w:eastAsia="Times New Roman" w:hint="default"/>
                <w:spacing w:val="-1"/>
                <w:sz w:val="21"/>
                <w:szCs w:val="21"/>
              </w:rPr>
              <w:t>5,990</w:t>
            </w:r>
          </w:p>
          <w:p>
            <w:pPr>
              <w:pStyle w:val="TableParagraph"/>
              <w:spacing w:line="240" w:lineRule="auto" w:before="20"/>
              <w:ind w:left="2" w:right="0"/>
              <w:jc w:val="left"/>
              <w:rPr>
                <w:rFonts w:ascii="宋体" w:hAnsi="宋体" w:cs="宋体" w:eastAsia="宋体" w:hint="default"/>
                <w:sz w:val="21"/>
                <w:szCs w:val="21"/>
              </w:rPr>
            </w:pPr>
            <w:r>
              <w:rPr>
                <w:rFonts w:ascii="宋体" w:hAnsi="宋体" w:cs="宋体" w:eastAsia="宋体" w:hint="default"/>
                <w:sz w:val="21"/>
                <w:szCs w:val="21"/>
              </w:rPr>
              <w:t>万元增加至</w:t>
            </w:r>
            <w:r>
              <w:rPr>
                <w:rFonts w:ascii="Times New Roman" w:hAnsi="Times New Roman" w:cs="Times New Roman" w:eastAsia="Times New Roman" w:hint="default"/>
                <w:sz w:val="21"/>
                <w:szCs w:val="21"/>
              </w:rPr>
              <w:t>6,904</w:t>
            </w:r>
            <w:r>
              <w:rPr>
                <w:rFonts w:ascii="宋体" w:hAnsi="宋体" w:cs="宋体" w:eastAsia="宋体" w:hint="default"/>
                <w:sz w:val="21"/>
                <w:szCs w:val="21"/>
              </w:rPr>
              <w:t>万元，依米康持有江苏亿金的股份比例增至</w:t>
            </w:r>
            <w:r>
              <w:rPr>
                <w:rFonts w:ascii="Times New Roman" w:hAnsi="Times New Roman" w:cs="Times New Roman" w:eastAsia="Times New Roman" w:hint="default"/>
                <w:sz w:val="21"/>
                <w:szCs w:val="21"/>
              </w:rPr>
              <w:t>59.22%</w:t>
            </w:r>
            <w:r>
              <w:rPr>
                <w:rFonts w:ascii="宋体" w:hAnsi="宋体" w:cs="宋体" w:eastAsia="宋体" w:hint="default"/>
                <w:sz w:val="21"/>
                <w:szCs w:val="21"/>
              </w:rPr>
              <w:t>；</w:t>
            </w:r>
          </w:p>
          <w:p>
            <w:pPr>
              <w:pStyle w:val="TableParagraph"/>
              <w:spacing w:line="256" w:lineRule="auto" w:before="21"/>
              <w:ind w:left="2" w:right="1"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月，依米康与江苏亿金原主要股东共同对江苏亿金增资，其注册资本从</w:t>
            </w:r>
            <w:r>
              <w:rPr>
                <w:rFonts w:ascii="Times New Roman" w:hAnsi="Times New Roman" w:cs="Times New Roman" w:eastAsia="Times New Roman" w:hint="default"/>
                <w:spacing w:val="-1"/>
                <w:sz w:val="21"/>
                <w:szCs w:val="21"/>
              </w:rPr>
              <w:t>6,904</w:t>
            </w:r>
            <w:r>
              <w:rPr>
                <w:rFonts w:ascii="宋体" w:hAnsi="宋体" w:cs="宋体" w:eastAsia="宋体" w:hint="default"/>
                <w:spacing w:val="-1"/>
                <w:sz w:val="21"/>
                <w:szCs w:val="21"/>
              </w:rPr>
              <w:t>万</w:t>
            </w:r>
            <w:r>
              <w:rPr>
                <w:rFonts w:ascii="宋体" w:hAnsi="宋体" w:cs="宋体" w:eastAsia="宋体" w:hint="default"/>
                <w:sz w:val="21"/>
                <w:szCs w:val="21"/>
              </w:rPr>
              <w:t> 元增至</w:t>
            </w:r>
            <w:r>
              <w:rPr>
                <w:rFonts w:ascii="Times New Roman" w:hAnsi="Times New Roman" w:cs="Times New Roman" w:eastAsia="Times New Roman" w:hint="default"/>
                <w:sz w:val="21"/>
                <w:szCs w:val="21"/>
              </w:rPr>
              <w:t>10,000</w:t>
            </w:r>
            <w:r>
              <w:rPr>
                <w:rFonts w:ascii="宋体" w:hAnsi="宋体" w:cs="宋体" w:eastAsia="宋体" w:hint="default"/>
                <w:sz w:val="21"/>
                <w:szCs w:val="21"/>
              </w:rPr>
              <w:t>万元，依米康持股比例仍然为</w:t>
            </w:r>
            <w:r>
              <w:rPr>
                <w:rFonts w:ascii="Times New Roman" w:hAnsi="Times New Roman" w:cs="Times New Roman" w:eastAsia="Times New Roman" w:hint="default"/>
                <w:sz w:val="21"/>
                <w:szCs w:val="21"/>
              </w:rPr>
              <w:t>59.22%</w:t>
            </w:r>
            <w:r>
              <w:rPr>
                <w:rFonts w:ascii="宋体" w:hAnsi="宋体" w:cs="宋体" w:eastAsia="宋体" w:hint="default"/>
                <w:sz w:val="21"/>
                <w:szCs w:val="21"/>
              </w:rPr>
              <w:t>。</w:t>
            </w:r>
          </w:p>
        </w:tc>
      </w:tr>
    </w:tbl>
    <w:p>
      <w:pPr>
        <w:pStyle w:val="BodyText"/>
        <w:spacing w:line="338" w:lineRule="auto" w:before="40"/>
        <w:ind w:left="1440" w:right="1426" w:firstLine="480"/>
        <w:jc w:val="left"/>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日，江苏亿金总资产</w:t>
      </w:r>
      <w:r>
        <w:rPr>
          <w:rFonts w:ascii="Times New Roman" w:hAnsi="Times New Roman" w:cs="Times New Roman" w:eastAsia="Times New Roman" w:hint="default"/>
          <w:spacing w:val="-2"/>
        </w:rPr>
        <w:t>65,309.04</w:t>
      </w:r>
      <w:r>
        <w:rPr>
          <w:spacing w:val="-2"/>
        </w:rPr>
        <w:t>万元，净资产</w:t>
      </w:r>
      <w:r>
        <w:rPr>
          <w:rFonts w:ascii="Times New Roman" w:hAnsi="Times New Roman" w:cs="Times New Roman" w:eastAsia="Times New Roman" w:hint="default"/>
          <w:spacing w:val="-2"/>
        </w:rPr>
        <w:t>26,765.22</w:t>
      </w:r>
      <w:r>
        <w:rPr>
          <w:spacing w:val="-2"/>
        </w:rPr>
        <w:t>万元。报告</w:t>
      </w:r>
      <w:r>
        <w:rPr/>
        <w:t> 期内，江苏亿金实现营业收入</w:t>
      </w:r>
      <w:r>
        <w:rPr>
          <w:rFonts w:ascii="Times New Roman" w:hAnsi="Times New Roman" w:cs="Times New Roman" w:eastAsia="Times New Roman" w:hint="default"/>
        </w:rPr>
        <w:t>36,950.92</w:t>
      </w:r>
      <w:r>
        <w:rPr/>
        <w:t>万元，净利润</w:t>
      </w:r>
      <w:r>
        <w:rPr>
          <w:rFonts w:ascii="Times New Roman" w:hAnsi="Times New Roman" w:cs="Times New Roman" w:eastAsia="Times New Roman" w:hint="default"/>
        </w:rPr>
        <w:t>3,560.17</w:t>
      </w:r>
      <w:r>
        <w:rPr/>
        <w:t>万元。</w:t>
      </w:r>
    </w:p>
    <w:p>
      <w:pPr>
        <w:pStyle w:val="BodyText"/>
        <w:spacing w:line="240" w:lineRule="auto" w:before="27"/>
        <w:ind w:left="1800" w:right="1033"/>
        <w:jc w:val="left"/>
      </w:pPr>
      <w:r>
        <w:rPr/>
        <w:t>（</w:t>
      </w:r>
      <w:r>
        <w:rPr>
          <w:rFonts w:ascii="Times New Roman" w:hAnsi="Times New Roman" w:cs="Times New Roman" w:eastAsia="Times New Roman" w:hint="default"/>
        </w:rPr>
        <w:t>8</w:t>
      </w:r>
      <w:r>
        <w:rPr/>
        <w:t>）上海国富光启云计算科技股份有限公司</w:t>
      </w:r>
    </w:p>
    <w:p>
      <w:pPr>
        <w:spacing w:line="240" w:lineRule="auto" w:before="4"/>
        <w:rPr>
          <w:rFonts w:ascii="宋体" w:hAnsi="宋体" w:cs="宋体" w:eastAsia="宋体" w:hint="default"/>
          <w:sz w:val="7"/>
          <w:szCs w:val="7"/>
        </w:rPr>
      </w:pPr>
    </w:p>
    <w:tbl>
      <w:tblPr>
        <w:tblW w:w="0" w:type="auto"/>
        <w:jc w:val="left"/>
        <w:tblInd w:w="1432" w:type="dxa"/>
        <w:tblLayout w:type="fixed"/>
        <w:tblCellMar>
          <w:top w:w="0" w:type="dxa"/>
          <w:left w:w="0" w:type="dxa"/>
          <w:bottom w:w="0" w:type="dxa"/>
          <w:right w:w="0" w:type="dxa"/>
        </w:tblCellMar>
        <w:tblLook w:val="01E0"/>
      </w:tblPr>
      <w:tblGrid>
        <w:gridCol w:w="1560"/>
        <w:gridCol w:w="8647"/>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注册号</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9131000059640964XP</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宋体" w:hAnsi="宋体" w:cs="宋体" w:eastAsia="宋体" w:hint="default"/>
                <w:sz w:val="21"/>
                <w:szCs w:val="21"/>
              </w:rPr>
              <w:t>上海市黄浦区延安东路</w:t>
            </w:r>
            <w:r>
              <w:rPr>
                <w:rFonts w:ascii="Times New Roman" w:hAnsi="Times New Roman" w:cs="Times New Roman" w:eastAsia="Times New Roman" w:hint="default"/>
                <w:sz w:val="21"/>
                <w:szCs w:val="21"/>
              </w:rPr>
              <w:t>45</w:t>
            </w:r>
            <w:r>
              <w:rPr>
                <w:rFonts w:ascii="宋体" w:hAnsi="宋体" w:cs="宋体" w:eastAsia="宋体" w:hint="default"/>
                <w:sz w:val="21"/>
                <w:szCs w:val="21"/>
              </w:rPr>
              <w:t>号裙楼</w:t>
            </w:r>
            <w:r>
              <w:rPr>
                <w:rFonts w:ascii="Times New Roman" w:hAnsi="Times New Roman" w:cs="Times New Roman" w:eastAsia="Times New Roman" w:hint="default"/>
                <w:sz w:val="21"/>
                <w:szCs w:val="21"/>
              </w:rPr>
              <w:t>3</w:t>
            </w:r>
            <w:r>
              <w:rPr>
                <w:rFonts w:ascii="宋体" w:hAnsi="宋体" w:cs="宋体" w:eastAsia="宋体" w:hint="default"/>
                <w:sz w:val="21"/>
                <w:szCs w:val="21"/>
              </w:rPr>
              <w:t>层</w:t>
            </w:r>
            <w:r>
              <w:rPr>
                <w:rFonts w:ascii="Times New Roman" w:hAnsi="Times New Roman" w:cs="Times New Roman" w:eastAsia="Times New Roman" w:hint="default"/>
                <w:sz w:val="21"/>
                <w:szCs w:val="21"/>
              </w:rPr>
              <w:t>301</w:t>
            </w:r>
            <w:r>
              <w:rPr>
                <w:rFonts w:ascii="宋体" w:hAnsi="宋体" w:cs="宋体" w:eastAsia="宋体" w:hint="default"/>
                <w:sz w:val="21"/>
                <w:szCs w:val="21"/>
              </w:rPr>
              <w:t>室</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樊艺</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9206.67</w:t>
            </w:r>
            <w:r>
              <w:rPr>
                <w:rFonts w:ascii="宋体" w:hAnsi="宋体" w:cs="宋体" w:eastAsia="宋体" w:hint="default"/>
                <w:sz w:val="21"/>
                <w:szCs w:val="21"/>
              </w:rPr>
              <w:t>万元</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股份有限公司（非上市）</w:t>
            </w:r>
          </w:p>
        </w:tc>
      </w:tr>
      <w:tr>
        <w:trPr>
          <w:trHeight w:val="1283"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8"/>
              <w:jc w:val="both"/>
              <w:rPr>
                <w:rFonts w:ascii="宋体" w:hAnsi="宋体" w:cs="宋体" w:eastAsia="宋体" w:hint="default"/>
                <w:sz w:val="21"/>
                <w:szCs w:val="21"/>
              </w:rPr>
            </w:pPr>
            <w:r>
              <w:rPr>
                <w:rFonts w:ascii="宋体" w:hAnsi="宋体" w:cs="宋体" w:eastAsia="宋体" w:hint="default"/>
                <w:sz w:val="21"/>
                <w:szCs w:val="21"/>
              </w:rPr>
              <w:t>在云计算专业科技领域内从事技术开发、技术转让、技术服务、技术咨询，计算机软件开发， 云软件服务、云平台服务、云基础设施服务、计算机网络布线工程、弱电工程设计、施工、安 装，计算机软硬件（除计算机信息系统专用产品）、通风设备及配件、电子设备、监控设备销 售。（涉及行政许可的，凭许可证经营）</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0.65%</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0.65%</w:t>
            </w:r>
          </w:p>
        </w:tc>
      </w:tr>
      <w:tr>
        <w:trPr>
          <w:trHeight w:val="346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c>
          <w:tcPr>
            <w:tcW w:w="8647"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firstLine="315"/>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、依米康</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月出资</w:t>
            </w:r>
            <w:r>
              <w:rPr>
                <w:rFonts w:ascii="Times New Roman" w:hAnsi="Times New Roman" w:cs="Times New Roman" w:eastAsia="Times New Roman" w:hint="default"/>
                <w:sz w:val="21"/>
                <w:szCs w:val="21"/>
              </w:rPr>
              <w:t>900</w:t>
            </w:r>
            <w:r>
              <w:rPr>
                <w:rFonts w:ascii="宋体" w:hAnsi="宋体" w:cs="宋体" w:eastAsia="宋体" w:hint="default"/>
                <w:sz w:val="21"/>
                <w:szCs w:val="21"/>
              </w:rPr>
              <w:t>万元与其他股东共同参与对上海国富光启的增资，</w:t>
            </w:r>
            <w:r>
              <w:rPr>
                <w:rFonts w:ascii="宋体" w:hAnsi="宋体" w:cs="宋体" w:eastAsia="宋体" w:hint="default"/>
                <w:spacing w:val="-81"/>
                <w:sz w:val="21"/>
                <w:szCs w:val="21"/>
              </w:rPr>
              <w:t> </w:t>
            </w:r>
            <w:r>
              <w:rPr>
                <w:rFonts w:ascii="宋体" w:hAnsi="宋体" w:cs="宋体" w:eastAsia="宋体" w:hint="default"/>
                <w:sz w:val="21"/>
                <w:szCs w:val="21"/>
              </w:rPr>
              <w:t>上海国富光</w:t>
            </w:r>
            <w:r>
              <w:rPr>
                <w:rFonts w:ascii="宋体" w:hAnsi="宋体" w:cs="宋体" w:eastAsia="宋体" w:hint="default"/>
                <w:sz w:val="21"/>
                <w:szCs w:val="21"/>
              </w:rPr>
              <w:t> 启已于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日完成新增股权在上海股权托管交易中心的登记手续，其注册资本从</w:t>
            </w:r>
            <w:r>
              <w:rPr>
                <w:rFonts w:ascii="Times New Roman" w:hAnsi="Times New Roman" w:cs="Times New Roman" w:eastAsia="Times New Roman" w:hint="default"/>
                <w:sz w:val="21"/>
                <w:szCs w:val="21"/>
              </w:rPr>
              <w:t>8,600 </w:t>
            </w:r>
            <w:r>
              <w:rPr>
                <w:rFonts w:ascii="宋体" w:hAnsi="宋体" w:cs="宋体" w:eastAsia="宋体" w:hint="default"/>
                <w:sz w:val="21"/>
                <w:szCs w:val="21"/>
              </w:rPr>
              <w:t>万元增资</w:t>
            </w:r>
            <w:r>
              <w:rPr>
                <w:rFonts w:ascii="Times New Roman" w:hAnsi="Times New Roman" w:cs="Times New Roman" w:eastAsia="Times New Roman" w:hint="default"/>
                <w:sz w:val="21"/>
                <w:szCs w:val="21"/>
              </w:rPr>
              <w:t>8,780</w:t>
            </w:r>
            <w:r>
              <w:rPr>
                <w:rFonts w:ascii="宋体" w:hAnsi="宋体" w:cs="宋体" w:eastAsia="宋体" w:hint="default"/>
                <w:sz w:val="21"/>
                <w:szCs w:val="21"/>
              </w:rPr>
              <w:t>万元，其中依米康持有其</w:t>
            </w:r>
            <w:r>
              <w:rPr>
                <w:rFonts w:ascii="Times New Roman" w:hAnsi="Times New Roman" w:cs="Times New Roman" w:eastAsia="Times New Roman" w:hint="default"/>
                <w:sz w:val="21"/>
                <w:szCs w:val="21"/>
              </w:rPr>
              <w:t>60</w:t>
            </w:r>
            <w:r>
              <w:rPr>
                <w:rFonts w:ascii="宋体" w:hAnsi="宋体" w:cs="宋体" w:eastAsia="宋体" w:hint="default"/>
                <w:sz w:val="21"/>
                <w:szCs w:val="21"/>
              </w:rPr>
              <w:t>万股股份，持股比例</w:t>
            </w:r>
            <w:r>
              <w:rPr>
                <w:rFonts w:ascii="Times New Roman" w:hAnsi="Times New Roman" w:cs="Times New Roman" w:eastAsia="Times New Roman" w:hint="default"/>
                <w:sz w:val="21"/>
                <w:szCs w:val="21"/>
              </w:rPr>
              <w:t>0.683%</w:t>
            </w:r>
            <w:r>
              <w:rPr>
                <w:rFonts w:ascii="宋体" w:hAnsi="宋体" w:cs="宋体" w:eastAsia="宋体" w:hint="default"/>
                <w:sz w:val="21"/>
                <w:szCs w:val="21"/>
              </w:rPr>
              <w:t>。</w:t>
            </w:r>
          </w:p>
          <w:p>
            <w:pPr>
              <w:pStyle w:val="TableParagraph"/>
              <w:spacing w:line="261" w:lineRule="auto" w:before="5"/>
              <w:ind w:left="2" w:right="1" w:firstLine="315"/>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、经上海国富光启</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日召开的股东大会审议，同意向郭峰先生、胡磊先生、陆留</w:t>
            </w:r>
            <w:r>
              <w:rPr>
                <w:rFonts w:ascii="宋体" w:hAnsi="宋体" w:cs="宋体" w:eastAsia="宋体" w:hint="default"/>
                <w:sz w:val="21"/>
                <w:szCs w:val="21"/>
              </w:rPr>
              <w:t> 福先生、吴培芳女士和上海发弘互联网科技有限公司定向发行</w:t>
            </w:r>
            <w:r>
              <w:rPr>
                <w:rFonts w:ascii="Times New Roman" w:hAnsi="Times New Roman" w:cs="Times New Roman" w:eastAsia="Times New Roman" w:hint="default"/>
                <w:sz w:val="21"/>
                <w:szCs w:val="21"/>
              </w:rPr>
              <w:t>426.67</w:t>
            </w:r>
            <w:r>
              <w:rPr>
                <w:rFonts w:ascii="宋体" w:hAnsi="宋体" w:cs="宋体" w:eastAsia="宋体" w:hint="default"/>
                <w:sz w:val="21"/>
                <w:szCs w:val="21"/>
              </w:rPr>
              <w:t>万股（每股价格不低于</w:t>
            </w:r>
            <w:r>
              <w:rPr>
                <w:rFonts w:ascii="Times New Roman" w:hAnsi="Times New Roman" w:cs="Times New Roman" w:eastAsia="Times New Roman" w:hint="default"/>
                <w:sz w:val="21"/>
                <w:szCs w:val="21"/>
              </w:rPr>
              <w:t>15 </w:t>
            </w:r>
            <w:r>
              <w:rPr>
                <w:rFonts w:ascii="宋体" w:hAnsi="宋体" w:cs="宋体" w:eastAsia="宋体" w:hint="default"/>
                <w:sz w:val="21"/>
                <w:szCs w:val="21"/>
              </w:rPr>
              <w:t>元）；公司股本从</w:t>
            </w:r>
            <w:r>
              <w:rPr>
                <w:rFonts w:ascii="Times New Roman" w:hAnsi="Times New Roman" w:cs="Times New Roman" w:eastAsia="Times New Roman" w:hint="default"/>
                <w:sz w:val="21"/>
                <w:szCs w:val="21"/>
              </w:rPr>
              <w:t>8,780</w:t>
            </w:r>
            <w:r>
              <w:rPr>
                <w:rFonts w:ascii="宋体" w:hAnsi="宋体" w:cs="宋体" w:eastAsia="宋体" w:hint="default"/>
                <w:sz w:val="21"/>
                <w:szCs w:val="21"/>
              </w:rPr>
              <w:t>万元增至</w:t>
            </w:r>
            <w:r>
              <w:rPr>
                <w:rFonts w:ascii="Times New Roman" w:hAnsi="Times New Roman" w:cs="Times New Roman" w:eastAsia="Times New Roman" w:hint="default"/>
                <w:sz w:val="21"/>
                <w:szCs w:val="21"/>
              </w:rPr>
              <w:t>9206.67</w:t>
            </w:r>
            <w:r>
              <w:rPr>
                <w:rFonts w:ascii="宋体" w:hAnsi="宋体" w:cs="宋体" w:eastAsia="宋体" w:hint="default"/>
                <w:sz w:val="21"/>
                <w:szCs w:val="21"/>
              </w:rPr>
              <w:t>万元，其中依米康持有</w:t>
            </w:r>
            <w:r>
              <w:rPr>
                <w:rFonts w:ascii="Times New Roman" w:hAnsi="Times New Roman" w:cs="Times New Roman" w:eastAsia="Times New Roman" w:hint="default"/>
                <w:sz w:val="21"/>
                <w:szCs w:val="21"/>
              </w:rPr>
              <w:t>60</w:t>
            </w:r>
            <w:r>
              <w:rPr>
                <w:rFonts w:ascii="宋体" w:hAnsi="宋体" w:cs="宋体" w:eastAsia="宋体" w:hint="default"/>
                <w:sz w:val="21"/>
                <w:szCs w:val="21"/>
              </w:rPr>
              <w:t>万股股份，持股比例</w:t>
            </w:r>
            <w:r>
              <w:rPr>
                <w:rFonts w:ascii="Times New Roman" w:hAnsi="Times New Roman" w:cs="Times New Roman" w:eastAsia="Times New Roman" w:hint="default"/>
                <w:sz w:val="21"/>
                <w:szCs w:val="21"/>
              </w:rPr>
              <w:t>0.65%</w:t>
            </w:r>
            <w:r>
              <w:rPr>
                <w:rFonts w:ascii="宋体" w:hAnsi="宋体" w:cs="宋体" w:eastAsia="宋体" w:hint="default"/>
                <w:sz w:val="21"/>
                <w:szCs w:val="21"/>
              </w:rPr>
              <w:t>。 截至本报告期末，本次定增事项已向上海市工商行政管理局备案，但未办妥上海股权托管交易 中心申报定向增发等相关手续。</w:t>
            </w:r>
          </w:p>
          <w:p>
            <w:pPr>
              <w:pStyle w:val="TableParagraph"/>
              <w:spacing w:line="256" w:lineRule="auto" w:before="18"/>
              <w:ind w:left="2" w:right="17" w:firstLine="315"/>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、经上海国富光启</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日召开的股东大会审议，同意向深圳市赛为智能股份有限 公司定向发行</w:t>
            </w:r>
            <w:r>
              <w:rPr>
                <w:rFonts w:ascii="Times New Roman" w:hAnsi="Times New Roman" w:cs="Times New Roman" w:eastAsia="Times New Roman" w:hint="default"/>
                <w:sz w:val="21"/>
                <w:szCs w:val="21"/>
              </w:rPr>
              <w:t>1022.96</w:t>
            </w:r>
            <w:r>
              <w:rPr>
                <w:rFonts w:ascii="宋体" w:hAnsi="宋体" w:cs="宋体" w:eastAsia="宋体" w:hint="default"/>
                <w:sz w:val="21"/>
                <w:szCs w:val="21"/>
              </w:rPr>
              <w:t>万股（每股价格不低于</w:t>
            </w:r>
            <w:r>
              <w:rPr>
                <w:rFonts w:ascii="Times New Roman" w:hAnsi="Times New Roman" w:cs="Times New Roman" w:eastAsia="Times New Roman" w:hint="default"/>
                <w:sz w:val="21"/>
                <w:szCs w:val="21"/>
              </w:rPr>
              <w:t>13.5</w:t>
            </w:r>
            <w:r>
              <w:rPr>
                <w:rFonts w:ascii="宋体" w:hAnsi="宋体" w:cs="宋体" w:eastAsia="宋体" w:hint="default"/>
                <w:sz w:val="21"/>
                <w:szCs w:val="21"/>
              </w:rPr>
              <w:t>元）；公司股本从</w:t>
            </w:r>
            <w:r>
              <w:rPr>
                <w:rFonts w:ascii="Times New Roman" w:hAnsi="Times New Roman" w:cs="Times New Roman" w:eastAsia="Times New Roman" w:hint="default"/>
                <w:sz w:val="21"/>
                <w:szCs w:val="21"/>
              </w:rPr>
              <w:t>9206.67</w:t>
            </w:r>
            <w:r>
              <w:rPr>
                <w:rFonts w:ascii="宋体" w:hAnsi="宋体" w:cs="宋体" w:eastAsia="宋体" w:hint="default"/>
                <w:sz w:val="21"/>
                <w:szCs w:val="21"/>
              </w:rPr>
              <w:t>万元增至</w:t>
            </w:r>
            <w:r>
              <w:rPr>
                <w:rFonts w:ascii="Times New Roman" w:hAnsi="Times New Roman" w:cs="Times New Roman" w:eastAsia="Times New Roman" w:hint="default"/>
                <w:sz w:val="21"/>
                <w:szCs w:val="21"/>
              </w:rPr>
              <w:t>10229.63</w:t>
            </w:r>
            <w:r>
              <w:rPr>
                <w:rFonts w:ascii="宋体" w:hAnsi="宋体" w:cs="宋体" w:eastAsia="宋体" w:hint="default"/>
                <w:sz w:val="21"/>
                <w:szCs w:val="21"/>
              </w:rPr>
              <w:t>万 元。截至本报告期末，本次定增事项还未办妥上海市工商行政管理局备案及向上海股权托管交</w:t>
            </w:r>
          </w:p>
        </w:tc>
      </w:tr>
    </w:tbl>
    <w:p>
      <w:pPr>
        <w:spacing w:after="0" w:line="256" w:lineRule="auto"/>
        <w:jc w:val="both"/>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384" w:lineRule="exact"/>
        <w:ind w:left="140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512.6pt;height:19.2pt;mso-position-horizontal-relative:char;mso-position-vertical-relative:line" coordorigin="0,0" coordsize="10252,384">
            <v:group style="position:absolute;left:7;top:7;width:9088;height:2" coordorigin="7,7" coordsize="9088,2">
              <v:shape style="position:absolute;left:7;top:7;width:9088;height:2" coordorigin="7,7" coordsize="9088,0" path="m7,7l9095,7e" filled="false" stroked="true" strokeweight=".72pt" strokecolor="#000000">
                <v:path arrowok="t"/>
              </v:shape>
            </v:group>
            <v:group style="position:absolute;left:44;top:22;width:1546;height:2" coordorigin="44,22" coordsize="1546,2">
              <v:shape style="position:absolute;left:44;top:22;width:1546;height:2" coordorigin="44,22" coordsize="1546,0" path="m44,22l1590,22e" filled="false" stroked="true" strokeweight=".72pt" strokecolor="#000000">
                <v:path arrowok="t"/>
              </v:shape>
            </v:group>
            <v:group style="position:absolute;left:1605;top:22;width:8633;height:2" coordorigin="1605,22" coordsize="8633,2">
              <v:shape style="position:absolute;left:1605;top:22;width:8633;height:2" coordorigin="1605,22" coordsize="8633,0" path="m1605,22l10238,22e" filled="false" stroked="true" strokeweight=".72pt" strokecolor="#000000">
                <v:path arrowok="t"/>
              </v:shape>
            </v:group>
            <v:group style="position:absolute;left:37;top:14;width:2;height:363" coordorigin="37,14" coordsize="2,363">
              <v:shape style="position:absolute;left:37;top:14;width:2;height:363" coordorigin="37,14" coordsize="0,363" path="m37,14l37,377e" filled="false" stroked="true" strokeweight=".72pt" strokecolor="#000000">
                <v:path arrowok="t"/>
              </v:shape>
            </v:group>
            <v:group style="position:absolute;left:44;top:370;width:1546;height:2" coordorigin="44,370" coordsize="1546,2">
              <v:shape style="position:absolute;left:44;top:370;width:1546;height:2" coordorigin="44,370" coordsize="1546,0" path="m44,370l1590,370e" filled="false" stroked="true" strokeweight=".72pt" strokecolor="#000000">
                <v:path arrowok="t"/>
              </v:shape>
            </v:group>
            <v:group style="position:absolute;left:1598;top:14;width:2;height:363" coordorigin="1598,14" coordsize="2,363">
              <v:shape style="position:absolute;left:1598;top:14;width:2;height:363" coordorigin="1598,14" coordsize="0,363" path="m1598,14l1598,377e" filled="false" stroked="true" strokeweight=".72pt" strokecolor="#000000">
                <v:path arrowok="t"/>
              </v:shape>
            </v:group>
            <v:group style="position:absolute;left:1605;top:370;width:8633;height:2" coordorigin="1605,370" coordsize="8633,2">
              <v:shape style="position:absolute;left:1605;top:370;width:8633;height:2" coordorigin="1605,370" coordsize="8633,0" path="m1605,370l10238,370e" filled="false" stroked="true" strokeweight=".72pt" strokecolor="#000000">
                <v:path arrowok="t"/>
              </v:shape>
            </v:group>
            <v:group style="position:absolute;left:10245;top:14;width:2;height:363" coordorigin="10245,14" coordsize="2,363">
              <v:shape style="position:absolute;left:10245;top:14;width:2;height:363" coordorigin="10245,14" coordsize="0,363" path="m10245,14l10245,377e" filled="false" stroked="true" strokeweight=".72pt" strokecolor="#000000">
                <v:path arrowok="t"/>
              </v:shape>
              <v:shape style="position:absolute;left:1598;top:14;width:8648;height:356" type="#_x0000_t202" filled="false" stroked="false">
                <v:textbox inset="0,0,0,0">
                  <w:txbxContent>
                    <w:p>
                      <w:pPr>
                        <w:spacing w:before="10"/>
                        <w:ind w:left="9" w:right="0" w:firstLine="0"/>
                        <w:jc w:val="left"/>
                        <w:rPr>
                          <w:rFonts w:ascii="宋体" w:hAnsi="宋体" w:cs="宋体" w:eastAsia="宋体" w:hint="default"/>
                          <w:sz w:val="21"/>
                          <w:szCs w:val="21"/>
                        </w:rPr>
                      </w:pPr>
                      <w:r>
                        <w:rPr>
                          <w:rFonts w:ascii="宋体" w:hAnsi="宋体" w:cs="宋体" w:eastAsia="宋体" w:hint="default"/>
                          <w:sz w:val="21"/>
                          <w:szCs w:val="21"/>
                        </w:rPr>
                        <w:t>易中心申报定向增发等相关手续。</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9"/>
          <w:szCs w:val="9"/>
        </w:rPr>
      </w:pPr>
    </w:p>
    <w:p>
      <w:pPr>
        <w:pStyle w:val="BodyText"/>
        <w:spacing w:line="338" w:lineRule="auto" w:before="26"/>
        <w:ind w:left="1440" w:right="1326" w:firstLine="480"/>
        <w:jc w:val="left"/>
        <w:rPr>
          <w:rFonts w:ascii="Times New Roman" w:hAnsi="Times New Roman" w:cs="Times New Roman" w:eastAsia="Times New Roman" w:hint="default"/>
        </w:rPr>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日，上海国富光启总资产</w:t>
      </w:r>
      <w:r>
        <w:rPr>
          <w:rFonts w:ascii="Times New Roman" w:hAnsi="Times New Roman" w:cs="Times New Roman" w:eastAsia="Times New Roman" w:hint="default"/>
        </w:rPr>
        <w:t>46,884.14</w:t>
      </w:r>
      <w:r>
        <w:rPr/>
        <w:t>万元，净资产</w:t>
      </w:r>
      <w:r>
        <w:rPr>
          <w:rFonts w:ascii="Times New Roman" w:hAnsi="Times New Roman" w:cs="Times New Roman" w:eastAsia="Times New Roman" w:hint="default"/>
        </w:rPr>
        <w:t>26,402.95</w:t>
      </w:r>
      <w:r>
        <w:rPr/>
        <w:t>万元。 报告期内，上海国富光启实现营业收入</w:t>
      </w:r>
      <w:r>
        <w:rPr>
          <w:rFonts w:ascii="Times New Roman" w:hAnsi="Times New Roman" w:cs="Times New Roman" w:eastAsia="Times New Roman" w:hint="default"/>
        </w:rPr>
        <w:t>4,165.44</w:t>
      </w:r>
      <w:r>
        <w:rPr/>
        <w:t>万元，净利润</w:t>
      </w:r>
      <w:r>
        <w:rPr>
          <w:rFonts w:ascii="Times New Roman" w:hAnsi="Times New Roman" w:cs="Times New Roman" w:eastAsia="Times New Roman" w:hint="default"/>
        </w:rPr>
        <w:t>628.93</w:t>
      </w:r>
      <w:r>
        <w:rPr/>
        <w:t>万元。</w:t>
      </w:r>
      <w:r>
        <w:rPr>
          <w:rFonts w:ascii="Times New Roman" w:hAnsi="Times New Roman" w:cs="Times New Roman" w:eastAsia="Times New Roman" w:hint="default"/>
        </w:rPr>
        <w:t>(</w:t>
      </w:r>
      <w:r>
        <w:rPr/>
        <w:t>以上数据为 上海国富光启提供，未经审计</w:t>
      </w:r>
      <w:r>
        <w:rPr>
          <w:rFonts w:ascii="Times New Roman" w:hAnsi="Times New Roman" w:cs="Times New Roman" w:eastAsia="Times New Roman" w:hint="default"/>
        </w:rPr>
        <w:t>)</w:t>
      </w:r>
    </w:p>
    <w:p>
      <w:pPr>
        <w:pStyle w:val="BodyText"/>
        <w:spacing w:line="240" w:lineRule="auto" w:before="67"/>
        <w:ind w:left="1920" w:right="1033"/>
        <w:jc w:val="left"/>
      </w:pPr>
      <w:r>
        <w:rPr/>
        <w:t>（</w:t>
      </w:r>
      <w:r>
        <w:rPr>
          <w:rFonts w:ascii="Times New Roman" w:hAnsi="Times New Roman" w:cs="Times New Roman" w:eastAsia="Times New Roman" w:hint="default"/>
        </w:rPr>
        <w:t>9</w:t>
      </w:r>
      <w:r>
        <w:rPr/>
        <w:t>）四川康为嘉信息技术有限公司</w:t>
      </w:r>
    </w:p>
    <w:tbl>
      <w:tblPr>
        <w:tblW w:w="0" w:type="auto"/>
        <w:jc w:val="left"/>
        <w:tblInd w:w="1432" w:type="dxa"/>
        <w:tblLayout w:type="fixed"/>
        <w:tblCellMar>
          <w:top w:w="0" w:type="dxa"/>
          <w:left w:w="0" w:type="dxa"/>
          <w:bottom w:w="0" w:type="dxa"/>
          <w:right w:w="0" w:type="dxa"/>
        </w:tblCellMar>
        <w:tblLook w:val="01E0"/>
      </w:tblPr>
      <w:tblGrid>
        <w:gridCol w:w="1419"/>
        <w:gridCol w:w="8789"/>
      </w:tblGrid>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注册号</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510109000545129</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1"/>
                <w:szCs w:val="21"/>
              </w:rPr>
            </w:pPr>
            <w:r>
              <w:rPr>
                <w:rFonts w:ascii="宋体" w:hAnsi="宋体" w:cs="宋体" w:eastAsia="宋体" w:hint="default"/>
                <w:sz w:val="21"/>
                <w:szCs w:val="21"/>
              </w:rPr>
              <w:t>成都高新区科园南二路</w:t>
            </w:r>
            <w:r>
              <w:rPr>
                <w:rFonts w:ascii="Times New Roman" w:hAnsi="Times New Roman" w:cs="Times New Roman" w:eastAsia="Times New Roman" w:hint="default"/>
                <w:sz w:val="21"/>
                <w:szCs w:val="21"/>
              </w:rPr>
              <w:t>2</w:t>
            </w:r>
            <w:r>
              <w:rPr>
                <w:rFonts w:ascii="宋体" w:hAnsi="宋体" w:cs="宋体" w:eastAsia="宋体" w:hint="default"/>
                <w:sz w:val="21"/>
                <w:szCs w:val="21"/>
              </w:rPr>
              <w:t>号</w:t>
            </w:r>
            <w:r>
              <w:rPr>
                <w:rFonts w:ascii="Times New Roman" w:hAnsi="Times New Roman" w:cs="Times New Roman" w:eastAsia="Times New Roman" w:hint="default"/>
                <w:sz w:val="21"/>
                <w:szCs w:val="21"/>
              </w:rPr>
              <w:t>2</w:t>
            </w:r>
            <w:r>
              <w:rPr>
                <w:rFonts w:ascii="宋体" w:hAnsi="宋体" w:cs="宋体" w:eastAsia="宋体" w:hint="default"/>
                <w:sz w:val="21"/>
                <w:szCs w:val="21"/>
              </w:rPr>
              <w:t>栋</w:t>
            </w:r>
            <w:r>
              <w:rPr>
                <w:rFonts w:ascii="Times New Roman" w:hAnsi="Times New Roman" w:cs="Times New Roman" w:eastAsia="Times New Roman" w:hint="default"/>
                <w:sz w:val="21"/>
                <w:szCs w:val="21"/>
              </w:rPr>
              <w:t>2</w:t>
            </w:r>
            <w:r>
              <w:rPr>
                <w:rFonts w:ascii="宋体" w:hAnsi="宋体" w:cs="宋体" w:eastAsia="宋体" w:hint="default"/>
                <w:sz w:val="21"/>
                <w:szCs w:val="21"/>
              </w:rPr>
              <w:t>层</w:t>
            </w:r>
            <w:r>
              <w:rPr>
                <w:rFonts w:ascii="Times New Roman" w:hAnsi="Times New Roman" w:cs="Times New Roman" w:eastAsia="Times New Roman" w:hint="default"/>
                <w:sz w:val="21"/>
                <w:szCs w:val="21"/>
              </w:rPr>
              <w:t>1</w:t>
            </w:r>
            <w:r>
              <w:rPr>
                <w:rFonts w:ascii="宋体" w:hAnsi="宋体" w:cs="宋体" w:eastAsia="宋体" w:hint="default"/>
                <w:sz w:val="21"/>
                <w:szCs w:val="21"/>
              </w:rPr>
              <w:t>室</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李志</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宋体" w:hAnsi="宋体" w:cs="宋体" w:eastAsia="宋体" w:hint="default"/>
                <w:sz w:val="21"/>
                <w:szCs w:val="21"/>
              </w:rPr>
              <w:t>万元</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其他有限责任公司</w:t>
            </w:r>
          </w:p>
        </w:tc>
      </w:tr>
      <w:tr>
        <w:trPr>
          <w:trHeight w:val="1284"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9"/>
              <w:jc w:val="both"/>
              <w:rPr>
                <w:rFonts w:ascii="宋体" w:hAnsi="宋体" w:cs="宋体" w:eastAsia="宋体" w:hint="default"/>
                <w:sz w:val="21"/>
                <w:szCs w:val="21"/>
              </w:rPr>
            </w:pPr>
            <w:r>
              <w:rPr>
                <w:rFonts w:ascii="宋体" w:hAnsi="宋体" w:cs="宋体" w:eastAsia="宋体" w:hint="default"/>
                <w:sz w:val="21"/>
                <w:szCs w:val="21"/>
              </w:rPr>
              <w:t>计算机系统集成、计算机软件开发并提供技术咨询、技术转让、技术服务；货物及技术进出口； </w:t>
            </w:r>
            <w:r>
              <w:rPr>
                <w:rFonts w:ascii="宋体" w:hAnsi="宋体" w:cs="宋体" w:eastAsia="宋体" w:hint="default"/>
                <w:spacing w:val="-2"/>
                <w:sz w:val="21"/>
                <w:szCs w:val="21"/>
              </w:rPr>
              <w:t>生产（另择场地经营）、销售通信设备（不含无线广播电视发射及卫星地面接收设备）、输配电</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及控制设备、制冷设备；制冷设备安装（国家有专项规定的除外）；销售计算机软硬件。（依法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须经批准的项目、经相关部门批准后方可开展经营活动）</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30%</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30%</w:t>
            </w:r>
          </w:p>
        </w:tc>
      </w:tr>
      <w:tr>
        <w:trPr>
          <w:trHeight w:val="972"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c>
          <w:tcPr>
            <w:tcW w:w="878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3"/>
              <w:jc w:val="both"/>
              <w:rPr>
                <w:rFonts w:ascii="宋体" w:hAnsi="宋体" w:cs="宋体" w:eastAsia="宋体" w:hint="default"/>
                <w:sz w:val="21"/>
                <w:szCs w:val="21"/>
              </w:rPr>
            </w:pPr>
            <w:r>
              <w:rPr>
                <w:rFonts w:ascii="宋体" w:hAnsi="宋体" w:cs="宋体" w:eastAsia="宋体" w:hint="default"/>
                <w:spacing w:val="-4"/>
                <w:sz w:val="21"/>
                <w:szCs w:val="21"/>
              </w:rPr>
              <w:t>公司已于</w:t>
            </w:r>
            <w:r>
              <w:rPr>
                <w:rFonts w:ascii="Times New Roman" w:hAnsi="Times New Roman" w:cs="Times New Roman" w:eastAsia="Times New Roman" w:hint="default"/>
                <w:spacing w:val="-4"/>
                <w:sz w:val="21"/>
                <w:szCs w:val="21"/>
              </w:rPr>
              <w:t>2015</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16</w:t>
            </w:r>
            <w:r>
              <w:rPr>
                <w:rFonts w:ascii="宋体" w:hAnsi="宋体" w:cs="宋体" w:eastAsia="宋体" w:hint="default"/>
                <w:spacing w:val="-4"/>
                <w:sz w:val="21"/>
                <w:szCs w:val="21"/>
              </w:rPr>
              <w:t>日与李志先生、深圳高鸿盛投资咨询有限公司签署《投资协议》，并于</w:t>
            </w:r>
            <w:r>
              <w:rPr>
                <w:rFonts w:ascii="Times New Roman" w:hAnsi="Times New Roman" w:cs="Times New Roman" w:eastAsia="Times New Roman" w:hint="default"/>
                <w:spacing w:val="-4"/>
                <w:sz w:val="21"/>
                <w:szCs w:val="21"/>
              </w:rPr>
              <w:t>2015</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日完成四川康为嘉的工商注册登记手续，截至本报告期末，各投资方均未完成注册资本 实缴。</w:t>
            </w:r>
          </w:p>
        </w:tc>
      </w:tr>
    </w:tbl>
    <w:p>
      <w:pPr>
        <w:pStyle w:val="BodyText"/>
        <w:spacing w:line="312" w:lineRule="exact"/>
        <w:ind w:left="1920" w:right="1033"/>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日，四川康为嘉还未实质性开展经营活动。</w:t>
      </w:r>
    </w:p>
    <w:p>
      <w:pPr>
        <w:spacing w:line="240" w:lineRule="auto" w:before="7"/>
        <w:rPr>
          <w:rFonts w:ascii="宋体" w:hAnsi="宋体" w:cs="宋体" w:eastAsia="宋体" w:hint="default"/>
          <w:sz w:val="21"/>
          <w:szCs w:val="21"/>
        </w:rPr>
      </w:pPr>
    </w:p>
    <w:p>
      <w:pPr>
        <w:pStyle w:val="Heading3"/>
        <w:spacing w:line="240" w:lineRule="auto"/>
        <w:ind w:left="1440" w:right="1033"/>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1440" w:right="1033"/>
        <w:jc w:val="left"/>
      </w:pPr>
      <w:r>
        <w:rPr/>
        <w:t>□ 适用 √不适用</w:t>
      </w:r>
    </w:p>
    <w:p>
      <w:pPr>
        <w:spacing w:line="240" w:lineRule="auto" w:before="0"/>
        <w:rPr>
          <w:rFonts w:ascii="宋体" w:hAnsi="宋体" w:cs="宋体" w:eastAsia="宋体" w:hint="default"/>
          <w:sz w:val="27"/>
          <w:szCs w:val="27"/>
        </w:rPr>
      </w:pPr>
    </w:p>
    <w:p>
      <w:pPr>
        <w:pStyle w:val="Heading3"/>
        <w:spacing w:line="610" w:lineRule="atLeast"/>
        <w:ind w:left="1801" w:right="6486" w:hanging="362"/>
        <w:jc w:val="left"/>
        <w:rPr>
          <w:b w:val="0"/>
          <w:bCs w:val="0"/>
        </w:rPr>
      </w:pPr>
      <w:bookmarkStart w:name="九、公司未来发展的展望" w:id="56"/>
      <w:bookmarkEnd w:id="56"/>
      <w:r>
        <w:rPr>
          <w:b w:val="0"/>
          <w:bCs w:val="0"/>
        </w:rPr>
      </w:r>
      <w:r>
        <w:rPr>
          <w:w w:val="95"/>
        </w:rPr>
        <w:t>九、公司未来发展的展望</w:t>
      </w:r>
      <w:r>
        <w:rPr>
          <w:spacing w:val="7"/>
          <w:w w:val="95"/>
        </w:rPr>
        <w:t> </w:t>
      </w:r>
      <w:r>
        <w:rPr>
          <w:rFonts w:ascii="宋体" w:hAnsi="宋体" w:cs="宋体" w:eastAsia="宋体" w:hint="default"/>
        </w:rPr>
        <w:t>1</w:t>
      </w:r>
      <w:r>
        <w:rPr/>
        <w:t>、行业格局和趋势</w:t>
      </w:r>
      <w:r>
        <w:rPr>
          <w:b w:val="0"/>
          <w:bCs w:val="0"/>
        </w:rPr>
      </w:r>
    </w:p>
    <w:p>
      <w:pPr>
        <w:spacing w:line="357" w:lineRule="auto" w:before="152"/>
        <w:ind w:left="1920" w:right="1033" w:hanging="361"/>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）与公司业务相关的宏观经济形势</w:t>
      </w:r>
      <w:r>
        <w:rPr>
          <w:rFonts w:ascii="宋体" w:hAnsi="宋体" w:cs="宋体" w:eastAsia="宋体" w:hint="default"/>
          <w:b/>
          <w:bCs/>
          <w:w w:val="99"/>
          <w:sz w:val="24"/>
          <w:szCs w:val="24"/>
        </w:rPr>
        <w:t> </w:t>
      </w:r>
      <w:r>
        <w:rPr>
          <w:rFonts w:ascii="宋体" w:hAnsi="宋体" w:cs="宋体" w:eastAsia="宋体" w:hint="default"/>
          <w:spacing w:val="-3"/>
          <w:sz w:val="24"/>
          <w:szCs w:val="24"/>
        </w:rPr>
        <w:t>2015</w:t>
      </w:r>
      <w:r>
        <w:rPr>
          <w:rFonts w:ascii="宋体" w:hAnsi="宋体" w:cs="宋体" w:eastAsia="宋体" w:hint="default"/>
          <w:spacing w:val="-3"/>
          <w:sz w:val="24"/>
          <w:szCs w:val="24"/>
        </w:rPr>
        <w:t>年，我国“十二五”收官之年，国内经济发展进入了新常态，投资增长明显下</w:t>
      </w:r>
    </w:p>
    <w:p>
      <w:pPr>
        <w:pStyle w:val="BodyText"/>
        <w:spacing w:line="357" w:lineRule="auto" w:before="35"/>
        <w:ind w:left="1440" w:right="1033"/>
        <w:jc w:val="left"/>
      </w:pPr>
      <w:r>
        <w:rPr/>
        <w:t>滑，经济增长转向中速；虽然宏观经济运行总体基本平稳、经济增长保持在合理区间、 </w:t>
      </w:r>
      <w:r>
        <w:rPr>
          <w:spacing w:val="-3"/>
        </w:rPr>
        <w:t>经济运行中出现一些积极变化与亮点，但投资增长后劲不足、融资瓶颈约束明显、企业</w:t>
      </w:r>
      <w:r>
        <w:rPr>
          <w:spacing w:val="-102"/>
        </w:rPr>
        <w:t> </w:t>
      </w:r>
      <w:r>
        <w:rPr>
          <w:spacing w:val="-102"/>
        </w:rPr>
      </w:r>
      <w:r>
        <w:rPr>
          <w:spacing w:val="-3"/>
        </w:rPr>
        <w:t>经营困难等问题突出，经济下行压力和经营风险依然较大。为此，政府持续出台了强力</w:t>
      </w:r>
      <w:r>
        <w:rPr>
          <w:spacing w:val="-101"/>
        </w:rPr>
        <w:t> </w:t>
      </w:r>
      <w:r>
        <w:rPr>
          <w:spacing w:val="-101"/>
        </w:rPr>
      </w:r>
      <w:r>
        <w:rPr>
          <w:spacing w:val="-6"/>
        </w:rPr>
        <w:t>的政策和法规，引导全社会追求经济增长质量、推动产业转型升级、转变政府投资模式、</w:t>
      </w:r>
      <w:r>
        <w:rPr>
          <w:spacing w:val="-99"/>
        </w:rPr>
        <w:t> </w:t>
      </w:r>
      <w:r>
        <w:rPr>
          <w:spacing w:val="-99"/>
        </w:rPr>
      </w:r>
      <w:r>
        <w:rPr/>
        <w:t>提高节能绿色发展。</w:t>
      </w:r>
    </w:p>
    <w:p>
      <w:pPr>
        <w:pStyle w:val="BodyText"/>
        <w:spacing w:line="240" w:lineRule="auto" w:before="35"/>
        <w:ind w:left="1920" w:right="1033"/>
        <w:jc w:val="left"/>
      </w:pPr>
      <w:r>
        <w:rPr>
          <w:rFonts w:ascii="宋体" w:hAnsi="宋体" w:cs="宋体" w:eastAsia="宋体" w:hint="default"/>
          <w:spacing w:val="-3"/>
        </w:rPr>
        <w:t>2016</w:t>
      </w:r>
      <w:r>
        <w:rPr>
          <w:spacing w:val="-3"/>
        </w:rPr>
        <w:t>年是国家“十三五”起始年，随着国家“十三五”发展规划的出台和实施，我</w:t>
      </w:r>
    </w:p>
    <w:p>
      <w:pPr>
        <w:spacing w:after="0" w:line="240" w:lineRule="auto"/>
        <w:jc w:val="left"/>
        <w:sectPr>
          <w:pgSz w:w="11910" w:h="16840"/>
          <w:pgMar w:header="747" w:footer="979" w:top="1060" w:bottom="1160" w:left="0" w:right="0"/>
        </w:sectPr>
      </w:pPr>
    </w:p>
    <w:p>
      <w:pPr>
        <w:pStyle w:val="BodyText"/>
        <w:spacing w:line="357" w:lineRule="auto" w:before="13"/>
        <w:ind w:left="1440" w:right="1326"/>
        <w:jc w:val="left"/>
      </w:pPr>
      <w:r>
        <w:rPr/>
        <w:pict>
          <v:group style="position:absolute;margin-left:70.5pt;margin-top:2.245630pt;width:454.4pt;height:.1pt;mso-position-horizontal-relative:page;mso-position-vertical-relative:paragraph;z-index:-1061200" coordorigin="1410,45" coordsize="9088,2">
            <v:shape style="position:absolute;left:1410;top:45;width:9088;height:2" coordorigin="1410,45" coordsize="9088,0" path="m1410,45l10498,45e" filled="false" stroked="true" strokeweight=".72pt" strokecolor="#000000">
              <v:path arrowok="t"/>
            </v:shape>
            <w10:wrap type="none"/>
          </v:group>
        </w:pict>
      </w:r>
      <w:r>
        <w:rPr/>
        <w:t>国信息化建设、医疗建设、环保治理成为发展新动力，处于国家政策鼓励发展的阶段， 投资规模仍将持续稳定地增长，将成为稳经济、促发展、推动产业升级的经济亮点。</w:t>
      </w:r>
    </w:p>
    <w:p>
      <w:pPr>
        <w:spacing w:line="357" w:lineRule="auto" w:before="35"/>
        <w:ind w:left="1920" w:right="10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）与公司业务相关的行业发展趋势</w:t>
      </w:r>
      <w:r>
        <w:rPr>
          <w:rFonts w:ascii="宋体" w:hAnsi="宋体" w:cs="宋体" w:eastAsia="宋体" w:hint="default"/>
          <w:b/>
          <w:bCs/>
          <w:w w:val="99"/>
          <w:sz w:val="24"/>
          <w:szCs w:val="24"/>
        </w:rPr>
        <w:t> </w:t>
      </w:r>
      <w:r>
        <w:rPr>
          <w:rFonts w:ascii="宋体" w:hAnsi="宋体" w:cs="宋体" w:eastAsia="宋体" w:hint="default"/>
          <w:sz w:val="24"/>
          <w:szCs w:val="24"/>
        </w:rPr>
        <w:t>目前公司业务所涉及领域扩大为信息、医疗、环保三大产业。</w:t>
      </w:r>
      <w:r>
        <w:rPr>
          <w:rFonts w:ascii="宋体" w:hAnsi="宋体" w:cs="宋体" w:eastAsia="宋体" w:hint="default"/>
          <w:spacing w:val="6"/>
          <w:sz w:val="24"/>
          <w:szCs w:val="24"/>
        </w:rPr>
        <w:t> </w:t>
      </w:r>
      <w:r>
        <w:rPr>
          <w:rFonts w:ascii="宋体" w:hAnsi="宋体" w:cs="宋体" w:eastAsia="宋体" w:hint="default"/>
          <w:sz w:val="24"/>
          <w:szCs w:val="24"/>
        </w:rPr>
        <w:t>按照国家十三五发</w:t>
      </w:r>
    </w:p>
    <w:p>
      <w:pPr>
        <w:pStyle w:val="BodyText"/>
        <w:spacing w:line="357" w:lineRule="auto" w:before="35"/>
        <w:ind w:left="1440" w:right="1033"/>
        <w:jc w:val="left"/>
      </w:pPr>
      <w:r>
        <w:rPr>
          <w:spacing w:val="-3"/>
        </w:rPr>
        <w:t>展规划建议，信息、医疗、环保产业在未来</w:t>
      </w:r>
      <w:r>
        <w:rPr>
          <w:rFonts w:ascii="宋体" w:hAnsi="宋体" w:cs="宋体" w:eastAsia="宋体" w:hint="default"/>
          <w:spacing w:val="-3"/>
        </w:rPr>
        <w:t>5</w:t>
      </w:r>
      <w:r>
        <w:rPr>
          <w:spacing w:val="-3"/>
        </w:rPr>
        <w:t>年将成为国家政策导向的无边界规模产业，</w:t>
      </w:r>
      <w:r>
        <w:rPr>
          <w:spacing w:val="-99"/>
        </w:rPr>
        <w:t> </w:t>
      </w:r>
      <w:r>
        <w:rPr/>
        <w:t>这给公司的发展带来了新的增长动力，也提供了重大的战略机遇。</w:t>
      </w:r>
    </w:p>
    <w:p>
      <w:pPr>
        <w:pStyle w:val="BodyText"/>
        <w:spacing w:line="357" w:lineRule="auto" w:before="114"/>
        <w:ind w:left="1439" w:right="1033" w:firstLine="600"/>
        <w:jc w:val="left"/>
      </w:pPr>
      <w:r>
        <w:rPr>
          <w:rFonts w:ascii="宋体" w:hAnsi="宋体" w:cs="宋体" w:eastAsia="宋体" w:hint="default"/>
        </w:rPr>
        <w:t>1</w:t>
      </w:r>
      <w:r>
        <w:rPr/>
        <w:t>）在信息数据领域，依据“十三五”规划，随着大数据、互联网</w:t>
      </w:r>
      <w:r>
        <w:rPr>
          <w:rFonts w:ascii="宋体" w:hAnsi="宋体" w:cs="宋体" w:eastAsia="宋体" w:hint="default"/>
        </w:rPr>
        <w:t>+</w:t>
      </w:r>
      <w:r>
        <w:rPr/>
        <w:t>、中国制造等 </w:t>
      </w:r>
      <w:r>
        <w:rPr>
          <w:spacing w:val="-6"/>
        </w:rPr>
        <w:t>往纵深推进，信息化、新型城镇化、农业现代化的融合进一步加深，一系列促进云计算、</w:t>
      </w:r>
      <w:r>
        <w:rPr>
          <w:spacing w:val="-101"/>
        </w:rPr>
        <w:t> </w:t>
      </w:r>
      <w:r>
        <w:rPr>
          <w:spacing w:val="-101"/>
        </w:rPr>
      </w:r>
      <w:r>
        <w:rPr>
          <w:spacing w:val="-3"/>
        </w:rPr>
        <w:t>大数据的快速发展的规划和指导意见陆续出台，为我国信息经济发展创造了难得的新机</w:t>
      </w:r>
      <w:r>
        <w:rPr>
          <w:spacing w:val="-100"/>
        </w:rPr>
        <w:t> </w:t>
      </w:r>
      <w:r>
        <w:rPr>
          <w:spacing w:val="-100"/>
        </w:rPr>
      </w:r>
      <w:r>
        <w:rPr>
          <w:spacing w:val="-3"/>
        </w:rPr>
        <w:t>遇；互联网经济的发展、社会信息化的建设以及大数据的应用，将启动数据服务等信息</w:t>
      </w:r>
      <w:r>
        <w:rPr>
          <w:spacing w:val="-102"/>
        </w:rPr>
        <w:t> </w:t>
      </w:r>
      <w:r>
        <w:rPr>
          <w:spacing w:val="-102"/>
        </w:rPr>
      </w:r>
      <w:r>
        <w:rPr>
          <w:spacing w:val="-3"/>
        </w:rPr>
        <w:t>产业基础设施建设的巨大需求，并对于我国数据服务的建设朝着规范、绿色、节能的方</w:t>
      </w:r>
      <w:r>
        <w:rPr>
          <w:spacing w:val="-102"/>
        </w:rPr>
        <w:t> </w:t>
      </w:r>
      <w:r>
        <w:rPr>
          <w:spacing w:val="-102"/>
        </w:rPr>
      </w:r>
      <w:r>
        <w:rPr>
          <w:spacing w:val="-3"/>
        </w:rPr>
        <w:t>向提出了更高的标准，对已有数据服务的改造需求也将逐步提升；与此同时，国家正大</w:t>
      </w:r>
      <w:r>
        <w:rPr>
          <w:spacing w:val="-101"/>
        </w:rPr>
        <w:t> </w:t>
      </w:r>
      <w:r>
        <w:rPr>
          <w:spacing w:val="-101"/>
        </w:rPr>
      </w:r>
      <w:r>
        <w:rPr>
          <w:spacing w:val="-3"/>
        </w:rPr>
        <w:t>力推进以政府购买第三方服务的方式推动我国第三方数据服务产业的发展；这些都为依</w:t>
      </w:r>
      <w:r>
        <w:rPr>
          <w:spacing w:val="-99"/>
        </w:rPr>
        <w:t> </w:t>
      </w:r>
      <w:r>
        <w:rPr>
          <w:spacing w:val="-99"/>
        </w:rPr>
      </w:r>
      <w:r>
        <w:rPr/>
        <w:t>米康在数据服务领域的业务提供了广阔的市场。随着国家《促进大数据发展行动纲要》 </w:t>
      </w:r>
      <w:r>
        <w:rPr>
          <w:spacing w:val="-3"/>
        </w:rPr>
        <w:t>推出，大数据发展正式成为国家战略；大数据行动纲要指出，将重点培育一批面向全球</w:t>
      </w:r>
      <w:r>
        <w:rPr>
          <w:spacing w:val="-102"/>
        </w:rPr>
        <w:t> </w:t>
      </w:r>
      <w:r>
        <w:rPr>
          <w:spacing w:val="-102"/>
        </w:rPr>
      </w:r>
      <w:r>
        <w:rPr>
          <w:spacing w:val="-3"/>
        </w:rPr>
        <w:t>的大数据龙头企业。发展潜力业务，是依米康产业持续发展核心理念，开展大数据业务</w:t>
      </w:r>
      <w:r>
        <w:rPr>
          <w:spacing w:val="-102"/>
        </w:rPr>
        <w:t> </w:t>
      </w:r>
      <w:r>
        <w:rPr>
          <w:spacing w:val="-102"/>
        </w:rPr>
      </w:r>
      <w:r>
        <w:rPr>
          <w:spacing w:val="-3"/>
        </w:rPr>
        <w:t>将进一步完善集团在信息数据领域产业链，加强产业服务能力，提升持续发展能力和竞</w:t>
      </w:r>
      <w:r>
        <w:rPr>
          <w:spacing w:val="-100"/>
        </w:rPr>
        <w:t> </w:t>
      </w:r>
      <w:r>
        <w:rPr>
          <w:spacing w:val="-100"/>
        </w:rPr>
      </w:r>
      <w:r>
        <w:rPr/>
        <w:t>争力，确保公司继续走在国内同行产业的前列。</w:t>
      </w:r>
    </w:p>
    <w:p>
      <w:pPr>
        <w:pStyle w:val="BodyText"/>
        <w:spacing w:line="357" w:lineRule="auto" w:before="36"/>
        <w:ind w:left="1440" w:right="1436" w:firstLine="600"/>
        <w:jc w:val="both"/>
      </w:pPr>
      <w:r>
        <w:rPr>
          <w:rFonts w:ascii="宋体" w:hAnsi="宋体" w:cs="宋体" w:eastAsia="宋体" w:hint="default"/>
          <w:spacing w:val="-3"/>
        </w:rPr>
        <w:t>2</w:t>
      </w:r>
      <w:r>
        <w:rPr>
          <w:spacing w:val="-3"/>
        </w:rPr>
        <w:t>）在健康医疗领域，“健康中国”国家战略落地，整个医疗卫生行业以及大健康</w:t>
      </w:r>
      <w:r>
        <w:rPr/>
        <w:t> </w:t>
      </w:r>
      <w:r>
        <w:rPr>
          <w:spacing w:val="-3"/>
        </w:rPr>
        <w:t>产业将进入蓬勃发展期。“十三五”期间国家围绕大健康、大卫生和大医疗的医疗健康</w:t>
      </w:r>
      <w:r>
        <w:rPr>
          <w:spacing w:val="-102"/>
        </w:rPr>
        <w:t> </w:t>
      </w:r>
      <w:r>
        <w:rPr>
          <w:spacing w:val="-102"/>
        </w:rPr>
      </w:r>
      <w:r>
        <w:rPr>
          <w:spacing w:val="-3"/>
        </w:rPr>
        <w:t>产业有望突破十万亿元市场规模，医疗健康产业也将引领新一轮经济发展浪潮；大健康</w:t>
      </w:r>
      <w:r>
        <w:rPr>
          <w:spacing w:val="-100"/>
        </w:rPr>
        <w:t> </w:t>
      </w:r>
      <w:r>
        <w:rPr>
          <w:spacing w:val="-100"/>
        </w:rPr>
      </w:r>
      <w:r>
        <w:rPr>
          <w:spacing w:val="-3"/>
        </w:rPr>
        <w:t>产业成为全球最大的新兴产业，就细分领域而言，医疗服务、健康保险、养老产业及互</w:t>
      </w:r>
      <w:r>
        <w:rPr>
          <w:spacing w:val="-102"/>
        </w:rPr>
        <w:t> </w:t>
      </w:r>
      <w:r>
        <w:rPr>
          <w:spacing w:val="-102"/>
        </w:rPr>
      </w:r>
      <w:r>
        <w:rPr>
          <w:spacing w:val="-3"/>
        </w:rPr>
        <w:t>联网医疗行业有望率先迎来发展机遇；十三五期间我们将大规模投资建设和改造各级医</w:t>
      </w:r>
      <w:r>
        <w:rPr>
          <w:spacing w:val="-100"/>
        </w:rPr>
        <w:t> </w:t>
      </w:r>
      <w:r>
        <w:rPr>
          <w:spacing w:val="-100"/>
        </w:rPr>
      </w:r>
      <w:r>
        <w:rPr/>
        <w:t>院，成为依米康在健康医疗领域业务的巨大发展空间。</w:t>
      </w:r>
    </w:p>
    <w:p>
      <w:pPr>
        <w:pStyle w:val="BodyText"/>
        <w:spacing w:line="357" w:lineRule="auto" w:before="36"/>
        <w:ind w:left="1440" w:right="1326" w:firstLine="600"/>
        <w:jc w:val="left"/>
      </w:pPr>
      <w:r>
        <w:rPr>
          <w:rFonts w:ascii="宋体" w:hAnsi="宋体" w:cs="宋体" w:eastAsia="宋体" w:hint="default"/>
        </w:rPr>
        <w:t>3</w:t>
      </w:r>
      <w:r>
        <w:rPr/>
        <w:t>）在环保治理领域，十三五规划建议提出，国家将继续大力推进生态文明建设， </w:t>
      </w:r>
      <w:r>
        <w:rPr>
          <w:spacing w:val="-3"/>
        </w:rPr>
        <w:t>环保行业作为战略型新兴行业得到足够的重视。环保部在《国家环境保护“十三五”规</w:t>
      </w:r>
      <w:r>
        <w:rPr>
          <w:spacing w:val="-101"/>
        </w:rPr>
        <w:t> </w:t>
      </w:r>
      <w:r>
        <w:rPr>
          <w:spacing w:val="-101"/>
        </w:rPr>
      </w:r>
      <w:r>
        <w:rPr/>
        <w:t>划基本思路》中提出，到 </w:t>
      </w:r>
      <w:r>
        <w:rPr>
          <w:rFonts w:ascii="宋体" w:hAnsi="宋体" w:cs="宋体" w:eastAsia="宋体" w:hint="default"/>
        </w:rPr>
        <w:t>2020</w:t>
      </w:r>
      <w:r>
        <w:rPr>
          <w:rFonts w:ascii="宋体" w:hAnsi="宋体" w:cs="宋体" w:eastAsia="宋体" w:hint="default"/>
          <w:spacing w:val="-94"/>
        </w:rPr>
        <w:t> </w:t>
      </w:r>
      <w:r>
        <w:rPr/>
        <w:t>年，主要污染物排放总量显著减少，空气和水环境质量 </w:t>
      </w:r>
      <w:r>
        <w:rPr>
          <w:spacing w:val="-3"/>
        </w:rPr>
        <w:t>总体改善，土壤环境恶化趋势得到遏制，生态系统稳定性增强，辐射环境质量继续保持</w:t>
      </w:r>
      <w:r>
        <w:rPr>
          <w:spacing w:val="-102"/>
        </w:rPr>
        <w:t> </w:t>
      </w:r>
      <w:r>
        <w:rPr>
          <w:spacing w:val="-102"/>
        </w:rPr>
      </w:r>
      <w:r>
        <w:rPr>
          <w:spacing w:val="-3"/>
        </w:rPr>
        <w:t>良好，环境风险得到有效管控，生态文明制度体系系统完整，生态文明水平与全面小康</w:t>
      </w:r>
      <w:r>
        <w:rPr>
          <w:spacing w:val="-102"/>
        </w:rPr>
        <w:t> </w:t>
      </w:r>
      <w:r>
        <w:rPr>
          <w:spacing w:val="-102"/>
        </w:rPr>
      </w:r>
      <w:r>
        <w:rPr/>
        <w:t>社会相适应；到 </w:t>
      </w:r>
      <w:r>
        <w:rPr>
          <w:rFonts w:ascii="宋体" w:hAnsi="宋体" w:cs="宋体" w:eastAsia="宋体" w:hint="default"/>
        </w:rPr>
        <w:t>2030</w:t>
      </w:r>
      <w:r>
        <w:rPr>
          <w:rFonts w:ascii="宋体" w:hAnsi="宋体" w:cs="宋体" w:eastAsia="宋体" w:hint="default"/>
          <w:spacing w:val="-94"/>
        </w:rPr>
        <w:t> </w:t>
      </w:r>
      <w:r>
        <w:rPr/>
        <w:t>年，全国城市环境空气质量基本达标，水环境质量达到功能区标</w:t>
      </w:r>
    </w:p>
    <w:p>
      <w:pPr>
        <w:spacing w:after="0" w:line="357" w:lineRule="auto"/>
        <w:jc w:val="left"/>
        <w:sectPr>
          <w:footerReference w:type="default" r:id="rId24"/>
          <w:pgSz w:w="11910" w:h="16840"/>
          <w:pgMar w:footer="1473" w:header="747" w:top="1060" w:bottom="1660" w:left="0" w:right="0"/>
          <w:pgNumType w:start="51"/>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4"/>
        <w:ind w:left="1440" w:right="0"/>
        <w:jc w:val="both"/>
      </w:pPr>
      <w:r>
        <w:rPr/>
        <w:t>调，生态文明水平全面提高；同时，环保部已经颁布我国《大气污染防治行动计划》、</w:t>
      </w:r>
    </w:p>
    <w:p>
      <w:pPr>
        <w:pStyle w:val="BodyText"/>
        <w:spacing w:line="357" w:lineRule="auto" w:before="154"/>
        <w:ind w:left="1440" w:right="1436"/>
        <w:jc w:val="both"/>
      </w:pPr>
      <w:r>
        <w:rPr>
          <w:spacing w:val="-3"/>
        </w:rPr>
        <w:t>《水污染防治行动计划》和《土壤污染防治行动计划》三大行动计划，分区域持续改善</w:t>
      </w:r>
      <w:r>
        <w:rPr>
          <w:spacing w:val="-102"/>
        </w:rPr>
        <w:t> </w:t>
      </w:r>
      <w:r>
        <w:rPr>
          <w:spacing w:val="-102"/>
        </w:rPr>
      </w:r>
      <w:r>
        <w:rPr/>
        <w:t>环境质量；“十三五”期间，我国环保市场的总投资额有望达到 </w:t>
      </w:r>
      <w:r>
        <w:rPr>
          <w:rFonts w:ascii="宋体" w:hAnsi="宋体" w:cs="宋体" w:eastAsia="宋体" w:hint="default"/>
        </w:rPr>
        <w:t>17</w:t>
      </w:r>
      <w:r>
        <w:rPr>
          <w:rFonts w:ascii="宋体" w:hAnsi="宋体" w:cs="宋体" w:eastAsia="宋体" w:hint="default"/>
          <w:spacing w:val="-94"/>
        </w:rPr>
        <w:t> </w:t>
      </w:r>
      <w:r>
        <w:rPr/>
        <w:t>万亿元，成为依米 康发展的另一个广阔的市场。</w:t>
      </w:r>
    </w:p>
    <w:p>
      <w:pPr>
        <w:pStyle w:val="Heading3"/>
        <w:spacing w:line="271" w:lineRule="exact"/>
        <w:ind w:left="1922" w:right="1033"/>
        <w:jc w:val="left"/>
        <w:rPr>
          <w:b w:val="0"/>
          <w:bCs w:val="0"/>
        </w:rPr>
      </w:pPr>
      <w:r>
        <w:rPr/>
        <w:t>（</w:t>
      </w:r>
      <w:r>
        <w:rPr>
          <w:rFonts w:ascii="宋体" w:hAnsi="宋体" w:cs="宋体" w:eastAsia="宋体" w:hint="default"/>
        </w:rPr>
        <w:t>3</w:t>
      </w:r>
      <w:r>
        <w:rPr/>
        <w:t>）与公司业务相关的产业发展趋势</w:t>
      </w:r>
      <w:r>
        <w:rPr>
          <w:b w:val="0"/>
          <w:bCs w:val="0"/>
        </w:rPr>
      </w:r>
    </w:p>
    <w:p>
      <w:pPr>
        <w:pStyle w:val="BodyText"/>
        <w:spacing w:line="357" w:lineRule="auto" w:before="152"/>
        <w:ind w:left="1440" w:right="1343" w:firstLine="480"/>
        <w:jc w:val="left"/>
      </w:pPr>
      <w:r>
        <w:rPr>
          <w:rFonts w:ascii="宋体" w:hAnsi="宋体" w:cs="宋体" w:eastAsia="宋体" w:hint="default"/>
        </w:rPr>
        <w:t>1</w:t>
      </w:r>
      <w:r>
        <w:rPr/>
        <w:t>）在信息数据领域，云服务、大数据、移动互联的广泛应用加快了数据中心和通 信基础设施建设市场需求。据</w:t>
      </w:r>
      <w:r>
        <w:rPr>
          <w:rFonts w:ascii="宋体" w:hAnsi="宋体" w:cs="宋体" w:eastAsia="宋体" w:hint="default"/>
        </w:rPr>
        <w:t>ICT</w:t>
      </w:r>
      <w:r>
        <w:rPr/>
        <w:t>《</w:t>
      </w:r>
      <w:r>
        <w:rPr>
          <w:rFonts w:ascii="宋体" w:hAnsi="宋体" w:cs="宋体" w:eastAsia="宋体" w:hint="default"/>
        </w:rPr>
        <w:t>2014-2015</w:t>
      </w:r>
      <w:r>
        <w:rPr/>
        <w:t>年中国机房产品及机房工程市场报告》， </w:t>
      </w:r>
      <w:r>
        <w:rPr>
          <w:rFonts w:ascii="宋体" w:hAnsi="宋体" w:cs="宋体" w:eastAsia="宋体" w:hint="default"/>
        </w:rPr>
        <w:t>2014</w:t>
      </w:r>
      <w:r>
        <w:rPr>
          <w:rFonts w:ascii="宋体" w:hAnsi="宋体" w:cs="宋体" w:eastAsia="宋体" w:hint="default"/>
          <w:spacing w:val="5"/>
        </w:rPr>
        <w:t> </w:t>
      </w:r>
      <w:r>
        <w:rPr>
          <w:spacing w:val="-3"/>
        </w:rPr>
        <w:t>年计算机房基础设施市场【主要包含产品（机房空调、</w:t>
      </w:r>
      <w:r>
        <w:rPr>
          <w:rFonts w:ascii="宋体" w:hAnsi="宋体" w:cs="宋体" w:eastAsia="宋体" w:hint="default"/>
          <w:spacing w:val="-3"/>
        </w:rPr>
        <w:t>UPS</w:t>
      </w:r>
      <w:r>
        <w:rPr>
          <w:spacing w:val="-3"/>
        </w:rPr>
        <w:t>、机柜、电池、</w:t>
      </w:r>
      <w:r>
        <w:rPr>
          <w:rFonts w:ascii="宋体" w:hAnsi="宋体" w:cs="宋体" w:eastAsia="宋体" w:hint="default"/>
          <w:spacing w:val="-3"/>
        </w:rPr>
        <w:t>KVM</w:t>
      </w:r>
      <w:r>
        <w:rPr>
          <w:rFonts w:ascii="宋体" w:hAnsi="宋体" w:cs="宋体" w:eastAsia="宋体" w:hint="default"/>
          <w:spacing w:val="5"/>
        </w:rPr>
        <w:t> </w:t>
      </w:r>
      <w:r>
        <w:rPr/>
        <w:t>等</w:t>
      </w:r>
      <w:r>
        <w:rPr>
          <w:spacing w:val="-116"/>
        </w:rPr>
        <w:t> </w:t>
      </w:r>
      <w:r>
        <w:rPr/>
        <w:t>主要基础设施产品）和集成服务两个主要部分】规模为</w:t>
      </w:r>
      <w:r>
        <w:rPr>
          <w:rFonts w:ascii="宋体" w:hAnsi="宋体" w:cs="宋体" w:eastAsia="宋体" w:hint="default"/>
        </w:rPr>
        <w:t>214.99</w:t>
      </w:r>
      <w:r>
        <w:rPr>
          <w:rFonts w:ascii="宋体" w:hAnsi="宋体" w:cs="宋体" w:eastAsia="宋体" w:hint="default"/>
          <w:spacing w:val="2"/>
        </w:rPr>
        <w:t> </w:t>
      </w:r>
      <w:r>
        <w:rPr/>
        <w:t>亿元，信息化基础建设 市场需求预计在</w:t>
      </w:r>
      <w:r>
        <w:rPr>
          <w:rFonts w:ascii="宋体" w:hAnsi="宋体" w:cs="宋体" w:eastAsia="宋体" w:hint="default"/>
        </w:rPr>
        <w:t>2015</w:t>
      </w:r>
      <w:r>
        <w:rPr/>
        <w:t>年</w:t>
      </w:r>
      <w:r>
        <w:rPr>
          <w:rFonts w:ascii="宋体" w:hAnsi="宋体" w:cs="宋体" w:eastAsia="宋体" w:hint="default"/>
        </w:rPr>
        <w:t>-2019</w:t>
      </w:r>
      <w:r>
        <w:rPr/>
        <w:t>年期间呈现持续稳定增长的态势。</w:t>
      </w:r>
    </w:p>
    <w:p>
      <w:pPr>
        <w:pStyle w:val="BodyText"/>
        <w:spacing w:line="357" w:lineRule="auto" w:before="35"/>
        <w:ind w:left="1440" w:right="1436" w:firstLine="480"/>
        <w:jc w:val="both"/>
      </w:pPr>
      <w:r>
        <w:rPr>
          <w:rFonts w:ascii="宋体" w:hAnsi="宋体" w:cs="宋体" w:eastAsia="宋体" w:hint="default"/>
        </w:rPr>
        <w:t>2</w:t>
      </w:r>
      <w:r>
        <w:rPr/>
        <w:t>）在健康医疗领域，据中商情报网《中国医院洁净手术室市场调查及发展前景调 </w:t>
      </w:r>
      <w:r>
        <w:rPr>
          <w:spacing w:val="-3"/>
        </w:rPr>
        <w:t>研报告》，我国医疗市场将在人口老龄化、消费升级的内生性推动以及新医改带来的市</w:t>
      </w:r>
      <w:r>
        <w:rPr>
          <w:spacing w:val="-101"/>
        </w:rPr>
        <w:t> </w:t>
      </w:r>
      <w:r>
        <w:rPr>
          <w:spacing w:val="-101"/>
        </w:rPr>
      </w:r>
      <w:r>
        <w:rPr>
          <w:spacing w:val="-3"/>
        </w:rPr>
        <w:t>场扩容作用下高速增长，由此带来洁净手术室巨大的建设需求。洁净手术室的建设需求</w:t>
      </w:r>
      <w:r>
        <w:rPr>
          <w:spacing w:val="-100"/>
        </w:rPr>
        <w:t> </w:t>
      </w:r>
      <w:r>
        <w:rPr>
          <w:spacing w:val="-100"/>
        </w:rPr>
      </w:r>
      <w:r>
        <w:rPr>
          <w:spacing w:val="-3"/>
        </w:rPr>
        <w:t>主要来源于新建医院的手术室和原有医院普通手术室改建、更新，其中新建医院的洁净</w:t>
      </w:r>
      <w:r>
        <w:rPr>
          <w:spacing w:val="-100"/>
        </w:rPr>
        <w:t> </w:t>
      </w:r>
      <w:r>
        <w:rPr>
          <w:spacing w:val="-100"/>
        </w:rPr>
      </w:r>
      <w:r>
        <w:rPr/>
        <w:t>手术室的市场规模约</w:t>
      </w:r>
      <w:r>
        <w:rPr>
          <w:rFonts w:ascii="宋体" w:hAnsi="宋体" w:cs="宋体" w:eastAsia="宋体" w:hint="default"/>
        </w:rPr>
        <w:t>70</w:t>
      </w:r>
      <w:r>
        <w:rPr/>
        <w:t>亿元</w:t>
      </w:r>
      <w:r>
        <w:rPr>
          <w:rFonts w:ascii="宋体" w:hAnsi="宋体" w:cs="宋体" w:eastAsia="宋体" w:hint="default"/>
        </w:rPr>
        <w:t>/</w:t>
      </w:r>
      <w:r>
        <w:rPr/>
        <w:t>年，而手术室的寿命为</w:t>
      </w:r>
      <w:r>
        <w:rPr>
          <w:rFonts w:ascii="宋体" w:hAnsi="宋体" w:cs="宋体" w:eastAsia="宋体" w:hint="default"/>
        </w:rPr>
        <w:t>10</w:t>
      </w:r>
      <w:r>
        <w:rPr/>
        <w:t>年，在未来</w:t>
      </w:r>
      <w:r>
        <w:rPr>
          <w:rFonts w:ascii="宋体" w:hAnsi="宋体" w:cs="宋体" w:eastAsia="宋体" w:hint="default"/>
        </w:rPr>
        <w:t>10</w:t>
      </w:r>
      <w:r>
        <w:rPr/>
        <w:t>年内原有医院手术</w:t>
      </w:r>
      <w:r>
        <w:rPr>
          <w:spacing w:val="-113"/>
        </w:rPr>
        <w:t> </w:t>
      </w:r>
      <w:r>
        <w:rPr/>
        <w:t>室的改建、更新市场规模预计</w:t>
      </w:r>
      <w:r>
        <w:rPr>
          <w:rFonts w:ascii="宋体" w:hAnsi="宋体" w:cs="宋体" w:eastAsia="宋体" w:hint="default"/>
        </w:rPr>
        <w:t>60</w:t>
      </w:r>
      <w:r>
        <w:rPr/>
        <w:t>亿元</w:t>
      </w:r>
      <w:r>
        <w:rPr>
          <w:rFonts w:ascii="宋体" w:hAnsi="宋体" w:cs="宋体" w:eastAsia="宋体" w:hint="default"/>
        </w:rPr>
        <w:t>/</w:t>
      </w:r>
      <w:r>
        <w:rPr/>
        <w:t>年。我国洁净手术室行业市场需求旺盛，仍然处</w:t>
      </w:r>
      <w:r>
        <w:rPr>
          <w:spacing w:val="-116"/>
        </w:rPr>
        <w:t> </w:t>
      </w:r>
      <w:r>
        <w:rPr/>
        <w:t>于黄金发展期。</w:t>
      </w:r>
    </w:p>
    <w:p>
      <w:pPr>
        <w:pStyle w:val="BodyText"/>
        <w:spacing w:line="357" w:lineRule="auto" w:before="35"/>
        <w:ind w:left="1439" w:right="1436" w:firstLine="480"/>
        <w:jc w:val="both"/>
      </w:pPr>
      <w:r>
        <w:rPr>
          <w:rFonts w:ascii="宋体" w:hAnsi="宋体" w:cs="宋体" w:eastAsia="宋体" w:hint="default"/>
          <w:spacing w:val="-3"/>
        </w:rPr>
        <w:t>3</w:t>
      </w:r>
      <w:r>
        <w:rPr>
          <w:spacing w:val="-3"/>
        </w:rPr>
        <w:t>）在环保治理领域，据中经产业研究所《</w:t>
      </w:r>
      <w:r>
        <w:rPr>
          <w:rFonts w:ascii="宋体" w:hAnsi="宋体" w:cs="宋体" w:eastAsia="宋体" w:hint="default"/>
          <w:spacing w:val="-3"/>
        </w:rPr>
        <w:t>2013-2018</w:t>
      </w:r>
      <w:r>
        <w:rPr>
          <w:spacing w:val="-3"/>
        </w:rPr>
        <w:t>年中国脱硫脱硝市场发展前景</w:t>
      </w:r>
      <w:r>
        <w:rPr/>
        <w:t> </w:t>
      </w:r>
      <w:r>
        <w:rPr>
          <w:spacing w:val="-3"/>
        </w:rPr>
        <w:t>及投资战略规划研究报告》，目前我国烟气脱硫市场规模预计</w:t>
      </w:r>
      <w:r>
        <w:rPr>
          <w:rFonts w:ascii="宋体" w:hAnsi="宋体" w:cs="宋体" w:eastAsia="宋体" w:hint="default"/>
          <w:spacing w:val="-3"/>
        </w:rPr>
        <w:t>3300</w:t>
      </w:r>
      <w:r>
        <w:rPr>
          <w:spacing w:val="-3"/>
        </w:rPr>
        <w:t>亿元，烟气脱硝是继</w:t>
      </w:r>
      <w:r>
        <w:rPr>
          <w:spacing w:val="-96"/>
        </w:rPr>
        <w:t> </w:t>
      </w:r>
      <w:r>
        <w:rPr>
          <w:spacing w:val="-96"/>
        </w:rPr>
      </w:r>
      <w:r>
        <w:rPr>
          <w:spacing w:val="-3"/>
        </w:rPr>
        <w:t>烟气脱硫之后国家控制火电厂污染物排放的又一个重点领域，脱硝领域正在迅速形成一</w:t>
      </w:r>
      <w:r>
        <w:rPr>
          <w:spacing w:val="-100"/>
        </w:rPr>
        <w:t> </w:t>
      </w:r>
      <w:r>
        <w:rPr>
          <w:spacing w:val="-100"/>
        </w:rPr>
      </w:r>
      <w:r>
        <w:rPr/>
        <w:t>个总量达到</w:t>
      </w:r>
      <w:r>
        <w:rPr>
          <w:rFonts w:ascii="宋体" w:hAnsi="宋体" w:cs="宋体" w:eastAsia="宋体" w:hint="default"/>
        </w:rPr>
        <w:t>1100</w:t>
      </w:r>
      <w:r>
        <w:rPr>
          <w:rFonts w:ascii="宋体" w:hAnsi="宋体" w:cs="宋体" w:eastAsia="宋体" w:hint="default"/>
          <w:spacing w:val="1"/>
        </w:rPr>
        <w:t> </w:t>
      </w:r>
      <w:r>
        <w:rPr/>
        <w:t>亿元的大市场。随着我国火力发电、水泥、垃圾无害化处理、钢铁冶 炼等行业对排放实施标准与要求不断提高，高温烟尘排放治理行业将获得高速发展。</w:t>
      </w:r>
    </w:p>
    <w:p>
      <w:pPr>
        <w:pStyle w:val="BodyText"/>
        <w:spacing w:line="357" w:lineRule="auto" w:before="35"/>
        <w:ind w:left="1439" w:right="1437" w:firstLine="480"/>
        <w:jc w:val="both"/>
      </w:pPr>
      <w:r>
        <w:rPr>
          <w:spacing w:val="-3"/>
        </w:rPr>
        <w:t>公司所处的信息、医疗、环保治理领域市场需求旺盛，具有良好的发展前景和广阔</w:t>
      </w:r>
      <w:r>
        <w:rPr/>
        <w:t> 的市场空间。</w:t>
      </w:r>
    </w:p>
    <w:p>
      <w:pPr>
        <w:spacing w:line="357" w:lineRule="auto" w:before="35"/>
        <w:ind w:left="1920" w:right="143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）公司行业地位或区域市场地位的变动趋势</w:t>
      </w:r>
      <w:r>
        <w:rPr>
          <w:rFonts w:ascii="宋体" w:hAnsi="宋体" w:cs="宋体" w:eastAsia="宋体" w:hint="default"/>
          <w:b/>
          <w:bCs/>
          <w:w w:val="99"/>
          <w:sz w:val="24"/>
          <w:szCs w:val="24"/>
        </w:rPr>
        <w:t> </w:t>
      </w:r>
      <w:r>
        <w:rPr>
          <w:rFonts w:ascii="宋体" w:hAnsi="宋体" w:cs="宋体" w:eastAsia="宋体" w:hint="default"/>
          <w:spacing w:val="-3"/>
          <w:sz w:val="24"/>
          <w:szCs w:val="24"/>
        </w:rPr>
        <w:t>公司主营业务围绕信息、医疗、环保三大业务开展。公司行业地位或区域市场地位</w:t>
      </w:r>
    </w:p>
    <w:p>
      <w:pPr>
        <w:pStyle w:val="BodyText"/>
        <w:spacing w:line="357" w:lineRule="auto" w:before="35"/>
        <w:ind w:left="1920" w:right="1033" w:hanging="481"/>
        <w:jc w:val="left"/>
      </w:pPr>
      <w:r>
        <w:rPr/>
        <w:t>的变动趋势情况如下： </w:t>
      </w:r>
      <w:r>
        <w:rPr>
          <w:rFonts w:ascii="宋体" w:hAnsi="宋体" w:cs="宋体" w:eastAsia="宋体" w:hint="default"/>
          <w:spacing w:val="-6"/>
        </w:rPr>
        <w:t>1</w:t>
      </w:r>
      <w:r>
        <w:rPr>
          <w:spacing w:val="-6"/>
        </w:rPr>
        <w:t>）在信息数据领域，公司为</w:t>
      </w:r>
      <w:r>
        <w:rPr>
          <w:rFonts w:ascii="宋体" w:hAnsi="宋体" w:cs="宋体" w:eastAsia="宋体" w:hint="default"/>
          <w:spacing w:val="-6"/>
        </w:rPr>
        <w:t>ICT</w:t>
      </w:r>
      <w:r>
        <w:rPr>
          <w:spacing w:val="-6"/>
        </w:rPr>
        <w:t>基础设施建设设备一体化服务商和系统集成服务商，</w:t>
      </w:r>
    </w:p>
    <w:p>
      <w:pPr>
        <w:pStyle w:val="BodyText"/>
        <w:spacing w:line="357" w:lineRule="auto" w:before="35"/>
        <w:ind w:left="1440" w:right="1436"/>
        <w:jc w:val="both"/>
      </w:pPr>
      <w:r>
        <w:rPr>
          <w:spacing w:val="-3"/>
        </w:rPr>
        <w:t>公司的核心产品包括精密空调、智能监控管理系统数据中心冷站系统、系统集成等，相</w:t>
      </w:r>
      <w:r>
        <w:rPr>
          <w:spacing w:val="-101"/>
        </w:rPr>
        <w:t> </w:t>
      </w:r>
      <w:r>
        <w:rPr>
          <w:spacing w:val="-101"/>
        </w:rPr>
      </w:r>
      <w:r>
        <w:rPr/>
        <w:t>关核心产品和业务的市场地位如下：</w:t>
      </w:r>
    </w:p>
    <w:p>
      <w:pPr>
        <w:pStyle w:val="BodyText"/>
        <w:spacing w:line="240" w:lineRule="auto" w:before="35"/>
        <w:ind w:left="1920" w:right="1033"/>
        <w:jc w:val="left"/>
      </w:pPr>
      <w:r>
        <w:rPr>
          <w:rFonts w:ascii="宋体" w:hAnsi="宋体" w:cs="宋体" w:eastAsia="宋体" w:hint="default"/>
          <w:spacing w:val="-3"/>
        </w:rPr>
        <w:t>a.</w:t>
      </w:r>
      <w:r>
        <w:rPr>
          <w:spacing w:val="-3"/>
        </w:rPr>
        <w:t>精密空调及节能产品：具有领先技术和产品，能够满足各类用户需求，并能够为</w:t>
      </w:r>
    </w:p>
    <w:p>
      <w:pPr>
        <w:spacing w:after="0" w:line="240" w:lineRule="auto"/>
        <w:jc w:val="left"/>
        <w:sectPr>
          <w:footerReference w:type="default" r:id="rId25"/>
          <w:pgSz w:w="11910" w:h="16840"/>
          <w:pgMar w:footer="979" w:header="747" w:top="1060" w:bottom="1160" w:left="0" w:right="0"/>
          <w:pgNumType w:start="52"/>
        </w:sectPr>
      </w:pPr>
    </w:p>
    <w:p>
      <w:pPr>
        <w:pStyle w:val="BodyText"/>
        <w:spacing w:line="357" w:lineRule="auto" w:before="13"/>
        <w:ind w:left="1440" w:right="1033"/>
        <w:jc w:val="left"/>
      </w:pPr>
      <w:r>
        <w:rPr/>
        <w:pict>
          <v:group style="position:absolute;margin-left:70.5pt;margin-top:2.245630pt;width:454.4pt;height:.1pt;mso-position-horizontal-relative:page;mso-position-vertical-relative:paragraph;z-index:-1061152" coordorigin="1410,45" coordsize="9088,2">
            <v:shape style="position:absolute;left:1410;top:45;width:9088;height:2" coordorigin="1410,45" coordsize="9088,0" path="m1410,45l10498,45e" filled="false" stroked="true" strokeweight=".72pt" strokecolor="#000000">
              <v:path arrowok="t"/>
            </v:shape>
            <w10:wrap type="none"/>
          </v:group>
        </w:pict>
      </w:r>
      <w:r>
        <w:rPr>
          <w:spacing w:val="-3"/>
        </w:rPr>
        <w:t>用户提供定制化服务，市场占有率居国内名列前茅，目前，正逐步缩小与世界领先品牌</w:t>
      </w:r>
      <w:r>
        <w:rPr>
          <w:spacing w:val="-102"/>
        </w:rPr>
        <w:t> </w:t>
      </w:r>
      <w:r>
        <w:rPr>
          <w:spacing w:val="-102"/>
        </w:rPr>
      </w:r>
      <w:r>
        <w:rPr/>
        <w:t>在市场方面的差距。</w:t>
      </w:r>
    </w:p>
    <w:p>
      <w:pPr>
        <w:pStyle w:val="BodyText"/>
        <w:spacing w:line="357" w:lineRule="auto" w:before="35"/>
        <w:ind w:left="1920" w:right="1314"/>
        <w:jc w:val="left"/>
      </w:pPr>
      <w:r>
        <w:rPr>
          <w:rFonts w:ascii="宋体" w:hAnsi="宋体" w:cs="宋体" w:eastAsia="宋体" w:hint="default"/>
        </w:rPr>
        <w:t>b.</w:t>
      </w:r>
      <w:r>
        <w:rPr/>
        <w:t>智能监控管理系统：</w:t>
      </w:r>
      <w:r>
        <w:rPr>
          <w:rFonts w:ascii="宋体" w:hAnsi="宋体" w:cs="宋体" w:eastAsia="宋体" w:hint="default"/>
        </w:rPr>
        <w:t>ICT</w:t>
      </w:r>
      <w:r>
        <w:rPr/>
        <w:t>智能监控行业领先服务商，市场名列前茅。 </w:t>
      </w:r>
      <w:r>
        <w:rPr>
          <w:rFonts w:ascii="宋体" w:hAnsi="宋体" w:cs="宋体" w:eastAsia="宋体" w:hint="default"/>
          <w:spacing w:val="-6"/>
        </w:rPr>
        <w:t>c.</w:t>
      </w:r>
      <w:r>
        <w:rPr>
          <w:spacing w:val="-6"/>
        </w:rPr>
        <w:t>数据中心冷站系统：数据中心制冷系统一体化解决方案，节能技术处于行业领先，</w:t>
      </w:r>
    </w:p>
    <w:p>
      <w:pPr>
        <w:pStyle w:val="BodyText"/>
        <w:spacing w:line="357" w:lineRule="auto" w:before="35"/>
        <w:ind w:left="1920" w:right="1033" w:hanging="481"/>
        <w:jc w:val="left"/>
      </w:pPr>
      <w:r>
        <w:rPr/>
        <w:t>为公司创新业务。 </w:t>
      </w:r>
      <w:r>
        <w:rPr>
          <w:rFonts w:ascii="宋体" w:hAnsi="宋体" w:cs="宋体" w:eastAsia="宋体" w:hint="default"/>
          <w:spacing w:val="-3"/>
        </w:rPr>
        <w:t>d.</w:t>
      </w:r>
      <w:r>
        <w:rPr>
          <w:spacing w:val="-3"/>
        </w:rPr>
        <w:t>海关物流监控系统：海关卡口联网控制系统市场排名前三位、海关辅助监管系统</w:t>
      </w:r>
    </w:p>
    <w:p>
      <w:pPr>
        <w:pStyle w:val="BodyText"/>
        <w:spacing w:line="357" w:lineRule="auto" w:before="35"/>
        <w:ind w:left="1920" w:right="1033" w:hanging="481"/>
        <w:jc w:val="left"/>
      </w:pPr>
      <w:r>
        <w:rPr/>
        <w:t>市场排名前五位。 </w:t>
      </w:r>
      <w:r>
        <w:rPr>
          <w:rFonts w:ascii="宋体" w:hAnsi="宋体" w:cs="宋体" w:eastAsia="宋体" w:hint="default"/>
        </w:rPr>
        <w:t>e.ICT</w:t>
      </w:r>
      <w:r>
        <w:rPr/>
        <w:t>系统集成解决方案：资质和设计能力行业领先，目前，公司在行业竞争力在</w:t>
      </w:r>
    </w:p>
    <w:p>
      <w:pPr>
        <w:pStyle w:val="BodyText"/>
        <w:spacing w:line="240" w:lineRule="auto" w:before="35"/>
        <w:ind w:left="1440" w:right="1033"/>
        <w:jc w:val="left"/>
      </w:pPr>
      <w:r>
        <w:rPr/>
        <w:t>不断提升。</w:t>
      </w:r>
    </w:p>
    <w:p>
      <w:pPr>
        <w:pStyle w:val="BodyText"/>
        <w:spacing w:line="357" w:lineRule="auto" w:before="152"/>
        <w:ind w:left="1440" w:right="1033" w:firstLine="480"/>
        <w:jc w:val="left"/>
      </w:pPr>
      <w:r>
        <w:rPr>
          <w:rFonts w:ascii="宋体" w:hAnsi="宋体" w:cs="宋体" w:eastAsia="宋体" w:hint="default"/>
        </w:rPr>
        <w:t>2</w:t>
      </w:r>
      <w:r>
        <w:rPr/>
        <w:t>）在健康医疗领域，公司已从手术室建设整体解决方案服务商，定位为医院基础 </w:t>
      </w:r>
      <w:r>
        <w:rPr>
          <w:spacing w:val="-6"/>
        </w:rPr>
        <w:t>设施建设整体建设解决方案服务商，公司的核心技术为项目设计、关键产品及智能技术。</w:t>
      </w:r>
      <w:r>
        <w:rPr>
          <w:spacing w:val="-100"/>
        </w:rPr>
        <w:t> </w:t>
      </w:r>
      <w:r>
        <w:rPr>
          <w:spacing w:val="-100"/>
        </w:rPr>
      </w:r>
      <w:r>
        <w:rPr/>
        <w:t>面对市场竞争公司已经构建了核心竞争力和优势。</w:t>
      </w:r>
    </w:p>
    <w:p>
      <w:pPr>
        <w:pStyle w:val="BodyText"/>
        <w:spacing w:line="357" w:lineRule="auto" w:before="35"/>
        <w:ind w:left="1440" w:right="1033" w:firstLine="480"/>
        <w:jc w:val="left"/>
      </w:pPr>
      <w:r>
        <w:rPr>
          <w:rFonts w:ascii="宋体" w:hAnsi="宋体" w:cs="宋体" w:eastAsia="宋体" w:hint="default"/>
        </w:rPr>
        <w:t>3</w:t>
      </w:r>
      <w:r>
        <w:rPr/>
        <w:t>）在环保治理领域，目前公司为除尘、脱硫、脱硝大气治理工程系统整体解决方 </w:t>
      </w:r>
      <w:r>
        <w:rPr>
          <w:spacing w:val="-6"/>
        </w:rPr>
        <w:t>案服务商，公司在中小型项目中具有领先的竞争优势，目前公司正在积极拓展土壤修复、</w:t>
      </w:r>
      <w:r>
        <w:rPr>
          <w:spacing w:val="-99"/>
        </w:rPr>
        <w:t> </w:t>
      </w:r>
      <w:r>
        <w:rPr>
          <w:spacing w:val="-99"/>
        </w:rPr>
      </w:r>
      <w:r>
        <w:rPr/>
        <w:t>湿地治理等环保新业务。</w:t>
      </w:r>
    </w:p>
    <w:p>
      <w:pPr>
        <w:pStyle w:val="Heading3"/>
        <w:spacing w:line="240" w:lineRule="auto" w:before="35"/>
        <w:ind w:left="1922" w:right="1033"/>
        <w:jc w:val="left"/>
        <w:rPr>
          <w:b w:val="0"/>
          <w:bCs w:val="0"/>
        </w:rPr>
      </w:pPr>
      <w:r>
        <w:rPr>
          <w:rFonts w:ascii="宋体" w:hAnsi="宋体" w:cs="宋体" w:eastAsia="宋体" w:hint="default"/>
        </w:rPr>
        <w:t>2</w:t>
      </w:r>
      <w:r>
        <w:rPr/>
        <w:t>、发展战略</w:t>
      </w:r>
      <w:r>
        <w:rPr>
          <w:b w:val="0"/>
          <w:bCs w:val="0"/>
        </w:rPr>
      </w:r>
    </w:p>
    <w:p>
      <w:pPr>
        <w:spacing w:line="240" w:lineRule="auto" w:before="10"/>
        <w:rPr>
          <w:rFonts w:ascii="宋体" w:hAnsi="宋体" w:cs="宋体" w:eastAsia="宋体" w:hint="default"/>
          <w:b/>
          <w:bCs/>
          <w:sz w:val="17"/>
          <w:szCs w:val="17"/>
        </w:rPr>
      </w:pPr>
    </w:p>
    <w:p>
      <w:pPr>
        <w:pStyle w:val="BodyText"/>
        <w:spacing w:line="357" w:lineRule="auto"/>
        <w:ind w:left="1439" w:right="1436" w:firstLine="480"/>
        <w:jc w:val="both"/>
      </w:pPr>
      <w:r>
        <w:rPr/>
        <w:t>公司未来 </w:t>
      </w:r>
      <w:r>
        <w:rPr>
          <w:rFonts w:ascii="宋体" w:hAnsi="宋体" w:cs="宋体" w:eastAsia="宋体" w:hint="default"/>
        </w:rPr>
        <w:t>5</w:t>
      </w:r>
      <w:r>
        <w:rPr>
          <w:rFonts w:ascii="宋体" w:hAnsi="宋体" w:cs="宋体" w:eastAsia="宋体" w:hint="default"/>
          <w:spacing w:val="-93"/>
        </w:rPr>
        <w:t> </w:t>
      </w:r>
      <w:r>
        <w:rPr>
          <w:spacing w:val="-4"/>
        </w:rPr>
        <w:t>年发展战略为：在已初步构建的多元化产业集团的基础上，不断推进产</w:t>
      </w:r>
      <w:r>
        <w:rPr/>
        <w:t> 业建设、管理建设、组织建设、研发建设、文化建设，推进依米康互联网</w:t>
      </w:r>
      <w:r>
        <w:rPr>
          <w:rFonts w:ascii="宋体" w:hAnsi="宋体" w:cs="宋体" w:eastAsia="宋体" w:hint="default"/>
        </w:rPr>
        <w:t>+</w:t>
      </w:r>
      <w:r>
        <w:rPr/>
        <w:t>行动，启动</w:t>
      </w:r>
      <w:r>
        <w:rPr>
          <w:spacing w:val="-114"/>
        </w:rPr>
        <w:t> </w:t>
      </w:r>
      <w:r>
        <w:rPr>
          <w:spacing w:val="-3"/>
        </w:rPr>
        <w:t>企业分享经济平台建设，整合集团内外资源，积极拓展新业务和新模式，稳步发展，稳</w:t>
      </w:r>
      <w:r>
        <w:rPr>
          <w:spacing w:val="-101"/>
        </w:rPr>
        <w:t> </w:t>
      </w:r>
      <w:r>
        <w:rPr>
          <w:spacing w:val="-101"/>
        </w:rPr>
      </w:r>
      <w:r>
        <w:rPr/>
        <w:t>中求快，争取到 </w:t>
      </w:r>
      <w:r>
        <w:rPr>
          <w:rFonts w:ascii="宋体" w:hAnsi="宋体" w:cs="宋体" w:eastAsia="宋体" w:hint="default"/>
        </w:rPr>
        <w:t>2020</w:t>
      </w:r>
      <w:r>
        <w:rPr>
          <w:rFonts w:ascii="宋体" w:hAnsi="宋体" w:cs="宋体" w:eastAsia="宋体" w:hint="default"/>
          <w:spacing w:val="-94"/>
        </w:rPr>
        <w:t> </w:t>
      </w:r>
      <w:r>
        <w:rPr/>
        <w:t>年发展成为创新发展模式、引领行业方向、担当社会责任的优秀 上市公司，成为同行业中“组织最强、管理最好、文化最浓、品牌最优”的公司。</w:t>
      </w:r>
    </w:p>
    <w:p>
      <w:pPr>
        <w:pStyle w:val="BodyText"/>
        <w:spacing w:line="357" w:lineRule="auto" w:before="36"/>
        <w:ind w:left="1440" w:right="1033" w:firstLine="480"/>
        <w:jc w:val="left"/>
      </w:pPr>
      <w:r>
        <w:rPr>
          <w:spacing w:val="-4"/>
        </w:rPr>
        <w:t>公司的总体战略方针为“创新、提升、引领”。公司将全力打造在信息、医疗、环</w:t>
      </w:r>
      <w:r>
        <w:rPr/>
        <w:t> </w:t>
      </w:r>
      <w:r>
        <w:rPr>
          <w:spacing w:val="-3"/>
        </w:rPr>
        <w:t>保等领域“全生命周期”解决方案商业模式，快速提升市场地位，构建核心能力；充分</w:t>
      </w:r>
      <w:r>
        <w:rPr>
          <w:spacing w:val="-105"/>
        </w:rPr>
        <w:t> </w:t>
      </w:r>
      <w:r>
        <w:rPr>
          <w:spacing w:val="-105"/>
        </w:rPr>
      </w:r>
      <w:r>
        <w:rPr>
          <w:spacing w:val="-3"/>
        </w:rPr>
        <w:t>发挥上市公司融资优势，大力开展</w:t>
      </w:r>
      <w:r>
        <w:rPr>
          <w:spacing w:val="-53"/>
        </w:rPr>
        <w:t> </w:t>
      </w:r>
      <w:r>
        <w:rPr>
          <w:rFonts w:ascii="宋体" w:hAnsi="宋体" w:cs="宋体" w:eastAsia="宋体" w:hint="default"/>
        </w:rPr>
        <w:t>PPP</w:t>
      </w:r>
      <w:r>
        <w:rPr>
          <w:rFonts w:ascii="宋体" w:hAnsi="宋体" w:cs="宋体" w:eastAsia="宋体" w:hint="default"/>
          <w:spacing w:val="-53"/>
        </w:rPr>
        <w:t> </w:t>
      </w:r>
      <w:r>
        <w:rPr>
          <w:spacing w:val="-4"/>
        </w:rPr>
        <w:t>等新兴业务，推动集团业务增长；通过并购等措</w:t>
      </w:r>
      <w:r>
        <w:rPr>
          <w:spacing w:val="-103"/>
        </w:rPr>
        <w:t> </w:t>
      </w:r>
      <w:r>
        <w:rPr>
          <w:spacing w:val="-103"/>
        </w:rPr>
      </w:r>
      <w:r>
        <w:rPr>
          <w:spacing w:val="-3"/>
        </w:rPr>
        <w:t>施，加快实现战略目标，实现依米康集团业绩跨越式发展；推动集团互联网</w:t>
      </w:r>
      <w:r>
        <w:rPr>
          <w:rFonts w:ascii="宋体" w:hAnsi="宋体" w:cs="宋体" w:eastAsia="宋体" w:hint="default"/>
          <w:spacing w:val="-3"/>
        </w:rPr>
        <w:t>+</w:t>
      </w:r>
      <w:r>
        <w:rPr>
          <w:spacing w:val="-3"/>
        </w:rPr>
        <w:t>行动计划，</w:t>
      </w:r>
      <w:r>
        <w:rPr>
          <w:spacing w:val="-99"/>
        </w:rPr>
        <w:t> </w:t>
      </w:r>
      <w:r>
        <w:rPr>
          <w:spacing w:val="-3"/>
        </w:rPr>
        <w:t>构建企业分享经济平台和集团大数据平台；全面完成集团信息化建设，把依米康建设成</w:t>
      </w:r>
      <w:r>
        <w:rPr>
          <w:spacing w:val="-100"/>
        </w:rPr>
        <w:t> </w:t>
      </w:r>
      <w:r>
        <w:rPr>
          <w:spacing w:val="-100"/>
        </w:rPr>
      </w:r>
      <w:r>
        <w:rPr/>
        <w:t>为互联、安全、受控的信息化企业，完善人、财、产、供、销、研等有效管理机制。</w:t>
      </w:r>
    </w:p>
    <w:p>
      <w:pPr>
        <w:pStyle w:val="Heading3"/>
        <w:spacing w:line="271" w:lineRule="exact"/>
        <w:ind w:left="1922" w:right="1033"/>
        <w:jc w:val="left"/>
        <w:rPr>
          <w:b w:val="0"/>
          <w:bCs w:val="0"/>
        </w:rPr>
      </w:pPr>
      <w:r>
        <w:rPr>
          <w:rFonts w:ascii="宋体" w:hAnsi="宋体" w:cs="宋体" w:eastAsia="宋体" w:hint="default"/>
        </w:rPr>
        <w:t>3</w:t>
      </w:r>
      <w:r>
        <w:rPr/>
        <w:t>、</w:t>
      </w:r>
      <w:r>
        <w:rPr>
          <w:rFonts w:ascii="宋体" w:hAnsi="宋体" w:cs="宋体" w:eastAsia="宋体" w:hint="default"/>
        </w:rPr>
        <w:t>2016</w:t>
      </w:r>
      <w:r>
        <w:rPr/>
        <w:t>年的经营计划及资金计划</w:t>
      </w:r>
      <w:r>
        <w:rPr>
          <w:b w:val="0"/>
          <w:bCs w:val="0"/>
        </w:rPr>
      </w:r>
    </w:p>
    <w:p>
      <w:pPr>
        <w:pStyle w:val="BodyText"/>
        <w:spacing w:line="357" w:lineRule="auto" w:before="153"/>
        <w:ind w:left="1440" w:right="1438" w:firstLine="480"/>
        <w:jc w:val="both"/>
      </w:pPr>
      <w:r>
        <w:rPr>
          <w:rFonts w:ascii="宋体" w:hAnsi="宋体" w:cs="宋体" w:eastAsia="宋体" w:hint="default"/>
          <w:spacing w:val="-3"/>
        </w:rPr>
        <w:t>2016</w:t>
      </w:r>
      <w:r>
        <w:rPr>
          <w:spacing w:val="-3"/>
        </w:rPr>
        <w:t>年，经营方针：“加强管理、消除短板、控制成本、提高效益”，重点工作将</w:t>
      </w:r>
      <w:r>
        <w:rPr/>
        <w:t> </w:t>
      </w:r>
      <w:r>
        <w:rPr>
          <w:spacing w:val="-3"/>
        </w:rPr>
        <w:t>落实在推进产业建设、管理建设、组织建设、文化建设、研发建设人等方面，具体工作</w:t>
      </w:r>
      <w:r>
        <w:rPr>
          <w:spacing w:val="-107"/>
        </w:rPr>
        <w:t> </w:t>
      </w:r>
      <w:r>
        <w:rPr>
          <w:spacing w:val="-107"/>
        </w:rPr>
      </w:r>
      <w:r>
        <w:rPr/>
        <w:t>计划如下：</w:t>
      </w:r>
    </w:p>
    <w:p>
      <w:pPr>
        <w:spacing w:after="0" w:line="357" w:lineRule="auto"/>
        <w:jc w:val="both"/>
        <w:sectPr>
          <w:pgSz w:w="11910" w:h="16840"/>
          <w:pgMar w:header="747" w:footer="979" w:top="1060" w:bottom="1160" w:left="0" w:right="0"/>
        </w:sectPr>
      </w:pPr>
    </w:p>
    <w:p>
      <w:pPr>
        <w:spacing w:line="357" w:lineRule="auto" w:before="13"/>
        <w:ind w:left="2040" w:right="1033" w:hanging="118"/>
        <w:jc w:val="left"/>
        <w:rPr>
          <w:rFonts w:ascii="宋体" w:hAnsi="宋体" w:cs="宋体" w:eastAsia="宋体" w:hint="default"/>
          <w:sz w:val="24"/>
          <w:szCs w:val="24"/>
        </w:rPr>
      </w:pPr>
      <w:r>
        <w:rPr/>
        <w:pict>
          <v:group style="position:absolute;margin-left:70.5pt;margin-top:2.245630pt;width:454.4pt;height:.1pt;mso-position-horizontal-relative:page;mso-position-vertical-relative:paragraph;z-index:-1061128" coordorigin="1410,45" coordsize="9088,2">
            <v:shape style="position:absolute;left:1410;top:45;width:9088;height:2" coordorigin="1410,45" coordsize="9088,0" path="m1410,45l10498,45e" filled="false" stroked="true" strokeweight=".72pt" strokecolor="#000000">
              <v:path arrowok="t"/>
            </v:shape>
            <w10:wrap type="none"/>
          </v:group>
        </w:pict>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4"/>
          <w:szCs w:val="24"/>
        </w:rPr>
        <w:t>2016</w:t>
      </w:r>
      <w:r>
        <w:rPr>
          <w:rFonts w:ascii="宋体" w:hAnsi="宋体" w:cs="宋体" w:eastAsia="宋体" w:hint="default"/>
          <w:b/>
          <w:bCs/>
          <w:sz w:val="24"/>
          <w:szCs w:val="24"/>
        </w:rPr>
        <w:t>年度经营计划</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）制定公司及子公司未来</w:t>
      </w:r>
      <w:r>
        <w:rPr>
          <w:rFonts w:ascii="宋体" w:hAnsi="宋体" w:cs="宋体" w:eastAsia="宋体" w:hint="default"/>
          <w:sz w:val="24"/>
          <w:szCs w:val="24"/>
        </w:rPr>
        <w:t>5</w:t>
      </w:r>
      <w:r>
        <w:rPr>
          <w:rFonts w:ascii="宋体" w:hAnsi="宋体" w:cs="宋体" w:eastAsia="宋体" w:hint="default"/>
          <w:sz w:val="24"/>
          <w:szCs w:val="24"/>
        </w:rPr>
        <w:t>年发展战略，力争在</w:t>
      </w:r>
      <w:r>
        <w:rPr>
          <w:rFonts w:ascii="宋体" w:hAnsi="宋体" w:cs="宋体" w:eastAsia="宋体" w:hint="default"/>
          <w:sz w:val="24"/>
          <w:szCs w:val="24"/>
        </w:rPr>
        <w:t>2020</w:t>
      </w:r>
      <w:r>
        <w:rPr>
          <w:rFonts w:ascii="宋体" w:hAnsi="宋体" w:cs="宋体" w:eastAsia="宋体" w:hint="default"/>
          <w:sz w:val="24"/>
          <w:szCs w:val="24"/>
        </w:rPr>
        <w:t>年实现成为优秀上市公司目</w:t>
      </w:r>
    </w:p>
    <w:p>
      <w:pPr>
        <w:pStyle w:val="BodyText"/>
        <w:spacing w:line="240" w:lineRule="auto" w:before="35"/>
        <w:ind w:left="1440" w:right="1033"/>
        <w:jc w:val="left"/>
      </w:pPr>
      <w:r>
        <w:rPr/>
        <w:t>标。</w:t>
      </w:r>
    </w:p>
    <w:p>
      <w:pPr>
        <w:spacing w:line="240" w:lineRule="auto" w:before="9"/>
        <w:rPr>
          <w:rFonts w:ascii="宋体" w:hAnsi="宋体" w:cs="宋体" w:eastAsia="宋体" w:hint="default"/>
          <w:sz w:val="9"/>
          <w:szCs w:val="9"/>
        </w:rPr>
      </w:pPr>
    </w:p>
    <w:p>
      <w:pPr>
        <w:pStyle w:val="BodyText"/>
        <w:spacing w:line="357" w:lineRule="auto" w:before="26"/>
        <w:ind w:left="1440" w:right="1033" w:firstLine="480"/>
        <w:jc w:val="left"/>
      </w:pPr>
      <w:r>
        <w:rPr>
          <w:rFonts w:ascii="宋体" w:hAnsi="宋体" w:cs="宋体" w:eastAsia="宋体" w:hint="default"/>
        </w:rPr>
        <w:t>2</w:t>
      </w:r>
      <w:r>
        <w:rPr/>
        <w:t>）制定和实施标准化集团管理方案，加快集团和各公司信息化建设，提升集团管 理质量、效率和协同发展，确保实现集团战略和年度经营目标。</w:t>
      </w:r>
    </w:p>
    <w:p>
      <w:pPr>
        <w:pStyle w:val="BodyText"/>
        <w:spacing w:line="240" w:lineRule="auto" w:before="35"/>
        <w:ind w:left="1920" w:right="1033"/>
        <w:jc w:val="left"/>
      </w:pPr>
      <w:r>
        <w:rPr>
          <w:rFonts w:ascii="宋体" w:hAnsi="宋体" w:cs="宋体" w:eastAsia="宋体" w:hint="default"/>
        </w:rPr>
        <w:t>3</w:t>
      </w:r>
      <w:r>
        <w:rPr/>
        <w:t>）通过加大高价值业务投资，优化公司资产。</w:t>
      </w:r>
    </w:p>
    <w:p>
      <w:pPr>
        <w:pStyle w:val="BodyText"/>
        <w:spacing w:line="240" w:lineRule="auto" w:before="152"/>
        <w:ind w:left="1920" w:right="1033"/>
        <w:jc w:val="left"/>
      </w:pPr>
      <w:r>
        <w:rPr>
          <w:rFonts w:ascii="宋体" w:hAnsi="宋体" w:cs="宋体" w:eastAsia="宋体" w:hint="default"/>
        </w:rPr>
        <w:t>4</w:t>
      </w:r>
      <w:r>
        <w:rPr/>
        <w:t>）投资大数据服务业务，逐步提升公司持续发展能力。</w:t>
      </w:r>
    </w:p>
    <w:p>
      <w:pPr>
        <w:pStyle w:val="BodyText"/>
        <w:spacing w:line="240" w:lineRule="auto" w:before="152"/>
        <w:ind w:left="1920" w:right="1033"/>
        <w:jc w:val="left"/>
      </w:pPr>
      <w:r>
        <w:rPr>
          <w:rFonts w:ascii="宋体" w:hAnsi="宋体" w:cs="宋体" w:eastAsia="宋体" w:hint="default"/>
          <w:spacing w:val="-3"/>
        </w:rPr>
        <w:t>5</w:t>
      </w:r>
      <w:r>
        <w:rPr>
          <w:spacing w:val="-3"/>
        </w:rPr>
        <w:t>）制定管理质量发展规划，力争在</w:t>
      </w:r>
      <w:r>
        <w:rPr>
          <w:rFonts w:ascii="宋体" w:hAnsi="宋体" w:cs="宋体" w:eastAsia="宋体" w:hint="default"/>
          <w:spacing w:val="-3"/>
        </w:rPr>
        <w:t>2020</w:t>
      </w:r>
      <w:r>
        <w:rPr>
          <w:spacing w:val="-3"/>
        </w:rPr>
        <w:t>年实现成为行业“管理最好”公司的目标。</w:t>
      </w:r>
    </w:p>
    <w:p>
      <w:pPr>
        <w:pStyle w:val="BodyText"/>
        <w:spacing w:line="357" w:lineRule="auto" w:before="152"/>
        <w:ind w:left="1440" w:right="1437" w:firstLine="480"/>
        <w:jc w:val="both"/>
      </w:pPr>
      <w:r>
        <w:rPr>
          <w:rFonts w:ascii="宋体" w:hAnsi="宋体" w:cs="宋体" w:eastAsia="宋体" w:hint="default"/>
        </w:rPr>
        <w:t>6</w:t>
      </w:r>
      <w:r>
        <w:rPr/>
        <w:t>）根据公司发展目标，制定组织建设规划，完善关键岗位人员配置和培训，使公 </w:t>
      </w:r>
      <w:r>
        <w:rPr>
          <w:spacing w:val="-3"/>
        </w:rPr>
        <w:t>司组织架构和组织能力与实现公司目标相匹配；并设立创新中心，全面推动创新能力建</w:t>
      </w:r>
      <w:r>
        <w:rPr>
          <w:spacing w:val="-100"/>
        </w:rPr>
        <w:t> </w:t>
      </w:r>
      <w:r>
        <w:rPr>
          <w:spacing w:val="-100"/>
        </w:rPr>
      </w:r>
      <w:r>
        <w:rPr/>
        <w:t>设，使公司尽快成为创新型组织。</w:t>
      </w:r>
    </w:p>
    <w:p>
      <w:pPr>
        <w:pStyle w:val="BodyText"/>
        <w:spacing w:line="240" w:lineRule="auto" w:before="36"/>
        <w:ind w:left="2040" w:right="1033"/>
        <w:jc w:val="left"/>
      </w:pPr>
      <w:r>
        <w:rPr>
          <w:rFonts w:ascii="宋体" w:hAnsi="宋体" w:cs="宋体" w:eastAsia="宋体" w:hint="default"/>
        </w:rPr>
        <w:t>7</w:t>
      </w:r>
      <w:r>
        <w:rPr/>
        <w:t>）完善公司文化建设规划，构建创新文化，并促进文化机制化。</w:t>
      </w:r>
    </w:p>
    <w:p>
      <w:pPr>
        <w:pStyle w:val="BodyText"/>
        <w:spacing w:line="240" w:lineRule="auto" w:before="152"/>
        <w:ind w:left="2040" w:right="1033"/>
        <w:jc w:val="left"/>
      </w:pPr>
      <w:r>
        <w:rPr>
          <w:rFonts w:ascii="宋体" w:hAnsi="宋体" w:cs="宋体" w:eastAsia="宋体" w:hint="default"/>
        </w:rPr>
        <w:t>8</w:t>
      </w:r>
      <w:r>
        <w:rPr/>
        <w:t>）完成 “标杆”品牌计划，并逐步实施。</w:t>
      </w:r>
    </w:p>
    <w:p>
      <w:pPr>
        <w:pStyle w:val="BodyText"/>
        <w:spacing w:line="240" w:lineRule="auto" w:before="152"/>
        <w:ind w:left="2040" w:right="1033"/>
        <w:jc w:val="left"/>
      </w:pPr>
      <w:r>
        <w:rPr>
          <w:rFonts w:ascii="宋体" w:hAnsi="宋体" w:cs="宋体" w:eastAsia="宋体" w:hint="default"/>
        </w:rPr>
        <w:t>9</w:t>
      </w:r>
      <w:r>
        <w:rPr/>
        <w:t>）进一步制定并落实技术领先计划。</w:t>
      </w:r>
    </w:p>
    <w:p>
      <w:pPr>
        <w:pStyle w:val="BodyText"/>
        <w:spacing w:line="240" w:lineRule="auto" w:before="152"/>
        <w:ind w:left="2040" w:right="1033"/>
        <w:jc w:val="left"/>
      </w:pPr>
      <w:r>
        <w:rPr>
          <w:rFonts w:ascii="宋体" w:hAnsi="宋体" w:cs="宋体" w:eastAsia="宋体" w:hint="default"/>
        </w:rPr>
        <w:t>10</w:t>
      </w:r>
      <w:r>
        <w:rPr/>
        <w:t>）制定并实施营销能力提升计划。</w:t>
      </w:r>
    </w:p>
    <w:p>
      <w:pPr>
        <w:pStyle w:val="BodyText"/>
        <w:spacing w:line="240" w:lineRule="auto" w:before="152"/>
        <w:ind w:left="2040" w:right="1033"/>
        <w:jc w:val="left"/>
      </w:pPr>
      <w:r>
        <w:rPr>
          <w:rFonts w:ascii="宋体" w:hAnsi="宋体" w:cs="宋体" w:eastAsia="宋体" w:hint="default"/>
        </w:rPr>
        <w:t>11</w:t>
      </w:r>
      <w:r>
        <w:rPr/>
        <w:t>）制定并实施成本控制计划。</w:t>
      </w:r>
    </w:p>
    <w:p>
      <w:pPr>
        <w:pStyle w:val="BodyText"/>
        <w:spacing w:line="240" w:lineRule="auto" w:before="153"/>
        <w:ind w:left="2040" w:right="1033"/>
        <w:jc w:val="left"/>
      </w:pPr>
      <w:r>
        <w:rPr>
          <w:rFonts w:ascii="宋体" w:hAnsi="宋体" w:cs="宋体" w:eastAsia="宋体" w:hint="default"/>
        </w:rPr>
        <w:t>12</w:t>
      </w:r>
      <w:r>
        <w:rPr/>
        <w:t>）强化应收款管理，有效控制财务风险</w:t>
      </w:r>
    </w:p>
    <w:p>
      <w:pPr>
        <w:pStyle w:val="BodyText"/>
        <w:spacing w:line="240" w:lineRule="auto" w:before="152"/>
        <w:ind w:left="2040" w:right="1033"/>
        <w:jc w:val="left"/>
      </w:pPr>
      <w:r>
        <w:rPr>
          <w:rFonts w:ascii="宋体" w:hAnsi="宋体" w:cs="宋体" w:eastAsia="宋体" w:hint="default"/>
        </w:rPr>
        <w:t>13</w:t>
      </w:r>
      <w:r>
        <w:rPr/>
        <w:t>）完成</w:t>
      </w:r>
      <w:r>
        <w:rPr>
          <w:rFonts w:ascii="宋体" w:hAnsi="宋体" w:cs="宋体" w:eastAsia="宋体" w:hint="default"/>
        </w:rPr>
        <w:t>2016</w:t>
      </w:r>
      <w:r>
        <w:rPr/>
        <w:t>年度经营目标。</w:t>
      </w:r>
    </w:p>
    <w:p>
      <w:pPr>
        <w:spacing w:line="357" w:lineRule="auto" w:before="152"/>
        <w:ind w:left="1920" w:right="10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）预算与资金计划</w:t>
      </w:r>
      <w:r>
        <w:rPr>
          <w:rFonts w:ascii="宋体" w:hAnsi="宋体" w:cs="宋体" w:eastAsia="宋体" w:hint="default"/>
          <w:b/>
          <w:bCs/>
          <w:w w:val="99"/>
          <w:sz w:val="24"/>
          <w:szCs w:val="24"/>
        </w:rPr>
        <w:t> </w:t>
      </w:r>
      <w:r>
        <w:rPr>
          <w:rFonts w:ascii="宋体" w:hAnsi="宋体" w:cs="宋体" w:eastAsia="宋体" w:hint="default"/>
          <w:spacing w:val="-3"/>
          <w:sz w:val="24"/>
          <w:szCs w:val="24"/>
        </w:rPr>
        <w:t>根据</w:t>
      </w:r>
      <w:r>
        <w:rPr>
          <w:rFonts w:ascii="宋体" w:hAnsi="宋体" w:cs="宋体" w:eastAsia="宋体" w:hint="default"/>
          <w:spacing w:val="-3"/>
          <w:sz w:val="24"/>
          <w:szCs w:val="24"/>
        </w:rPr>
        <w:t>2015</w:t>
      </w:r>
      <w:r>
        <w:rPr>
          <w:rFonts w:ascii="宋体" w:hAnsi="宋体" w:cs="宋体" w:eastAsia="宋体" w:hint="default"/>
          <w:spacing w:val="-3"/>
          <w:sz w:val="24"/>
          <w:szCs w:val="24"/>
        </w:rPr>
        <w:t>年经营计划，公司拟申请总额为</w:t>
      </w:r>
      <w:r>
        <w:rPr>
          <w:rFonts w:ascii="宋体" w:hAnsi="宋体" w:cs="宋体" w:eastAsia="宋体" w:hint="default"/>
          <w:spacing w:val="-3"/>
          <w:sz w:val="24"/>
          <w:szCs w:val="24"/>
        </w:rPr>
        <w:t>79,000</w:t>
      </w:r>
      <w:r>
        <w:rPr>
          <w:rFonts w:ascii="宋体" w:hAnsi="宋体" w:cs="宋体" w:eastAsia="宋体" w:hint="default"/>
          <w:spacing w:val="-3"/>
          <w:sz w:val="24"/>
          <w:szCs w:val="24"/>
        </w:rPr>
        <w:t>万元的银行综合授信以满足日常经</w:t>
      </w:r>
    </w:p>
    <w:p>
      <w:pPr>
        <w:pStyle w:val="BodyText"/>
        <w:spacing w:line="357" w:lineRule="auto" w:before="35"/>
        <w:ind w:left="1440" w:right="1439"/>
        <w:jc w:val="both"/>
      </w:pPr>
      <w:r>
        <w:rPr>
          <w:spacing w:val="-3"/>
        </w:rPr>
        <w:t>营的资金需求；另外，公司将根据开展的融资租赁、重大投资等事项的融资方案将另行</w:t>
      </w:r>
      <w:r>
        <w:rPr>
          <w:spacing w:val="-102"/>
        </w:rPr>
        <w:t> </w:t>
      </w:r>
      <w:r>
        <w:rPr>
          <w:spacing w:val="-102"/>
        </w:rPr>
      </w:r>
      <w:r>
        <w:rPr>
          <w:spacing w:val="-3"/>
        </w:rPr>
        <w:t>审议。同时，公司将强化应收款管理，提高资金使用效率，合理利用现有资金，制定多</w:t>
      </w:r>
      <w:r>
        <w:rPr>
          <w:spacing w:val="-106"/>
        </w:rPr>
        <w:t> </w:t>
      </w:r>
      <w:r>
        <w:rPr>
          <w:spacing w:val="-106"/>
        </w:rPr>
      </w:r>
      <w:r>
        <w:rPr/>
        <w:t>渠道的资金筹措方案，实现股东利益最大化。</w:t>
      </w:r>
    </w:p>
    <w:p>
      <w:pPr>
        <w:pStyle w:val="BodyText"/>
        <w:spacing w:line="357" w:lineRule="auto" w:before="35"/>
        <w:ind w:left="1439" w:right="1435" w:firstLine="480"/>
        <w:jc w:val="left"/>
      </w:pPr>
      <w:r>
        <w:rPr>
          <w:spacing w:val="-3"/>
        </w:rPr>
        <w:t>以上经营计划并不构成本公司对投资者及相关人士的承诺，投资者及相关人士均应</w:t>
      </w:r>
      <w:r>
        <w:rPr/>
        <w:t> 对此保持足够的风险认识，并且应当理解计划、预测与承诺之间的差异。</w:t>
      </w:r>
    </w:p>
    <w:p>
      <w:pPr>
        <w:spacing w:line="357" w:lineRule="auto" w:before="35"/>
        <w:ind w:left="1920" w:right="1434"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、公司未来发展和经营目标实现可能面临的风险分析及对策</w:t>
      </w:r>
      <w:r>
        <w:rPr>
          <w:rFonts w:ascii="宋体" w:hAnsi="宋体" w:cs="宋体" w:eastAsia="宋体" w:hint="default"/>
          <w:b/>
          <w:bCs/>
          <w:w w:val="99"/>
          <w:sz w:val="24"/>
          <w:szCs w:val="24"/>
        </w:rPr>
        <w:t> </w:t>
      </w:r>
      <w:r>
        <w:rPr>
          <w:rFonts w:ascii="宋体" w:hAnsi="宋体" w:cs="宋体" w:eastAsia="宋体" w:hint="default"/>
          <w:spacing w:val="-3"/>
          <w:sz w:val="24"/>
          <w:szCs w:val="24"/>
        </w:rPr>
        <w:t>对公司未来发展战略和经营目标的实现产生不利影响的风险因素除本报告“第一节</w:t>
      </w:r>
    </w:p>
    <w:p>
      <w:pPr>
        <w:pStyle w:val="BodyText"/>
        <w:spacing w:line="240" w:lineRule="auto" w:before="36"/>
        <w:ind w:left="1440" w:right="0"/>
        <w:jc w:val="both"/>
      </w:pPr>
      <w:r>
        <w:rPr/>
        <w:t>重要提示、目录和释义”中的“重大风险”外，还主要体现在以下几个方面：</w:t>
      </w:r>
    </w:p>
    <w:p>
      <w:pPr>
        <w:pStyle w:val="Heading3"/>
        <w:spacing w:line="357" w:lineRule="auto" w:before="153"/>
        <w:ind w:left="1439" w:right="1033" w:firstLine="482"/>
        <w:jc w:val="left"/>
        <w:rPr>
          <w:b w:val="0"/>
          <w:bCs w:val="0"/>
        </w:rPr>
      </w:pPr>
      <w:r>
        <w:rPr>
          <w:w w:val="95"/>
        </w:rPr>
        <w:t>（</w:t>
      </w:r>
      <w:r>
        <w:rPr>
          <w:rFonts w:ascii="宋体" w:hAnsi="宋体" w:cs="宋体" w:eastAsia="宋体" w:hint="default"/>
          <w:w w:val="95"/>
        </w:rPr>
        <w:t>1</w:t>
      </w:r>
      <w:r>
        <w:rPr>
          <w:w w:val="95"/>
        </w:rPr>
        <w:t>）江苏亿金所面临的经营内外部环境发生重大变化导致已承诺的盈利预测不能</w:t>
      </w:r>
      <w:r>
        <w:rPr>
          <w:w w:val="99"/>
        </w:rPr>
        <w:t> </w:t>
      </w:r>
      <w:r>
        <w:rPr/>
        <w:t>实现的风险</w:t>
      </w:r>
      <w:r>
        <w:rPr>
          <w:b w:val="0"/>
          <w:bCs w:val="0"/>
        </w:rPr>
      </w:r>
    </w:p>
    <w:p>
      <w:pPr>
        <w:pStyle w:val="BodyText"/>
        <w:spacing w:line="240" w:lineRule="auto" w:before="35"/>
        <w:ind w:left="1920" w:right="1033"/>
        <w:jc w:val="left"/>
        <w:rPr>
          <w:rFonts w:ascii="宋体" w:hAnsi="宋体" w:cs="宋体" w:eastAsia="宋体" w:hint="default"/>
        </w:rPr>
      </w:pPr>
      <w:r>
        <w:rPr>
          <w:spacing w:val="3"/>
        </w:rPr>
        <w:t>公司在江苏亿金重大资产重组项目中，江苏亿金承诺</w:t>
      </w:r>
      <w:r>
        <w:rPr>
          <w:spacing w:val="59"/>
        </w:rPr>
        <w:t> </w:t>
      </w:r>
      <w:r>
        <w:rPr>
          <w:rFonts w:ascii="宋体" w:hAnsi="宋体" w:cs="宋体" w:eastAsia="宋体" w:hint="default"/>
        </w:rPr>
        <w:t>2016</w:t>
      </w:r>
      <w:r>
        <w:rPr/>
        <w:t>年实现净利润为</w:t>
      </w:r>
      <w:r>
        <w:rPr>
          <w:rFonts w:ascii="宋体" w:hAnsi="宋体" w:cs="宋体" w:eastAsia="宋体" w:hint="default"/>
        </w:rPr>
        <w:t>4,100</w:t>
      </w:r>
    </w:p>
    <w:p>
      <w:pPr>
        <w:spacing w:after="0" w:line="240" w:lineRule="auto"/>
        <w:jc w:val="left"/>
        <w:rPr>
          <w:rFonts w:ascii="宋体" w:hAnsi="宋体" w:cs="宋体" w:eastAsia="宋体" w:hint="default"/>
        </w:rPr>
        <w:sectPr>
          <w:pgSz w:w="11910" w:h="16840"/>
          <w:pgMar w:header="747" w:footer="979" w:top="1060" w:bottom="1160" w:left="0" w:right="0"/>
        </w:sectPr>
      </w:pPr>
    </w:p>
    <w:p>
      <w:pPr>
        <w:pStyle w:val="BodyText"/>
        <w:spacing w:line="357" w:lineRule="auto" w:before="13"/>
        <w:ind w:left="1439" w:right="1436"/>
        <w:jc w:val="both"/>
      </w:pPr>
      <w:r>
        <w:rPr/>
        <w:pict>
          <v:group style="position:absolute;margin-left:70.5pt;margin-top:2.245630pt;width:454.4pt;height:.1pt;mso-position-horizontal-relative:page;mso-position-vertical-relative:paragraph;z-index:-1061104" coordorigin="1410,45" coordsize="9088,2">
            <v:shape style="position:absolute;left:1410;top:45;width:9088;height:2" coordorigin="1410,45" coordsize="9088,0" path="m1410,45l10498,45e" filled="false" stroked="true" strokeweight=".72pt" strokecolor="#000000">
              <v:path arrowok="t"/>
            </v:shape>
            <w10:wrap type="none"/>
          </v:group>
        </w:pict>
      </w:r>
      <w:r>
        <w:rPr>
          <w:spacing w:val="2"/>
        </w:rPr>
        <w:t>万元，</w:t>
      </w:r>
      <w:r>
        <w:rPr>
          <w:rFonts w:ascii="宋体" w:hAnsi="宋体" w:cs="宋体" w:eastAsia="宋体" w:hint="default"/>
          <w:spacing w:val="2"/>
        </w:rPr>
        <w:t>2014-2016</w:t>
      </w:r>
      <w:r>
        <w:rPr>
          <w:spacing w:val="2"/>
        </w:rPr>
        <w:t>年度累计净利润为</w:t>
      </w:r>
      <w:r>
        <w:rPr>
          <w:rFonts w:ascii="宋体" w:hAnsi="宋体" w:cs="宋体" w:eastAsia="宋体" w:hint="default"/>
          <w:spacing w:val="2"/>
        </w:rPr>
        <w:t>10,500</w:t>
      </w:r>
      <w:r>
        <w:rPr>
          <w:spacing w:val="2"/>
        </w:rPr>
        <w:t>万元，其中</w:t>
      </w:r>
      <w:r>
        <w:rPr>
          <w:rFonts w:ascii="宋体" w:hAnsi="宋体" w:cs="宋体" w:eastAsia="宋体" w:hint="default"/>
          <w:spacing w:val="2"/>
        </w:rPr>
        <w:t>2014-2015</w:t>
      </w:r>
      <w:r>
        <w:rPr>
          <w:spacing w:val="2"/>
        </w:rPr>
        <w:t>年度已实现净利润为</w:t>
      </w:r>
      <w:r>
        <w:rPr>
          <w:spacing w:val="-90"/>
        </w:rPr>
        <w:t> </w:t>
      </w:r>
      <w:r>
        <w:rPr>
          <w:spacing w:val="-90"/>
        </w:rPr>
      </w:r>
      <w:r>
        <w:rPr>
          <w:rFonts w:ascii="宋体" w:hAnsi="宋体" w:cs="宋体" w:eastAsia="宋体" w:hint="default"/>
        </w:rPr>
        <w:t>6,644.01</w:t>
      </w:r>
      <w:r>
        <w:rPr>
          <w:rFonts w:ascii="宋体" w:hAnsi="宋体" w:cs="宋体" w:eastAsia="宋体" w:hint="default"/>
          <w:spacing w:val="4"/>
        </w:rPr>
        <w:t> </w:t>
      </w:r>
      <w:r>
        <w:rPr/>
        <w:t>万元。因盈利预测是在估计假设的基础上进行的，由于所依据的各种假 </w:t>
      </w:r>
      <w:r>
        <w:rPr>
          <w:spacing w:val="-3"/>
        </w:rPr>
        <w:t>设具有不确定性，其实际经营会受到多方面不确定性因素的影响，因此存在上述承诺的</w:t>
      </w:r>
      <w:r>
        <w:rPr>
          <w:spacing w:val="-99"/>
        </w:rPr>
        <w:t> </w:t>
      </w:r>
      <w:r>
        <w:rPr>
          <w:spacing w:val="-99"/>
        </w:rPr>
      </w:r>
      <w:r>
        <w:rPr/>
        <w:t>业绩不能实现的风险。</w:t>
      </w:r>
    </w:p>
    <w:p>
      <w:pPr>
        <w:pStyle w:val="BodyText"/>
        <w:spacing w:line="357" w:lineRule="auto" w:before="35"/>
        <w:ind w:left="1439" w:right="1437" w:firstLine="480"/>
        <w:jc w:val="both"/>
      </w:pPr>
      <w:r>
        <w:rPr>
          <w:spacing w:val="-3"/>
        </w:rPr>
        <w:t>对此，公司将在经营计划和业务方向、管理体系和财务体系等方面对江苏亿金统筹</w:t>
      </w:r>
      <w:r>
        <w:rPr/>
        <w:t> </w:t>
      </w:r>
      <w:r>
        <w:rPr>
          <w:spacing w:val="-3"/>
        </w:rPr>
        <w:t>规划，在保持江苏亿金独立运营的基础上与江苏亿金实现优势互补，在发展战略、品牌</w:t>
      </w:r>
      <w:r>
        <w:rPr>
          <w:spacing w:val="-102"/>
        </w:rPr>
        <w:t> </w:t>
      </w:r>
      <w:r>
        <w:rPr>
          <w:spacing w:val="-102"/>
        </w:rPr>
      </w:r>
      <w:r>
        <w:rPr>
          <w:spacing w:val="-3"/>
        </w:rPr>
        <w:t>宣传、技术开发、销售渠道资源等方面发挥协同效应，通过每月对计划完成及绩效目标</w:t>
      </w:r>
      <w:r>
        <w:rPr>
          <w:spacing w:val="-102"/>
        </w:rPr>
        <w:t> </w:t>
      </w:r>
      <w:r>
        <w:rPr>
          <w:spacing w:val="-102"/>
        </w:rPr>
      </w:r>
      <w:r>
        <w:rPr>
          <w:spacing w:val="-3"/>
        </w:rPr>
        <w:t>指标达成情况进行检查、组织分析并改进各项工作，加强日常沟通和规范运作管理；以</w:t>
      </w:r>
      <w:r>
        <w:rPr>
          <w:spacing w:val="-102"/>
        </w:rPr>
        <w:t> </w:t>
      </w:r>
      <w:r>
        <w:rPr>
          <w:spacing w:val="-102"/>
        </w:rPr>
      </w:r>
      <w:r>
        <w:rPr/>
        <w:t>最大程度地降低盈利预测不能实现的风险。</w:t>
      </w:r>
    </w:p>
    <w:p>
      <w:pPr>
        <w:spacing w:line="357" w:lineRule="auto" w:before="35"/>
        <w:ind w:left="1920" w:right="10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）资金筹措不能满足经营需要导致各项经营计划不能顺利开展的风险</w:t>
      </w:r>
      <w:r>
        <w:rPr>
          <w:rFonts w:ascii="宋体" w:hAnsi="宋体" w:cs="宋体" w:eastAsia="宋体" w:hint="default"/>
          <w:b/>
          <w:bCs/>
          <w:w w:val="99"/>
          <w:sz w:val="24"/>
          <w:szCs w:val="24"/>
        </w:rPr>
        <w:t> </w:t>
      </w:r>
      <w:r>
        <w:rPr>
          <w:rFonts w:ascii="宋体" w:hAnsi="宋体" w:cs="宋体" w:eastAsia="宋体" w:hint="default"/>
          <w:spacing w:val="-3"/>
          <w:sz w:val="24"/>
          <w:szCs w:val="24"/>
        </w:rPr>
        <w:t>根据</w:t>
      </w:r>
      <w:r>
        <w:rPr>
          <w:rFonts w:ascii="宋体" w:hAnsi="宋体" w:cs="宋体" w:eastAsia="宋体" w:hint="default"/>
          <w:spacing w:val="-3"/>
          <w:sz w:val="24"/>
          <w:szCs w:val="24"/>
        </w:rPr>
        <w:t>2016</w:t>
      </w:r>
      <w:r>
        <w:rPr>
          <w:rFonts w:ascii="宋体" w:hAnsi="宋体" w:cs="宋体" w:eastAsia="宋体" w:hint="default"/>
          <w:spacing w:val="-3"/>
          <w:sz w:val="24"/>
          <w:szCs w:val="24"/>
        </w:rPr>
        <w:t>年度公司的经营计划，公司及子公司经营规模将持续扩大，公司经营活动</w:t>
      </w:r>
    </w:p>
    <w:p>
      <w:pPr>
        <w:pStyle w:val="BodyText"/>
        <w:spacing w:line="357" w:lineRule="auto" w:before="36"/>
        <w:ind w:left="1920" w:right="1434" w:hanging="481"/>
        <w:jc w:val="left"/>
      </w:pPr>
      <w:r>
        <w:rPr/>
        <w:t>的资金需求量较大，若资金筹措不及时将使公司既定的各项经营计划不能顺利开展。 </w:t>
      </w:r>
      <w:r>
        <w:rPr>
          <w:spacing w:val="-3"/>
        </w:rPr>
        <w:t>对此，公司将科学、谨慎地评估、审批各项经营计划的资金需求；及时与银行等金</w:t>
      </w:r>
    </w:p>
    <w:p>
      <w:pPr>
        <w:pStyle w:val="BodyText"/>
        <w:spacing w:line="357" w:lineRule="auto" w:before="35"/>
        <w:ind w:left="1440" w:right="1437"/>
        <w:jc w:val="both"/>
      </w:pPr>
      <w:r>
        <w:rPr>
          <w:spacing w:val="-3"/>
        </w:rPr>
        <w:t>融机构商洽融资方案，充分利用上市公司的融资平台，在综合考虑财务成本和经营需求</w:t>
      </w:r>
      <w:r>
        <w:rPr>
          <w:spacing w:val="-100"/>
        </w:rPr>
        <w:t> </w:t>
      </w:r>
      <w:r>
        <w:rPr>
          <w:spacing w:val="-100"/>
        </w:rPr>
      </w:r>
      <w:r>
        <w:rPr>
          <w:spacing w:val="-3"/>
        </w:rPr>
        <w:t>的情况下拓展其他融资渠道拓宽融资渠道，以既满足经营资金的需求又有效控制资金使</w:t>
      </w:r>
      <w:r>
        <w:rPr>
          <w:spacing w:val="-100"/>
        </w:rPr>
        <w:t> </w:t>
      </w:r>
      <w:r>
        <w:rPr>
          <w:spacing w:val="-100"/>
        </w:rPr>
      </w:r>
      <w:r>
        <w:rPr>
          <w:spacing w:val="-3"/>
        </w:rPr>
        <w:t>用效率和资金成本；另外，加强应收账款的管理，持续改进应收账款回收工作，切实提</w:t>
      </w:r>
      <w:r>
        <w:rPr>
          <w:spacing w:val="-103"/>
        </w:rPr>
        <w:t> </w:t>
      </w:r>
      <w:r>
        <w:rPr>
          <w:spacing w:val="-103"/>
        </w:rPr>
      </w:r>
      <w:r>
        <w:rPr/>
        <w:t>高资金使用效率。</w:t>
      </w:r>
    </w:p>
    <w:p>
      <w:pPr>
        <w:spacing w:line="240" w:lineRule="auto" w:before="10"/>
        <w:rPr>
          <w:rFonts w:ascii="宋体" w:hAnsi="宋体" w:cs="宋体" w:eastAsia="宋体" w:hint="default"/>
          <w:sz w:val="25"/>
          <w:szCs w:val="25"/>
        </w:rPr>
      </w:pPr>
    </w:p>
    <w:p>
      <w:pPr>
        <w:pStyle w:val="Heading3"/>
        <w:spacing w:line="468" w:lineRule="auto"/>
        <w:ind w:left="1922" w:right="2113" w:hanging="483"/>
        <w:jc w:val="left"/>
        <w:rPr>
          <w:b w:val="0"/>
          <w:bCs w:val="0"/>
        </w:rPr>
      </w:pPr>
      <w:bookmarkStart w:name="十、接待调研、沟通、采访等活动情况" w:id="57"/>
      <w:bookmarkEnd w:id="57"/>
      <w:r>
        <w:rPr>
          <w:b w:val="0"/>
          <w:bCs w:val="0"/>
        </w:rPr>
      </w:r>
      <w:r>
        <w:rPr/>
        <w:t>十、接待调研、沟通、采访等活动情况</w:t>
      </w:r>
      <w:r>
        <w:rPr>
          <w:w w:val="99"/>
        </w:rPr>
        <w:t> </w:t>
      </w:r>
      <w:bookmarkStart w:name="1、报告期内接待调研、沟通、采访等活动登记表" w:id="58"/>
      <w:bookmarkEnd w:id="58"/>
      <w:r>
        <w:rPr>
          <w:w w:val="99"/>
        </w:rPr>
      </w:r>
      <w:r>
        <w:rPr>
          <w:rFonts w:ascii="宋体" w:hAnsi="宋体" w:cs="宋体" w:eastAsia="宋体" w:hint="default"/>
          <w:w w:val="95"/>
        </w:rPr>
        <w:t>1</w:t>
      </w:r>
      <w:r>
        <w:rPr>
          <w:w w:val="95"/>
        </w:rPr>
        <w:t>、报告期内接待调研、沟通、采访等活动登记表</w:t>
      </w:r>
      <w:r>
        <w:rPr>
          <w:b w:val="0"/>
          <w:bCs w:val="0"/>
        </w:rPr>
      </w:r>
    </w:p>
    <w:p>
      <w:pPr>
        <w:pStyle w:val="BodyText"/>
        <w:spacing w:line="240" w:lineRule="auto" w:before="149"/>
        <w:ind w:left="1440" w:right="0"/>
        <w:jc w:val="both"/>
      </w:pPr>
      <w:r>
        <w:rPr/>
        <w:t>√适用 □</w:t>
      </w:r>
      <w:r>
        <w:rPr>
          <w:spacing w:val="-1"/>
        </w:rPr>
        <w:t> </w:t>
      </w:r>
      <w:r>
        <w:rPr/>
        <w:t>不适用</w:t>
      </w:r>
    </w:p>
    <w:p>
      <w:pPr>
        <w:spacing w:line="240" w:lineRule="auto" w:before="9"/>
        <w:rPr>
          <w:rFonts w:ascii="宋体" w:hAnsi="宋体" w:cs="宋体" w:eastAsia="宋体" w:hint="default"/>
          <w:sz w:val="11"/>
          <w:szCs w:val="11"/>
        </w:rPr>
      </w:pPr>
    </w:p>
    <w:tbl>
      <w:tblPr>
        <w:tblW w:w="0" w:type="auto"/>
        <w:jc w:val="left"/>
        <w:tblInd w:w="1435"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63"/>
              <w:jc w:val="right"/>
              <w:rPr>
                <w:rFonts w:ascii="宋体" w:hAnsi="宋体" w:cs="宋体" w:eastAsia="宋体" w:hint="default"/>
                <w:sz w:val="21"/>
                <w:szCs w:val="21"/>
              </w:rPr>
            </w:pPr>
            <w:r>
              <w:rPr>
                <w:rFonts w:ascii="宋体" w:hAnsi="宋体" w:cs="宋体" w:eastAsia="宋体" w:hint="default"/>
                <w:sz w:val="21"/>
                <w:szCs w:val="21"/>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63"/>
              <w:jc w:val="right"/>
              <w:rPr>
                <w:rFonts w:ascii="宋体" w:hAnsi="宋体" w:cs="宋体" w:eastAsia="宋体" w:hint="default"/>
                <w:sz w:val="21"/>
                <w:szCs w:val="21"/>
              </w:rPr>
            </w:pPr>
            <w:r>
              <w:rPr>
                <w:rFonts w:ascii="宋体" w:hAnsi="宋体" w:cs="宋体" w:eastAsia="宋体" w:hint="default"/>
                <w:sz w:val="21"/>
                <w:szCs w:val="21"/>
              </w:rPr>
              <w:t>现场调研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机构投资者</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巨潮咨询网</w:t>
            </w:r>
          </w:p>
        </w:tc>
      </w:tr>
    </w:tbl>
    <w:p>
      <w:pPr>
        <w:spacing w:after="0" w:line="240" w:lineRule="auto"/>
        <w:jc w:val="center"/>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9"/>
          <w:szCs w:val="9"/>
        </w:rPr>
      </w:pPr>
    </w:p>
    <w:p>
      <w:pPr>
        <w:pStyle w:val="Heading1"/>
        <w:spacing w:line="240" w:lineRule="auto"/>
        <w:ind w:right="993"/>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pStyle w:val="Heading3"/>
        <w:spacing w:line="610" w:lineRule="atLeast" w:before="212"/>
        <w:ind w:left="1801" w:right="1033" w:hanging="362"/>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w w:val="99"/>
        </w:rPr>
        <w:t> </w:t>
      </w:r>
      <w:r>
        <w:rPr>
          <w:rFonts w:ascii="宋体" w:hAnsi="宋体" w:cs="宋体" w:eastAsia="宋体" w:hint="default"/>
          <w:w w:val="95"/>
        </w:rPr>
        <w:t>1</w:t>
      </w:r>
      <w:r>
        <w:rPr>
          <w:w w:val="95"/>
        </w:rPr>
        <w:t>、报告期内普通股利润分配政策，特别是现金分红政策的制定、执行或调整情况</w:t>
      </w:r>
      <w:r>
        <w:rPr>
          <w:b w:val="0"/>
          <w:bCs w:val="0"/>
        </w:rPr>
      </w:r>
    </w:p>
    <w:p>
      <w:pPr>
        <w:pStyle w:val="BodyText"/>
        <w:spacing w:line="386" w:lineRule="auto" w:before="118"/>
        <w:ind w:left="1920" w:right="1434" w:hanging="481"/>
        <w:jc w:val="left"/>
      </w:pPr>
      <w:r>
        <w:rPr/>
        <w:t>√ 适用 □ 不适用 </w:t>
      </w:r>
      <w:r>
        <w:rPr>
          <w:spacing w:val="-3"/>
        </w:rPr>
        <w:t>报告期内，公司利润分配政策特别是现金分红政策的制定及执行情况符合《公司章</w:t>
      </w:r>
    </w:p>
    <w:p>
      <w:pPr>
        <w:pStyle w:val="BodyText"/>
        <w:spacing w:line="357" w:lineRule="auto" w:before="7"/>
        <w:ind w:left="1440" w:right="1436"/>
        <w:jc w:val="both"/>
      </w:pPr>
      <w:r>
        <w:rPr>
          <w:spacing w:val="-3"/>
        </w:rPr>
        <w:t>程》的规定和股东大会决议的要求，分红标准及比例明确、清晰；相关的决策程序和机</w:t>
      </w:r>
      <w:r>
        <w:rPr>
          <w:spacing w:val="-102"/>
        </w:rPr>
        <w:t> </w:t>
      </w:r>
      <w:r>
        <w:rPr>
          <w:spacing w:val="-102"/>
        </w:rPr>
      </w:r>
      <w:r>
        <w:rPr>
          <w:spacing w:val="-3"/>
        </w:rPr>
        <w:t>制完备，相关议案经由公司董事会、监事会审议后提交股东大会审议，独立董事尽职履</w:t>
      </w:r>
      <w:r>
        <w:rPr>
          <w:spacing w:val="-100"/>
        </w:rPr>
        <w:t> </w:t>
      </w:r>
      <w:r>
        <w:rPr>
          <w:spacing w:val="-100"/>
        </w:rPr>
      </w:r>
      <w:r>
        <w:rPr>
          <w:spacing w:val="-3"/>
        </w:rPr>
        <w:t>责并发表了独立意见，中小股东有充分表达意见和诉求的机会，中小股东的合法权益得</w:t>
      </w:r>
      <w:r>
        <w:rPr>
          <w:spacing w:val="-100"/>
        </w:rPr>
        <w:t> </w:t>
      </w:r>
      <w:r>
        <w:rPr>
          <w:spacing w:val="-100"/>
        </w:rPr>
      </w:r>
      <w:r>
        <w:rPr/>
        <w:t>到充分维护；并在分配方案审议通过后的 </w:t>
      </w:r>
      <w:r>
        <w:rPr>
          <w:rFonts w:ascii="宋体" w:hAnsi="宋体" w:cs="宋体" w:eastAsia="宋体" w:hint="default"/>
        </w:rPr>
        <w:t>2</w:t>
      </w:r>
      <w:r>
        <w:rPr>
          <w:rFonts w:ascii="宋体" w:hAnsi="宋体" w:cs="宋体" w:eastAsia="宋体" w:hint="default"/>
          <w:spacing w:val="4"/>
        </w:rPr>
        <w:t> </w:t>
      </w:r>
      <w:r>
        <w:rPr/>
        <w:t>个月内进行了权益分派，保证了全体股东 的利益。</w:t>
      </w:r>
    </w:p>
    <w:p>
      <w:pPr>
        <w:pStyle w:val="BodyText"/>
        <w:spacing w:line="271" w:lineRule="exact"/>
        <w:ind w:left="1440" w:right="1033" w:firstLine="480"/>
        <w:jc w:val="left"/>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24</w:t>
      </w:r>
      <w:r>
        <w:rPr/>
        <w:t>日公司召开的</w:t>
      </w:r>
      <w:r>
        <w:rPr>
          <w:rFonts w:ascii="宋体" w:hAnsi="宋体" w:cs="宋体" w:eastAsia="宋体" w:hint="default"/>
        </w:rPr>
        <w:t>2014</w:t>
      </w:r>
      <w:r>
        <w:rPr/>
        <w:t>年度股东大会审议通过了公司《</w:t>
      </w:r>
      <w:r>
        <w:rPr>
          <w:rFonts w:ascii="宋体" w:hAnsi="宋体" w:cs="宋体" w:eastAsia="宋体" w:hint="default"/>
        </w:rPr>
        <w:t>2014</w:t>
      </w:r>
      <w:r>
        <w:rPr/>
        <w:t>年度利润分配</w:t>
      </w:r>
    </w:p>
    <w:p>
      <w:pPr>
        <w:pStyle w:val="BodyText"/>
        <w:spacing w:line="357" w:lineRule="auto" w:before="152"/>
        <w:ind w:left="1440" w:right="1434"/>
        <w:jc w:val="both"/>
      </w:pPr>
      <w:r>
        <w:rPr/>
        <w:t>预案》，具体为：以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175,972,779</w:t>
      </w:r>
      <w:r>
        <w:rPr/>
        <w:t>股为基数向全体股东每</w:t>
      </w:r>
      <w:r>
        <w:rPr>
          <w:rFonts w:ascii="宋体" w:hAnsi="宋体" w:cs="宋体" w:eastAsia="宋体" w:hint="default"/>
        </w:rPr>
        <w:t>10</w:t>
      </w:r>
      <w:r>
        <w:rPr/>
        <w:t>股派</w:t>
      </w:r>
      <w:r>
        <w:rPr>
          <w:spacing w:val="-109"/>
        </w:rPr>
        <w:t> </w:t>
      </w:r>
      <w:r>
        <w:rPr/>
        <w:t>发现金红利</w:t>
      </w:r>
      <w:r>
        <w:rPr>
          <w:rFonts w:ascii="宋体" w:hAnsi="宋体" w:cs="宋体" w:eastAsia="宋体" w:hint="default"/>
        </w:rPr>
        <w:t>0.2</w:t>
      </w:r>
      <w:r>
        <w:rPr/>
        <w:t>元（含税），共计派发现金</w:t>
      </w:r>
      <w:r>
        <w:rPr>
          <w:rFonts w:ascii="宋体" w:hAnsi="宋体" w:cs="宋体" w:eastAsia="宋体" w:hint="default"/>
        </w:rPr>
        <w:t>3,519,455.58</w:t>
      </w:r>
      <w:r>
        <w:rPr/>
        <w:t>元；</w:t>
      </w:r>
      <w:r>
        <w:rPr>
          <w:rFonts w:ascii="宋体" w:hAnsi="宋体" w:cs="宋体" w:eastAsia="宋体" w:hint="default"/>
        </w:rPr>
        <w:t>2014</w:t>
      </w:r>
      <w:r>
        <w:rPr/>
        <w:t>年度不实施资本公积</w:t>
      </w:r>
      <w:r>
        <w:rPr>
          <w:spacing w:val="-111"/>
        </w:rPr>
        <w:t> </w:t>
      </w:r>
      <w:r>
        <w:rPr>
          <w:spacing w:val="2"/>
        </w:rPr>
        <w:t>金转增股本。本次权益分派股权登记日为：</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日，除权除息日为：</w:t>
      </w:r>
      <w:r>
        <w:rPr>
          <w:rFonts w:ascii="宋体" w:hAnsi="宋体" w:cs="宋体" w:eastAsia="宋体" w:hint="default"/>
          <w:spacing w:val="2"/>
        </w:rPr>
        <w:t>2015</w:t>
      </w:r>
      <w:r>
        <w:rPr>
          <w:spacing w:val="2"/>
        </w:rPr>
        <w:t>年</w:t>
      </w:r>
      <w:r>
        <w:rPr>
          <w:rFonts w:ascii="宋体" w:hAnsi="宋体" w:cs="宋体" w:eastAsia="宋体" w:hint="default"/>
          <w:spacing w:val="2"/>
        </w:rPr>
        <w:t>5</w:t>
      </w:r>
      <w:r>
        <w:rPr>
          <w:rFonts w:ascii="宋体" w:hAnsi="宋体" w:cs="宋体" w:eastAsia="宋体" w:hint="default"/>
          <w:spacing w:val="-82"/>
        </w:rPr>
        <w:t> </w:t>
      </w:r>
      <w:r>
        <w:rPr/>
        <w:t>月</w:t>
      </w:r>
      <w:r>
        <w:rPr>
          <w:rFonts w:ascii="宋体" w:hAnsi="宋体" w:cs="宋体" w:eastAsia="宋体" w:hint="default"/>
        </w:rPr>
        <w:t>22</w:t>
      </w:r>
      <w:r>
        <w:rPr/>
        <w:t>日，红利发放日为：</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spacing w:line="240" w:lineRule="auto" w:before="9"/>
        <w:rPr>
          <w:rFonts w:ascii="宋体" w:hAnsi="宋体" w:cs="宋体" w:eastAsia="宋体" w:hint="default"/>
          <w:sz w:val="5"/>
          <w:szCs w:val="5"/>
        </w:rPr>
      </w:pPr>
    </w:p>
    <w:tbl>
      <w:tblPr>
        <w:tblW w:w="0" w:type="auto"/>
        <w:jc w:val="left"/>
        <w:tblInd w:w="1446"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2"/>
              <w:ind w:left="228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8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8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8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15" w:right="10" w:hanging="1105"/>
              <w:jc w:val="left"/>
              <w:rPr>
                <w:rFonts w:ascii="宋体" w:hAnsi="宋体" w:cs="宋体" w:eastAsia="宋体" w:hint="default"/>
                <w:sz w:val="21"/>
                <w:szCs w:val="21"/>
              </w:rPr>
            </w:pPr>
            <w:r>
              <w:rPr>
                <w:rFonts w:ascii="宋体" w:hAnsi="宋体" w:cs="宋体" w:eastAsia="宋体" w:hint="default"/>
                <w:spacing w:val="-5"/>
                <w:sz w:val="21"/>
                <w:szCs w:val="21"/>
              </w:rPr>
              <w:t>中小股东是否有充分表达意见和诉求的机会，其合法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权益是否得到了充分保护：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8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850" w:right="10" w:hanging="1839"/>
              <w:jc w:val="left"/>
              <w:rPr>
                <w:rFonts w:ascii="宋体" w:hAnsi="宋体" w:cs="宋体" w:eastAsia="宋体" w:hint="default"/>
                <w:sz w:val="21"/>
                <w:szCs w:val="21"/>
              </w:rPr>
            </w:pPr>
            <w:r>
              <w:rPr>
                <w:rFonts w:ascii="宋体" w:hAnsi="宋体" w:cs="宋体" w:eastAsia="宋体" w:hint="default"/>
                <w:spacing w:val="-5"/>
                <w:sz w:val="21"/>
                <w:szCs w:val="21"/>
              </w:rPr>
              <w:t>现金分红政策进行调整或变更的，条件及程序是否合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规、透明：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81"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2"/>
        <w:rPr>
          <w:rFonts w:ascii="宋体" w:hAnsi="宋体" w:cs="宋体" w:eastAsia="宋体" w:hint="default"/>
          <w:sz w:val="24"/>
          <w:szCs w:val="24"/>
        </w:rPr>
      </w:pPr>
    </w:p>
    <w:p>
      <w:pPr>
        <w:pStyle w:val="Heading3"/>
        <w:spacing w:line="240" w:lineRule="auto" w:before="26"/>
        <w:ind w:left="1440" w:right="1033" w:firstLine="482"/>
        <w:jc w:val="left"/>
        <w:rPr>
          <w:b w:val="0"/>
          <w:bCs w:val="0"/>
        </w:rPr>
      </w:pPr>
      <w:r>
        <w:rPr>
          <w:rFonts w:ascii="宋体" w:hAnsi="宋体" w:cs="宋体" w:eastAsia="宋体" w:hint="default"/>
          <w:w w:val="95"/>
        </w:rPr>
        <w:t>2</w:t>
      </w:r>
      <w:r>
        <w:rPr>
          <w:w w:val="95"/>
        </w:rPr>
        <w:t>、公司报告期利润分配预案及资本公积金转增股本预案与公司章程和分红管理办</w:t>
      </w:r>
      <w:r>
        <w:rPr>
          <w:w w:val="99"/>
        </w:rPr>
        <w:t> </w:t>
      </w:r>
      <w:r>
        <w:rPr/>
        <w:t>法等的相关规定一致</w:t>
      </w:r>
      <w:r>
        <w:rPr>
          <w:b w:val="0"/>
          <w:bCs w:val="0"/>
        </w:rPr>
      </w:r>
    </w:p>
    <w:p>
      <w:pPr>
        <w:pStyle w:val="BodyText"/>
        <w:spacing w:line="372" w:lineRule="auto" w:before="118"/>
        <w:ind w:left="1440" w:right="1806"/>
        <w:jc w:val="left"/>
      </w:pPr>
      <w:r>
        <w:rPr/>
        <w:t>√ 是 □ 否 □ 不适用 公司报告期利润分配预案及资本公积金转增股本预案符合公司章程等的相关规定。 本年度利润分配及资本公积金转增股本预案</w:t>
      </w:r>
    </w:p>
    <w:tbl>
      <w:tblPr>
        <w:tblW w:w="0" w:type="auto"/>
        <w:jc w:val="left"/>
        <w:tblInd w:w="1435"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sz w:val="21"/>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sz w:val="21"/>
              </w:rPr>
              <w:t>0.30</w:t>
            </w:r>
          </w:p>
        </w:tc>
      </w:tr>
    </w:tbl>
    <w:p>
      <w:pPr>
        <w:spacing w:after="0" w:line="240" w:lineRule="auto"/>
        <w:jc w:val="center"/>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0" w:right="818" w:firstLine="0"/>
        <w:jc w:val="right"/>
        <w:rPr>
          <w:rFonts w:ascii="宋体" w:hAnsi="宋体" w:cs="宋体" w:eastAsia="宋体" w:hint="default"/>
          <w:sz w:val="21"/>
          <w:szCs w:val="21"/>
        </w:rPr>
      </w:pPr>
      <w:r>
        <w:rPr/>
        <w:pict>
          <v:shape style="position:absolute;margin-left:71.760002pt;margin-top:-270.706329pt;width:479.2pt;height:429.5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6"/>
                    <w:gridCol w:w="5862"/>
                  </w:tblGrid>
                  <w:tr>
                    <w:trPr>
                      <w:trHeight w:val="409" w:hRule="exact"/>
                    </w:trPr>
                    <w:tc>
                      <w:tcPr>
                        <w:tcW w:w="370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股转增数（股）</w:t>
                        </w:r>
                      </w:p>
                    </w:tc>
                    <w:tc>
                      <w:tcPr>
                        <w:tcW w:w="5862"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342" w:right="0"/>
                          <w:jc w:val="left"/>
                          <w:rPr>
                            <w:rFonts w:ascii="宋体" w:hAnsi="宋体" w:cs="宋体" w:eastAsia="宋体" w:hint="default"/>
                            <w:sz w:val="21"/>
                            <w:szCs w:val="21"/>
                          </w:rPr>
                        </w:pPr>
                        <w:r>
                          <w:rPr>
                            <w:rFonts w:ascii="宋体"/>
                            <w:sz w:val="21"/>
                          </w:rPr>
                          <w:t>175,972,779</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89" w:right="0"/>
                          <w:jc w:val="left"/>
                          <w:rPr>
                            <w:rFonts w:ascii="宋体" w:hAnsi="宋体" w:cs="宋体" w:eastAsia="宋体" w:hint="default"/>
                            <w:sz w:val="21"/>
                            <w:szCs w:val="21"/>
                          </w:rPr>
                        </w:pPr>
                        <w:r>
                          <w:rPr>
                            <w:rFonts w:ascii="宋体"/>
                            <w:sz w:val="21"/>
                          </w:rPr>
                          <w:t>5,279,183.37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37" w:right="0"/>
                          <w:jc w:val="left"/>
                          <w:rPr>
                            <w:rFonts w:ascii="宋体" w:hAnsi="宋体" w:cs="宋体" w:eastAsia="宋体" w:hint="default"/>
                            <w:sz w:val="21"/>
                            <w:szCs w:val="21"/>
                          </w:rPr>
                        </w:pPr>
                        <w:r>
                          <w:rPr>
                            <w:rFonts w:ascii="宋体"/>
                            <w:sz w:val="21"/>
                          </w:rPr>
                          <w:t>76,162,405.55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5" w:firstLine="420"/>
                          <w:jc w:val="left"/>
                          <w:rPr>
                            <w:rFonts w:ascii="宋体" w:hAnsi="宋体" w:cs="宋体" w:eastAsia="宋体" w:hint="default"/>
                            <w:sz w:val="21"/>
                            <w:szCs w:val="21"/>
                          </w:rPr>
                        </w:pPr>
                        <w:r>
                          <w:rPr>
                            <w:rFonts w:ascii="宋体" w:hAnsi="宋体" w:cs="宋体" w:eastAsia="宋体" w:hint="default"/>
                            <w:sz w:val="21"/>
                            <w:szCs w:val="21"/>
                          </w:rPr>
                          <w:t>在达到现金分红的条件下，在任意三个连续会计年度内，公司以现金方式累计分配的利润不少于该 三年实现的年均可分配利润的</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z w:val="21"/>
                            <w:szCs w:val="21"/>
                          </w:rPr>
                          <w:t>；具体现金分红情况见下述“详细情况说明”</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50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日公司第三届董事会第七次会议、第三届监事会第六次会议审议通过了公司《关于</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利</w:t>
                        </w:r>
                        <w:r>
                          <w:rPr>
                            <w:rFonts w:ascii="宋体" w:hAnsi="宋体" w:cs="宋体" w:eastAsia="宋体" w:hint="default"/>
                            <w:sz w:val="21"/>
                            <w:szCs w:val="21"/>
                          </w:rPr>
                          <w:t>润分配预案的议案</w:t>
                        </w:r>
                        <w:r>
                          <w:rPr>
                            <w:rFonts w:ascii="宋体" w:hAnsi="宋体" w:cs="宋体" w:eastAsia="宋体" w:hint="default"/>
                            <w:spacing w:val="-105"/>
                            <w:sz w:val="21"/>
                            <w:szCs w:val="21"/>
                          </w:rPr>
                          <w:t>》</w:t>
                        </w:r>
                        <w:r>
                          <w:rPr>
                            <w:rFonts w:ascii="宋体" w:hAnsi="宋体" w:cs="宋体" w:eastAsia="宋体" w:hint="default"/>
                            <w:spacing w:val="-22"/>
                            <w:sz w:val="21"/>
                            <w:szCs w:val="21"/>
                          </w:rPr>
                          <w:t>，</w:t>
                        </w:r>
                        <w:r>
                          <w:rPr>
                            <w:rFonts w:ascii="宋体" w:hAnsi="宋体" w:cs="宋体" w:eastAsia="宋体" w:hint="default"/>
                            <w:sz w:val="21"/>
                            <w:szCs w:val="21"/>
                          </w:rPr>
                          <w:t>独立董事发表同意的独立意见</w:t>
                        </w:r>
                        <w:r>
                          <w:rPr>
                            <w:rFonts w:ascii="宋体" w:hAnsi="宋体" w:cs="宋体" w:eastAsia="宋体" w:hint="default"/>
                            <w:spacing w:val="-22"/>
                            <w:sz w:val="21"/>
                            <w:szCs w:val="21"/>
                          </w:rPr>
                          <w:t>，</w:t>
                        </w:r>
                        <w:r>
                          <w:rPr>
                            <w:rFonts w:ascii="宋体" w:hAnsi="宋体" w:cs="宋体" w:eastAsia="宋体" w:hint="default"/>
                            <w:sz w:val="21"/>
                            <w:szCs w:val="21"/>
                          </w:rPr>
                          <w:t>该议案须提交公司拟于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p>
                      <w:p>
                        <w:pPr>
                          <w:pStyle w:val="TableParagraph"/>
                          <w:spacing w:line="273" w:lineRule="auto" w:before="37"/>
                          <w:ind w:left="22" w:right="-19"/>
                          <w:jc w:val="both"/>
                          <w:rPr>
                            <w:rFonts w:ascii="宋体" w:hAnsi="宋体" w:cs="宋体" w:eastAsia="宋体" w:hint="default"/>
                            <w:sz w:val="21"/>
                            <w:szCs w:val="21"/>
                          </w:rPr>
                        </w:pPr>
                        <w:r>
                          <w:rPr>
                            <w:rFonts w:ascii="宋体" w:hAnsi="宋体" w:cs="宋体" w:eastAsia="宋体" w:hint="default"/>
                            <w:sz w:val="21"/>
                            <w:szCs w:val="21"/>
                          </w:rPr>
                          <w:t>日召开的</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年度股东大会审议。预案的具体内容为：根据经信永中和会计师事务所（特殊普通合伙） 出具的标准无保留意见的公司《</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pacing w:val="-8"/>
                            <w:sz w:val="21"/>
                            <w:szCs w:val="21"/>
                          </w:rPr>
                          <w:t>年度审计报告》（</w:t>
                        </w:r>
                        <w:r>
                          <w:rPr>
                            <w:rFonts w:ascii="宋体" w:hAnsi="宋体" w:cs="宋体" w:eastAsia="宋体" w:hint="default"/>
                            <w:spacing w:val="-8"/>
                            <w:sz w:val="21"/>
                            <w:szCs w:val="21"/>
                          </w:rPr>
                          <w:t>XYZH/2016CDA40071</w:t>
                        </w:r>
                        <w:r>
                          <w:rPr>
                            <w:rFonts w:ascii="宋体" w:hAnsi="宋体" w:cs="宋体" w:eastAsia="宋体" w:hint="default"/>
                            <w:spacing w:val="-8"/>
                            <w:sz w:val="21"/>
                            <w:szCs w:val="21"/>
                          </w:rPr>
                          <w:t>），母公司</w:t>
                        </w:r>
                        <w:r>
                          <w:rPr>
                            <w:rFonts w:ascii="宋体" w:hAnsi="宋体" w:cs="宋体" w:eastAsia="宋体" w:hint="default"/>
                            <w:spacing w:val="-47"/>
                            <w:sz w:val="21"/>
                            <w:szCs w:val="21"/>
                          </w:rPr>
                          <w:t> </w:t>
                        </w:r>
                        <w:r>
                          <w:rPr>
                            <w:rFonts w:ascii="宋体" w:hAnsi="宋体" w:cs="宋体" w:eastAsia="宋体" w:hint="default"/>
                            <w:spacing w:val="-1"/>
                            <w:sz w:val="21"/>
                            <w:szCs w:val="21"/>
                          </w:rPr>
                          <w:t>2015</w:t>
                        </w:r>
                        <w:r>
                          <w:rPr>
                            <w:rFonts w:ascii="宋体" w:hAnsi="宋体" w:cs="宋体" w:eastAsia="宋体" w:hint="default"/>
                            <w:spacing w:val="-44"/>
                            <w:sz w:val="21"/>
                            <w:szCs w:val="21"/>
                          </w:rPr>
                          <w:t> </w:t>
                        </w:r>
                        <w:r>
                          <w:rPr>
                            <w:rFonts w:ascii="宋体" w:hAnsi="宋体" w:cs="宋体" w:eastAsia="宋体" w:hint="default"/>
                            <w:spacing w:val="-1"/>
                            <w:sz w:val="21"/>
                            <w:szCs w:val="21"/>
                          </w:rPr>
                          <w:t>年度实现净利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r>
                          <w:rPr>
                            <w:rFonts w:ascii="宋体" w:hAnsi="宋体" w:cs="宋体" w:eastAsia="宋体" w:hint="default"/>
                            <w:spacing w:val="-53"/>
                            <w:sz w:val="21"/>
                            <w:szCs w:val="21"/>
                          </w:rPr>
                          <w:t> </w:t>
                        </w:r>
                        <w:r>
                          <w:rPr>
                            <w:rFonts w:ascii="宋体" w:hAnsi="宋体" w:cs="宋体" w:eastAsia="宋体" w:hint="default"/>
                            <w:sz w:val="21"/>
                            <w:szCs w:val="21"/>
                          </w:rPr>
                          <w:t>4,468,636.84</w:t>
                        </w:r>
                        <w:r>
                          <w:rPr>
                            <w:rFonts w:ascii="宋体" w:hAnsi="宋体" w:cs="宋体" w:eastAsia="宋体" w:hint="default"/>
                            <w:spacing w:val="-54"/>
                            <w:sz w:val="21"/>
                            <w:szCs w:val="21"/>
                          </w:rPr>
                          <w:t> </w:t>
                        </w:r>
                        <w:r>
                          <w:rPr>
                            <w:rFonts w:ascii="宋体" w:hAnsi="宋体" w:cs="宋体" w:eastAsia="宋体" w:hint="default"/>
                            <w:sz w:val="21"/>
                            <w:szCs w:val="21"/>
                          </w:rPr>
                          <w:t>元，合并报表归属于母公司所有者的净利润为</w:t>
                        </w:r>
                        <w:r>
                          <w:rPr>
                            <w:rFonts w:ascii="宋体" w:hAnsi="宋体" w:cs="宋体" w:eastAsia="宋体" w:hint="default"/>
                            <w:spacing w:val="-53"/>
                            <w:sz w:val="21"/>
                            <w:szCs w:val="21"/>
                          </w:rPr>
                          <w:t> </w:t>
                        </w:r>
                        <w:r>
                          <w:rPr>
                            <w:rFonts w:ascii="宋体" w:hAnsi="宋体" w:cs="宋体" w:eastAsia="宋体" w:hint="default"/>
                            <w:sz w:val="21"/>
                            <w:szCs w:val="21"/>
                          </w:rPr>
                          <w:t>14,655,249.3</w:t>
                        </w:r>
                        <w:r>
                          <w:rPr>
                            <w:rFonts w:ascii="宋体" w:hAnsi="宋体" w:cs="宋体" w:eastAsia="宋体" w:hint="default"/>
                            <w:spacing w:val="-53"/>
                            <w:sz w:val="21"/>
                            <w:szCs w:val="21"/>
                          </w:rPr>
                          <w:t> </w:t>
                        </w:r>
                        <w:r>
                          <w:rPr>
                            <w:rFonts w:ascii="宋体" w:hAnsi="宋体" w:cs="宋体" w:eastAsia="宋体" w:hint="default"/>
                            <w:sz w:val="21"/>
                            <w:szCs w:val="21"/>
                          </w:rPr>
                          <w:t>元。根据《公司章程》的</w:t>
                        </w:r>
                      </w:p>
                      <w:p>
                        <w:pPr>
                          <w:pStyle w:val="TableParagraph"/>
                          <w:spacing w:line="240" w:lineRule="auto" w:before="6"/>
                          <w:ind w:left="22" w:right="0"/>
                          <w:jc w:val="both"/>
                          <w:rPr>
                            <w:rFonts w:ascii="宋体" w:hAnsi="宋体" w:cs="宋体" w:eastAsia="宋体" w:hint="default"/>
                            <w:sz w:val="21"/>
                            <w:szCs w:val="21"/>
                          </w:rPr>
                        </w:pPr>
                        <w:r>
                          <w:rPr>
                            <w:rFonts w:ascii="宋体" w:hAnsi="宋体" w:cs="宋体" w:eastAsia="宋体" w:hint="default"/>
                            <w:spacing w:val="-7"/>
                            <w:sz w:val="21"/>
                            <w:szCs w:val="21"/>
                          </w:rPr>
                          <w:t>规定，母公司按</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年度净利润</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提取法定公积金</w:t>
                        </w:r>
                        <w:r>
                          <w:rPr>
                            <w:rFonts w:ascii="宋体" w:hAnsi="宋体" w:cs="宋体" w:eastAsia="宋体" w:hint="default"/>
                            <w:spacing w:val="-53"/>
                            <w:sz w:val="21"/>
                            <w:szCs w:val="21"/>
                          </w:rPr>
                          <w:t> </w:t>
                        </w:r>
                        <w:r>
                          <w:rPr>
                            <w:rFonts w:ascii="宋体" w:hAnsi="宋体" w:cs="宋体" w:eastAsia="宋体" w:hint="default"/>
                            <w:sz w:val="21"/>
                            <w:szCs w:val="21"/>
                          </w:rPr>
                          <w:t>446,863.68</w:t>
                        </w:r>
                        <w:r>
                          <w:rPr>
                            <w:rFonts w:ascii="宋体" w:hAnsi="宋体" w:cs="宋体" w:eastAsia="宋体" w:hint="default"/>
                            <w:spacing w:val="-54"/>
                            <w:sz w:val="21"/>
                            <w:szCs w:val="21"/>
                          </w:rPr>
                          <w:t> </w:t>
                        </w:r>
                        <w:r>
                          <w:rPr>
                            <w:rFonts w:ascii="宋体" w:hAnsi="宋体" w:cs="宋体" w:eastAsia="宋体" w:hint="default"/>
                            <w:spacing w:val="-3"/>
                            <w:sz w:val="21"/>
                            <w:szCs w:val="21"/>
                          </w:rPr>
                          <w:t>元后，当年净利润中可供股东分配的利</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润为</w:t>
                        </w:r>
                        <w:r>
                          <w:rPr>
                            <w:rFonts w:ascii="宋体" w:hAnsi="宋体" w:cs="宋体" w:eastAsia="宋体" w:hint="default"/>
                            <w:spacing w:val="-47"/>
                            <w:sz w:val="21"/>
                            <w:szCs w:val="21"/>
                          </w:rPr>
                          <w:t> </w:t>
                        </w:r>
                        <w:r>
                          <w:rPr>
                            <w:rFonts w:ascii="宋体" w:hAnsi="宋体" w:cs="宋体" w:eastAsia="宋体" w:hint="default"/>
                            <w:sz w:val="21"/>
                            <w:szCs w:val="21"/>
                          </w:rPr>
                          <w:t>4,021,773.16</w:t>
                        </w:r>
                        <w:r>
                          <w:rPr>
                            <w:rFonts w:ascii="宋体" w:hAnsi="宋体" w:cs="宋体" w:eastAsia="宋体" w:hint="default"/>
                            <w:spacing w:val="-48"/>
                            <w:sz w:val="21"/>
                            <w:szCs w:val="21"/>
                          </w:rPr>
                          <w:t> </w:t>
                        </w:r>
                        <w:r>
                          <w:rPr>
                            <w:rFonts w:ascii="宋体" w:hAnsi="宋体" w:cs="宋体" w:eastAsia="宋体" w:hint="default"/>
                            <w:spacing w:val="-6"/>
                            <w:sz w:val="21"/>
                            <w:szCs w:val="21"/>
                          </w:rPr>
                          <w:t>元，加上以前年度未分配利润，母公司累计可供股东分配的利润为</w:t>
                        </w:r>
                        <w:r>
                          <w:rPr>
                            <w:rFonts w:ascii="宋体" w:hAnsi="宋体" w:cs="宋体" w:eastAsia="宋体" w:hint="default"/>
                            <w:spacing w:val="-47"/>
                            <w:sz w:val="21"/>
                            <w:szCs w:val="21"/>
                          </w:rPr>
                          <w:t> </w:t>
                        </w:r>
                        <w:r>
                          <w:rPr>
                            <w:rFonts w:ascii="宋体" w:hAnsi="宋体" w:cs="宋体" w:eastAsia="宋体" w:hint="default"/>
                            <w:sz w:val="21"/>
                            <w:szCs w:val="21"/>
                          </w:rPr>
                          <w:t>76,162,405.55</w:t>
                        </w:r>
                        <w:r>
                          <w:rPr>
                            <w:rFonts w:ascii="宋体" w:hAnsi="宋体" w:cs="宋体" w:eastAsia="宋体" w:hint="default"/>
                            <w:spacing w:val="-47"/>
                            <w:sz w:val="21"/>
                            <w:szCs w:val="21"/>
                          </w:rPr>
                          <w:t> </w:t>
                        </w:r>
                        <w:r>
                          <w:rPr>
                            <w:rFonts w:ascii="宋体" w:hAnsi="宋体" w:cs="宋体" w:eastAsia="宋体" w:hint="default"/>
                            <w:sz w:val="21"/>
                            <w:szCs w:val="21"/>
                          </w:rPr>
                          <w:t>元</w:t>
                        </w:r>
                      </w:p>
                      <w:p>
                        <w:pPr>
                          <w:pStyle w:val="TableParagraph"/>
                          <w:spacing w:line="290" w:lineRule="auto" w:before="38"/>
                          <w:ind w:left="443" w:right="27" w:hanging="421"/>
                          <w:jc w:val="left"/>
                          <w:rPr>
                            <w:rFonts w:ascii="宋体" w:hAnsi="宋体" w:cs="宋体" w:eastAsia="宋体" w:hint="default"/>
                            <w:sz w:val="21"/>
                            <w:szCs w:val="21"/>
                          </w:rPr>
                        </w:pPr>
                        <w:r>
                          <w:rPr>
                            <w:rFonts w:ascii="宋体" w:hAnsi="宋体" w:cs="宋体" w:eastAsia="宋体" w:hint="default"/>
                            <w:sz w:val="21"/>
                            <w:szCs w:val="21"/>
                          </w:rPr>
                          <w:t>资本公积金余额为</w:t>
                        </w:r>
                        <w:r>
                          <w:rPr>
                            <w:rFonts w:ascii="宋体" w:hAnsi="宋体" w:cs="宋体" w:eastAsia="宋体" w:hint="default"/>
                            <w:spacing w:val="-53"/>
                            <w:sz w:val="21"/>
                            <w:szCs w:val="21"/>
                          </w:rPr>
                          <w:t> </w:t>
                        </w:r>
                        <w:r>
                          <w:rPr>
                            <w:rFonts w:ascii="宋体" w:hAnsi="宋体" w:cs="宋体" w:eastAsia="宋体" w:hint="default"/>
                            <w:sz w:val="21"/>
                            <w:szCs w:val="21"/>
                          </w:rPr>
                          <w:t>390,912,348.64</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根据《公司章程》中关于利润分配政策的相关规定，鉴于公司当前良好的经营状况以及未来的发展</w:t>
                        </w:r>
                      </w:p>
                      <w:p>
                        <w:pPr>
                          <w:pStyle w:val="TableParagraph"/>
                          <w:spacing w:line="357" w:lineRule="auto" w:before="89"/>
                          <w:ind w:left="22" w:right="24"/>
                          <w:jc w:val="both"/>
                          <w:rPr>
                            <w:rFonts w:ascii="宋体" w:hAnsi="宋体" w:cs="宋体" w:eastAsia="宋体" w:hint="default"/>
                            <w:sz w:val="21"/>
                            <w:szCs w:val="21"/>
                          </w:rPr>
                        </w:pPr>
                        <w:r>
                          <w:rPr>
                            <w:rFonts w:ascii="宋体" w:hAnsi="宋体" w:cs="宋体" w:eastAsia="宋体" w:hint="default"/>
                            <w:sz w:val="21"/>
                            <w:szCs w:val="21"/>
                          </w:rPr>
                          <w:t>前景，并充分考虑广大投资者的合理诉求，为积极回报股东，与全体股东共享公司经营发展的成果，在</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符合公司既定的利润分配政策并保证公司正常经营及长远发展的前提下，公司 </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年度利润分配预案</w:t>
                        </w:r>
                      </w:p>
                      <w:p>
                        <w:pPr>
                          <w:pStyle w:val="TableParagraph"/>
                          <w:spacing w:line="240" w:lineRule="auto" w:before="30"/>
                          <w:ind w:left="22" w:right="0"/>
                          <w:jc w:val="both"/>
                          <w:rPr>
                            <w:rFonts w:ascii="宋体" w:hAnsi="宋体" w:cs="宋体" w:eastAsia="宋体" w:hint="default"/>
                            <w:sz w:val="21"/>
                            <w:szCs w:val="21"/>
                          </w:rPr>
                        </w:pPr>
                        <w:r>
                          <w:rPr>
                            <w:rFonts w:ascii="宋体" w:hAnsi="宋体" w:cs="宋体" w:eastAsia="宋体" w:hint="default"/>
                            <w:sz w:val="21"/>
                            <w:szCs w:val="21"/>
                          </w:rPr>
                          <w:t>如下：以截止 </w:t>
                        </w: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31 </w:t>
                        </w:r>
                        <w:r>
                          <w:rPr>
                            <w:rFonts w:ascii="宋体" w:hAnsi="宋体" w:cs="宋体" w:eastAsia="宋体" w:hint="default"/>
                            <w:sz w:val="21"/>
                            <w:szCs w:val="21"/>
                          </w:rPr>
                          <w:t>日公司总股本 </w:t>
                        </w:r>
                        <w:r>
                          <w:rPr>
                            <w:rFonts w:ascii="宋体" w:hAnsi="宋体" w:cs="宋体" w:eastAsia="宋体" w:hint="default"/>
                            <w:sz w:val="21"/>
                            <w:szCs w:val="21"/>
                          </w:rPr>
                          <w:t>175,972,779 </w:t>
                        </w:r>
                        <w:r>
                          <w:rPr>
                            <w:rFonts w:ascii="宋体" w:hAnsi="宋体" w:cs="宋体" w:eastAsia="宋体" w:hint="default"/>
                            <w:sz w:val="21"/>
                            <w:szCs w:val="21"/>
                          </w:rPr>
                          <w:t>股为基数，向全体股东每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股派发现金</w:t>
                        </w:r>
                      </w:p>
                      <w:p>
                        <w:pPr>
                          <w:pStyle w:val="TableParagraph"/>
                          <w:spacing w:line="240" w:lineRule="auto" w:before="134"/>
                          <w:ind w:left="22" w:right="0"/>
                          <w:jc w:val="both"/>
                          <w:rPr>
                            <w:rFonts w:ascii="宋体" w:hAnsi="宋体" w:cs="宋体" w:eastAsia="宋体" w:hint="default"/>
                            <w:sz w:val="21"/>
                            <w:szCs w:val="21"/>
                          </w:rPr>
                        </w:pPr>
                        <w:r>
                          <w:rPr>
                            <w:rFonts w:ascii="宋体" w:hAnsi="宋体" w:cs="宋体" w:eastAsia="宋体" w:hint="default"/>
                            <w:sz w:val="21"/>
                            <w:szCs w:val="21"/>
                          </w:rPr>
                          <w:t>红利</w:t>
                        </w:r>
                        <w:r>
                          <w:rPr>
                            <w:rFonts w:ascii="宋体" w:hAnsi="宋体" w:cs="宋体" w:eastAsia="宋体" w:hint="default"/>
                            <w:spacing w:val="-52"/>
                            <w:sz w:val="21"/>
                            <w:szCs w:val="21"/>
                          </w:rPr>
                          <w:t> </w:t>
                        </w:r>
                        <w:r>
                          <w:rPr>
                            <w:rFonts w:ascii="宋体" w:hAnsi="宋体" w:cs="宋体" w:eastAsia="宋体" w:hint="default"/>
                            <w:sz w:val="21"/>
                            <w:szCs w:val="21"/>
                          </w:rPr>
                          <w:t>0.30 </w:t>
                        </w:r>
                        <w:r>
                          <w:rPr>
                            <w:rFonts w:ascii="宋体" w:hAnsi="宋体" w:cs="宋体" w:eastAsia="宋体" w:hint="default"/>
                            <w:spacing w:val="-2"/>
                            <w:sz w:val="21"/>
                            <w:szCs w:val="21"/>
                          </w:rPr>
                          <w:t>元</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送</w:t>
                        </w:r>
                        <w:r>
                          <w:rPr>
                            <w:rFonts w:ascii="宋体" w:hAnsi="宋体" w:cs="宋体" w:eastAsia="宋体" w:hint="default"/>
                            <w:sz w:val="21"/>
                            <w:szCs w:val="21"/>
                          </w:rPr>
                          <w:t>红股 </w:t>
                        </w:r>
                        <w:r>
                          <w:rPr>
                            <w:rFonts w:ascii="宋体" w:hAnsi="宋体" w:cs="宋体" w:eastAsia="宋体" w:hint="default"/>
                            <w:sz w:val="21"/>
                            <w:szCs w:val="21"/>
                          </w:rPr>
                          <w:t>0 </w:t>
                        </w:r>
                        <w:r>
                          <w:rPr>
                            <w:rFonts w:ascii="宋体" w:hAnsi="宋体" w:cs="宋体" w:eastAsia="宋体" w:hint="default"/>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，以</w:t>
                        </w:r>
                        <w:r>
                          <w:rPr>
                            <w:rFonts w:ascii="宋体" w:hAnsi="宋体" w:cs="宋体" w:eastAsia="宋体" w:hint="default"/>
                            <w:spacing w:val="-2"/>
                            <w:sz w:val="21"/>
                            <w:szCs w:val="21"/>
                          </w:rPr>
                          <w:t>资</w:t>
                        </w:r>
                        <w:r>
                          <w:rPr>
                            <w:rFonts w:ascii="宋体" w:hAnsi="宋体" w:cs="宋体" w:eastAsia="宋体" w:hint="default"/>
                            <w:sz w:val="21"/>
                            <w:szCs w:val="21"/>
                          </w:rPr>
                          <w:t>本公积金向全体股东每 </w:t>
                        </w:r>
                        <w:r>
                          <w:rPr>
                            <w:rFonts w:ascii="宋体" w:hAnsi="宋体" w:cs="宋体" w:eastAsia="宋体" w:hint="default"/>
                            <w:sz w:val="21"/>
                            <w:szCs w:val="21"/>
                          </w:rPr>
                          <w:t>10 </w:t>
                        </w:r>
                        <w:r>
                          <w:rPr>
                            <w:rFonts w:ascii="宋体" w:hAnsi="宋体" w:cs="宋体" w:eastAsia="宋体" w:hint="default"/>
                            <w:sz w:val="21"/>
                            <w:szCs w:val="21"/>
                          </w:rPr>
                          <w:t>股转增</w:t>
                        </w:r>
                        <w:r>
                          <w:rPr>
                            <w:rFonts w:ascii="宋体" w:hAnsi="宋体" w:cs="宋体" w:eastAsia="宋体" w:hint="default"/>
                            <w:spacing w:val="-1"/>
                            <w:sz w:val="21"/>
                            <w:szCs w:val="21"/>
                          </w:rPr>
                          <w:t> </w:t>
                        </w:r>
                        <w:r>
                          <w:rPr>
                            <w:rFonts w:ascii="宋体" w:hAnsi="宋体" w:cs="宋体" w:eastAsia="宋体" w:hint="default"/>
                            <w:sz w:val="21"/>
                            <w:szCs w:val="21"/>
                          </w:rPr>
                          <w:t>15 </w:t>
                        </w:r>
                        <w:r>
                          <w:rPr>
                            <w:rFonts w:ascii="宋体" w:hAnsi="宋体" w:cs="宋体" w:eastAsia="宋体" w:hint="default"/>
                            <w:sz w:val="21"/>
                            <w:szCs w:val="21"/>
                          </w:rPr>
                          <w:t>股。</w:t>
                        </w:r>
                      </w:p>
                      <w:p>
                        <w:pPr>
                          <w:pStyle w:val="TableParagraph"/>
                          <w:spacing w:line="240" w:lineRule="auto" w:before="133"/>
                          <w:ind w:left="443" w:right="0"/>
                          <w:jc w:val="left"/>
                          <w:rPr>
                            <w:rFonts w:ascii="宋体" w:hAnsi="宋体" w:cs="宋体" w:eastAsia="宋体" w:hint="default"/>
                            <w:sz w:val="21"/>
                            <w:szCs w:val="21"/>
                          </w:rPr>
                        </w:pPr>
                        <w:r>
                          <w:rPr>
                            <w:rFonts w:ascii="宋体" w:hAnsi="宋体" w:cs="宋体" w:eastAsia="宋体" w:hint="default"/>
                            <w:sz w:val="21"/>
                            <w:szCs w:val="21"/>
                          </w:rPr>
                          <w:t>此利润分配预案尚需提交 </w:t>
                        </w:r>
                        <w:r>
                          <w:rPr>
                            <w:rFonts w:ascii="宋体" w:hAnsi="宋体" w:cs="宋体" w:eastAsia="宋体" w:hint="default"/>
                            <w:sz w:val="21"/>
                            <w:szCs w:val="21"/>
                          </w:rPr>
                          <w:t>2015</w:t>
                        </w:r>
                        <w:r>
                          <w:rPr>
                            <w:rFonts w:ascii="宋体" w:hAnsi="宋体" w:cs="宋体" w:eastAsia="宋体" w:hint="default"/>
                            <w:spacing w:val="-2"/>
                            <w:sz w:val="21"/>
                            <w:szCs w:val="21"/>
                          </w:rPr>
                          <w:t> </w:t>
                        </w:r>
                        <w:r>
                          <w:rPr>
                            <w:rFonts w:ascii="宋体" w:hAnsi="宋体" w:cs="宋体" w:eastAsia="宋体" w:hint="default"/>
                            <w:sz w:val="21"/>
                            <w:szCs w:val="21"/>
                          </w:rPr>
                          <w:t>年度股东大会审议通过。</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before="26"/>
        <w:ind w:left="1440" w:right="1033" w:firstLine="482"/>
        <w:jc w:val="left"/>
        <w:rPr>
          <w:b w:val="0"/>
          <w:bCs w:val="0"/>
        </w:rPr>
      </w:pPr>
      <w:r>
        <w:rPr>
          <w:rFonts w:ascii="宋体" w:hAnsi="宋体" w:cs="宋体" w:eastAsia="宋体" w:hint="default"/>
          <w:w w:val="99"/>
        </w:rPr>
        <w:t>3</w:t>
      </w:r>
      <w:r>
        <w:rPr>
          <w:w w:val="99"/>
        </w:rPr>
        <w:t>、公司近</w:t>
      </w:r>
      <w:r>
        <w:rPr>
          <w:spacing w:val="-59"/>
          <w:w w:val="99"/>
        </w:rPr>
        <w:t> </w:t>
      </w:r>
      <w:r>
        <w:rPr>
          <w:rFonts w:ascii="宋体" w:hAnsi="宋体" w:cs="宋体" w:eastAsia="宋体" w:hint="default"/>
          <w:w w:val="99"/>
        </w:rPr>
        <w:t>3</w:t>
      </w:r>
      <w:r>
        <w:rPr>
          <w:rFonts w:ascii="宋体" w:hAnsi="宋体" w:cs="宋体" w:eastAsia="宋体" w:hint="default"/>
          <w:spacing w:val="-58"/>
          <w:w w:val="99"/>
        </w:rPr>
        <w:t> </w:t>
      </w:r>
      <w:r>
        <w:rPr>
          <w:spacing w:val="-4"/>
          <w:w w:val="99"/>
        </w:rPr>
        <w:t>年（包括本报告期）的普通股股利分配方案（预案）、资本公积金转</w:t>
      </w:r>
      <w:r>
        <w:rPr>
          <w:w w:val="99"/>
        </w:rPr>
        <w:t> </w:t>
      </w:r>
      <w:r>
        <w:rPr/>
        <w:t>增股本方案（预案）情况</w:t>
      </w:r>
      <w:r>
        <w:rPr>
          <w:b w:val="0"/>
          <w:bCs w:val="0"/>
        </w:rPr>
      </w:r>
    </w:p>
    <w:p>
      <w:pPr>
        <w:pStyle w:val="BodyText"/>
        <w:spacing w:line="357" w:lineRule="auto" w:before="37"/>
        <w:ind w:left="1440" w:right="1033" w:firstLine="480"/>
        <w:jc w:val="left"/>
      </w:pPr>
      <w:r>
        <w:rPr/>
        <w:t>近</w:t>
      </w:r>
      <w:r>
        <w:rPr>
          <w:rFonts w:ascii="宋体" w:hAnsi="宋体" w:cs="宋体" w:eastAsia="宋体" w:hint="default"/>
        </w:rPr>
        <w:t>3</w:t>
      </w:r>
      <w:r>
        <w:rPr/>
        <w:t>年，公司严格执行法律法规及《公司章程》的规定，制定并实施利润分配方案 及资本公积金转增股本的方案，具体情况如下：</w:t>
      </w:r>
    </w:p>
    <w:p>
      <w:pPr>
        <w:pStyle w:val="BodyText"/>
        <w:spacing w:line="357" w:lineRule="auto" w:before="35"/>
        <w:ind w:left="1920" w:right="1434"/>
        <w:jc w:val="left"/>
      </w:pPr>
      <w:r>
        <w:rPr/>
        <w:t>（</w:t>
      </w:r>
      <w:r>
        <w:rPr>
          <w:rFonts w:ascii="宋体" w:hAnsi="宋体" w:cs="宋体" w:eastAsia="宋体" w:hint="default"/>
        </w:rPr>
        <w:t>1</w:t>
      </w:r>
      <w:r>
        <w:rPr/>
        <w:t>）</w:t>
      </w:r>
      <w:r>
        <w:rPr>
          <w:rFonts w:ascii="宋体" w:hAnsi="宋体" w:cs="宋体" w:eastAsia="宋体" w:hint="default"/>
        </w:rPr>
        <w:t>2013</w:t>
      </w:r>
      <w:r>
        <w:rPr/>
        <w:t>年度公司利润分配预案 </w:t>
      </w:r>
      <w:r>
        <w:rPr>
          <w:rFonts w:ascii="宋体" w:hAnsi="宋体" w:cs="宋体" w:eastAsia="宋体" w:hint="default"/>
          <w:spacing w:val="6"/>
        </w:rPr>
        <w:t>2014</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21</w:t>
      </w:r>
      <w:r>
        <w:rPr>
          <w:spacing w:val="6"/>
        </w:rPr>
        <w:t>日召开的公司</w:t>
      </w:r>
      <w:r>
        <w:rPr>
          <w:rFonts w:ascii="宋体" w:hAnsi="宋体" w:cs="宋体" w:eastAsia="宋体" w:hint="default"/>
          <w:spacing w:val="6"/>
        </w:rPr>
        <w:t>2013</w:t>
      </w:r>
      <w:r>
        <w:rPr>
          <w:spacing w:val="6"/>
        </w:rPr>
        <w:t>年度股东大会审议通过了《</w:t>
      </w:r>
      <w:r>
        <w:rPr>
          <w:rFonts w:ascii="宋体" w:hAnsi="宋体" w:cs="宋体" w:eastAsia="宋体" w:hint="default"/>
          <w:spacing w:val="6"/>
        </w:rPr>
        <w:t>2013</w:t>
      </w:r>
      <w:r>
        <w:rPr>
          <w:spacing w:val="6"/>
        </w:rPr>
        <w:t>年度利润分配预</w:t>
      </w:r>
    </w:p>
    <w:p>
      <w:pPr>
        <w:pStyle w:val="BodyText"/>
        <w:spacing w:line="357" w:lineRule="auto" w:before="35"/>
        <w:ind w:left="1440" w:right="1436"/>
        <w:jc w:val="both"/>
      </w:pPr>
      <w:r>
        <w:rPr/>
        <w:t>案》，具体为：虽然公司</w:t>
      </w:r>
      <w:r>
        <w:rPr>
          <w:rFonts w:ascii="宋体" w:hAnsi="宋体" w:cs="宋体" w:eastAsia="宋体" w:hint="default"/>
        </w:rPr>
        <w:t>2013</w:t>
      </w:r>
      <w:r>
        <w:rPr/>
        <w:t>年度可分配利润为</w:t>
      </w:r>
      <w:r>
        <w:rPr>
          <w:rFonts w:ascii="宋体" w:hAnsi="宋体" w:cs="宋体" w:eastAsia="宋体" w:hint="default"/>
        </w:rPr>
        <w:t>71,229,349.55</w:t>
      </w:r>
      <w:r>
        <w:rPr/>
        <w:t>元，但合并报表经营性</w:t>
      </w:r>
      <w:r>
        <w:rPr>
          <w:spacing w:val="-114"/>
        </w:rPr>
        <w:t> </w:t>
      </w:r>
      <w:r>
        <w:rPr/>
        <w:t>现金流为</w:t>
      </w:r>
      <w:r>
        <w:rPr>
          <w:rFonts w:ascii="宋体" w:hAnsi="宋体" w:cs="宋体" w:eastAsia="宋体" w:hint="default"/>
        </w:rPr>
        <w:t>-86.52</w:t>
      </w:r>
      <w:r>
        <w:rPr/>
        <w:t>万元</w:t>
      </w:r>
      <w:r>
        <w:rPr>
          <w:rFonts w:ascii="宋体" w:hAnsi="宋体" w:cs="宋体" w:eastAsia="宋体" w:hint="default"/>
        </w:rPr>
        <w:t>,</w:t>
      </w:r>
      <w:r>
        <w:rPr/>
        <w:t>考虑到公司</w:t>
      </w:r>
      <w:r>
        <w:rPr>
          <w:rFonts w:ascii="宋体" w:hAnsi="宋体" w:cs="宋体" w:eastAsia="宋体" w:hint="default"/>
        </w:rPr>
        <w:t>2014</w:t>
      </w:r>
      <w:r>
        <w:rPr/>
        <w:t>年度经营活动的资金需求，且公司正在筹划重大</w:t>
      </w:r>
      <w:r>
        <w:rPr>
          <w:spacing w:val="-114"/>
        </w:rPr>
        <w:t> </w:t>
      </w:r>
      <w:r>
        <w:rPr>
          <w:spacing w:val="-3"/>
        </w:rPr>
        <w:t>资产重组事项，本年度不实施现金形式的利润分配；另外考虑到公司股本规模及股权结</w:t>
      </w:r>
      <w:r>
        <w:rPr>
          <w:spacing w:val="-100"/>
        </w:rPr>
        <w:t> </w:t>
      </w:r>
      <w:r>
        <w:rPr>
          <w:spacing w:val="-100"/>
        </w:rPr>
      </w:r>
      <w:r>
        <w:rPr>
          <w:spacing w:val="-3"/>
        </w:rPr>
        <w:t>构与公司经营规模、盈利增长速度的匹配性以及未来债券融资成本的影响，本年度也不</w:t>
      </w:r>
      <w:r>
        <w:rPr>
          <w:spacing w:val="-100"/>
        </w:rPr>
        <w:t> </w:t>
      </w:r>
      <w:r>
        <w:rPr>
          <w:spacing w:val="-100"/>
        </w:rPr>
      </w:r>
      <w:r>
        <w:rPr/>
        <w:t>实施资本公积金转增股本的利润分配。</w:t>
      </w:r>
    </w:p>
    <w:p>
      <w:pPr>
        <w:pStyle w:val="BodyText"/>
        <w:spacing w:line="240" w:lineRule="auto" w:before="35"/>
        <w:ind w:left="1920" w:right="1033"/>
        <w:jc w:val="left"/>
      </w:pPr>
      <w:r>
        <w:rPr/>
        <w:t>（</w:t>
      </w:r>
      <w:r>
        <w:rPr>
          <w:rFonts w:ascii="宋体" w:hAnsi="宋体" w:cs="宋体" w:eastAsia="宋体" w:hint="default"/>
        </w:rPr>
        <w:t>2</w:t>
      </w:r>
      <w:r>
        <w:rPr/>
        <w:t>）</w:t>
      </w:r>
      <w:r>
        <w:rPr>
          <w:rFonts w:ascii="宋体" w:hAnsi="宋体" w:cs="宋体" w:eastAsia="宋体" w:hint="default"/>
        </w:rPr>
        <w:t>2014</w:t>
      </w:r>
      <w:r>
        <w:rPr/>
        <w:t>年度公司利润分配预案</w:t>
      </w:r>
    </w:p>
    <w:p>
      <w:pPr>
        <w:spacing w:after="0" w:line="240" w:lineRule="auto"/>
        <w:jc w:val="left"/>
        <w:sectPr>
          <w:pgSz w:w="11910" w:h="16840"/>
          <w:pgMar w:header="747" w:footer="979" w:top="1060" w:bottom="1160" w:left="0" w:right="0"/>
        </w:sectPr>
      </w:pPr>
    </w:p>
    <w:p>
      <w:pPr>
        <w:pStyle w:val="BodyText"/>
        <w:spacing w:line="357" w:lineRule="auto" w:before="13"/>
        <w:ind w:left="1440" w:right="1436" w:firstLine="480"/>
        <w:jc w:val="both"/>
      </w:pPr>
      <w:r>
        <w:rPr/>
        <w:pict>
          <v:group style="position:absolute;margin-left:70.5pt;margin-top:2.245630pt;width:454.4pt;height:.1pt;mso-position-horizontal-relative:page;mso-position-vertical-relative:paragraph;z-index:-1061032" coordorigin="1410,45" coordsize="9088,2">
            <v:shape style="position:absolute;left:1410;top:45;width:9088;height:2" coordorigin="1410,45" coordsize="9088,0" path="m1410,45l10498,45e" filled="false" stroked="true" strokeweight=".72pt" strokecolor="#000000">
              <v:path arrowok="t"/>
            </v:shape>
            <w10:wrap type="none"/>
          </v:group>
        </w:pic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24</w:t>
      </w:r>
      <w:r>
        <w:rPr/>
        <w:t>日召开的</w:t>
      </w:r>
      <w:r>
        <w:rPr>
          <w:rFonts w:ascii="宋体" w:hAnsi="宋体" w:cs="宋体" w:eastAsia="宋体" w:hint="default"/>
        </w:rPr>
        <w:t>2014</w:t>
      </w:r>
      <w:r>
        <w:rPr/>
        <w:t>年度股东大会审议通过了《</w:t>
      </w:r>
      <w:r>
        <w:rPr>
          <w:rFonts w:ascii="宋体" w:hAnsi="宋体" w:cs="宋体" w:eastAsia="宋体" w:hint="default"/>
        </w:rPr>
        <w:t>2014</w:t>
      </w:r>
      <w:r>
        <w:rPr/>
        <w:t>年度利润分配预案》， </w:t>
      </w:r>
      <w:r>
        <w:rPr>
          <w:spacing w:val="-3"/>
        </w:rPr>
        <w:t>具体为：以</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175,972,779.00</w:t>
      </w:r>
      <w:r>
        <w:rPr>
          <w:spacing w:val="-3"/>
        </w:rPr>
        <w:t>股为基数向全体股东每</w:t>
      </w:r>
      <w:r>
        <w:rPr>
          <w:rFonts w:ascii="宋体" w:hAnsi="宋体" w:cs="宋体" w:eastAsia="宋体" w:hint="default"/>
          <w:spacing w:val="-3"/>
        </w:rPr>
        <w:t>10</w:t>
      </w:r>
      <w:r>
        <w:rPr>
          <w:rFonts w:ascii="宋体" w:hAnsi="宋体" w:cs="宋体" w:eastAsia="宋体" w:hint="default"/>
          <w:spacing w:val="42"/>
        </w:rPr>
        <w:t> </w:t>
      </w:r>
      <w:r>
        <w:rPr/>
        <w:t>股派发现 金红利</w:t>
      </w:r>
      <w:r>
        <w:rPr>
          <w:rFonts w:ascii="宋体" w:hAnsi="宋体" w:cs="宋体" w:eastAsia="宋体" w:hint="default"/>
        </w:rPr>
        <w:t>0.2</w:t>
      </w:r>
      <w:r>
        <w:rPr/>
        <w:t>元（含税），共计派发现金</w:t>
      </w:r>
      <w:r>
        <w:rPr>
          <w:rFonts w:ascii="宋体" w:hAnsi="宋体" w:cs="宋体" w:eastAsia="宋体" w:hint="default"/>
        </w:rPr>
        <w:t>3,519,455.58</w:t>
      </w:r>
      <w:r>
        <w:rPr/>
        <w:t>元；</w:t>
      </w:r>
      <w:r>
        <w:rPr>
          <w:rFonts w:ascii="宋体" w:hAnsi="宋体" w:cs="宋体" w:eastAsia="宋体" w:hint="default"/>
        </w:rPr>
        <w:t>2014</w:t>
      </w:r>
      <w:r>
        <w:rPr/>
        <w:t>年度不实施资本公积金转</w:t>
      </w:r>
      <w:r>
        <w:rPr>
          <w:spacing w:val="-114"/>
        </w:rPr>
        <w:t> </w:t>
      </w:r>
      <w:r>
        <w:rPr/>
        <w:t>增股本。</w:t>
      </w:r>
    </w:p>
    <w:p>
      <w:pPr>
        <w:pStyle w:val="BodyText"/>
        <w:spacing w:line="240" w:lineRule="auto" w:before="114"/>
        <w:ind w:left="1920" w:right="1033"/>
        <w:jc w:val="left"/>
      </w:pPr>
      <w:r>
        <w:rPr/>
        <w:t>（</w:t>
      </w: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60"/>
        </w:rPr>
        <w:t> </w:t>
      </w:r>
      <w:r>
        <w:rPr/>
        <w:t>年度公司利润分配预案</w:t>
      </w:r>
    </w:p>
    <w:p>
      <w:pPr>
        <w:pStyle w:val="BodyText"/>
        <w:spacing w:line="357" w:lineRule="auto" w:before="154"/>
        <w:ind w:left="1439" w:right="1436" w:firstLine="480"/>
        <w:jc w:val="both"/>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67"/>
        </w:rPr>
        <w:t> </w:t>
      </w:r>
      <w:r>
        <w:rPr/>
        <w:t>年</w:t>
      </w:r>
      <w:r>
        <w:rPr>
          <w:spacing w:val="-67"/>
        </w:rPr>
        <w:t> </w:t>
      </w:r>
      <w:r>
        <w:rPr>
          <w:rFonts w:ascii="宋体" w:hAnsi="宋体" w:cs="宋体" w:eastAsia="宋体" w:hint="default"/>
        </w:rPr>
        <w:t>3</w:t>
      </w:r>
      <w:r>
        <w:rPr>
          <w:rFonts w:ascii="宋体" w:hAnsi="宋体" w:cs="宋体" w:eastAsia="宋体" w:hint="default"/>
          <w:spacing w:val="-67"/>
        </w:rPr>
        <w:t> </w:t>
      </w:r>
      <w:r>
        <w:rPr/>
        <w:t>月</w:t>
      </w:r>
      <w:r>
        <w:rPr>
          <w:spacing w:val="-67"/>
        </w:rPr>
        <w:t> </w:t>
      </w:r>
      <w:r>
        <w:rPr>
          <w:rFonts w:ascii="宋体" w:hAnsi="宋体" w:cs="宋体" w:eastAsia="宋体" w:hint="default"/>
        </w:rPr>
        <w:t>20</w:t>
      </w:r>
      <w:r>
        <w:rPr>
          <w:rFonts w:ascii="宋体" w:hAnsi="宋体" w:cs="宋体" w:eastAsia="宋体" w:hint="default"/>
          <w:spacing w:val="-67"/>
        </w:rPr>
        <w:t> </w:t>
      </w:r>
      <w:r>
        <w:rPr/>
        <w:t>日公司第三届董事会第七次会议、第三届监事会第六次会议审议通 </w:t>
      </w:r>
      <w:r>
        <w:rPr>
          <w:spacing w:val="-2"/>
        </w:rPr>
        <w:t>过了公司《</w:t>
      </w:r>
      <w:r>
        <w:rPr>
          <w:rFonts w:ascii="宋体" w:hAnsi="宋体" w:cs="宋体" w:eastAsia="宋体" w:hint="default"/>
          <w:spacing w:val="-2"/>
        </w:rPr>
        <w:t>2015</w:t>
      </w:r>
      <w:r>
        <w:rPr>
          <w:rFonts w:ascii="宋体" w:hAnsi="宋体" w:cs="宋体" w:eastAsia="宋体" w:hint="default"/>
          <w:spacing w:val="-43"/>
        </w:rPr>
        <w:t> </w:t>
      </w:r>
      <w:r>
        <w:rPr>
          <w:spacing w:val="-5"/>
        </w:rPr>
        <w:t>年度利润分配预案》，独立董事发表同意的独立意见，该议案须提交公</w:t>
      </w:r>
      <w:r>
        <w:rPr>
          <w:spacing w:val="-118"/>
        </w:rPr>
        <w:t> </w:t>
      </w:r>
      <w:r>
        <w:rPr>
          <w:spacing w:val="-118"/>
        </w:rPr>
      </w:r>
      <w:r>
        <w:rPr/>
        <w:t>司拟于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日召开的</w:t>
      </w:r>
      <w:r>
        <w:rPr>
          <w:spacing w:val="-60"/>
        </w:rPr>
        <w:t> </w:t>
      </w:r>
      <w:r>
        <w:rPr>
          <w:rFonts w:ascii="宋体" w:hAnsi="宋体" w:cs="宋体" w:eastAsia="宋体" w:hint="default"/>
        </w:rPr>
        <w:t>2015</w:t>
      </w:r>
      <w:r>
        <w:rPr>
          <w:rFonts w:ascii="宋体" w:hAnsi="宋体" w:cs="宋体" w:eastAsia="宋体" w:hint="default"/>
          <w:spacing w:val="-60"/>
        </w:rPr>
        <w:t> </w:t>
      </w:r>
      <w:r>
        <w:rPr>
          <w:spacing w:val="-6"/>
        </w:rPr>
        <w:t>年度股东大会审议。具体为：以截止</w:t>
      </w:r>
      <w:r>
        <w:rPr/>
        <w:t> </w:t>
      </w:r>
      <w:r>
        <w:rPr>
          <w:rFonts w:ascii="宋体" w:hAnsi="宋体" w:cs="宋体" w:eastAsia="宋体" w:hint="default"/>
        </w:rPr>
        <w:t>2015 </w:t>
      </w:r>
      <w:r>
        <w:rPr/>
        <w:t>年 </w:t>
      </w:r>
      <w:r>
        <w:rPr>
          <w:rFonts w:ascii="宋体" w:hAnsi="宋体" w:cs="宋体" w:eastAsia="宋体" w:hint="default"/>
        </w:rPr>
        <w:t>12</w:t>
      </w:r>
    </w:p>
    <w:p>
      <w:pPr>
        <w:pStyle w:val="BodyText"/>
        <w:spacing w:line="240" w:lineRule="auto" w:before="36"/>
        <w:ind w:left="1440" w:right="1033"/>
        <w:jc w:val="left"/>
        <w:rPr>
          <w:rFonts w:ascii="宋体" w:hAnsi="宋体" w:cs="宋体" w:eastAsia="宋体" w:hint="default"/>
        </w:rPr>
      </w:pPr>
      <w:r>
        <w:rPr/>
        <w:t>月 </w:t>
      </w:r>
      <w:r>
        <w:rPr>
          <w:rFonts w:ascii="宋体" w:hAnsi="宋体" w:cs="宋体" w:eastAsia="宋体" w:hint="default"/>
        </w:rPr>
        <w:t>31 </w:t>
      </w:r>
      <w:r>
        <w:rPr/>
        <w:t>日公司总股本</w:t>
      </w:r>
      <w:r>
        <w:rPr>
          <w:spacing w:val="-32"/>
        </w:rPr>
        <w:t> </w:t>
      </w:r>
      <w:r>
        <w:rPr>
          <w:rFonts w:ascii="宋体" w:hAnsi="宋体" w:cs="宋体" w:eastAsia="宋体" w:hint="default"/>
        </w:rPr>
        <w:t>175,972,779</w:t>
      </w:r>
      <w:r>
        <w:rPr>
          <w:rFonts w:ascii="宋体" w:hAnsi="宋体" w:cs="宋体" w:eastAsia="宋体" w:hint="default"/>
          <w:spacing w:val="-31"/>
        </w:rPr>
        <w:t> </w:t>
      </w:r>
      <w:r>
        <w:rPr/>
        <w:t>股为基数，向全体股东每 </w:t>
      </w:r>
      <w:r>
        <w:rPr>
          <w:rFonts w:ascii="宋体" w:hAnsi="宋体" w:cs="宋体" w:eastAsia="宋体" w:hint="default"/>
        </w:rPr>
        <w:t>10 </w:t>
      </w:r>
      <w:r>
        <w:rPr/>
        <w:t>股派发现金红利</w:t>
      </w:r>
      <w:r>
        <w:rPr>
          <w:spacing w:val="-32"/>
        </w:rPr>
        <w:t> </w:t>
      </w:r>
      <w:r>
        <w:rPr>
          <w:rFonts w:ascii="宋体" w:hAnsi="宋体" w:cs="宋体" w:eastAsia="宋体" w:hint="default"/>
        </w:rPr>
        <w:t>0.30</w:t>
      </w:r>
    </w:p>
    <w:p>
      <w:pPr>
        <w:pStyle w:val="BodyText"/>
        <w:spacing w:line="240" w:lineRule="auto" w:before="154"/>
        <w:ind w:left="1440" w:right="1033"/>
        <w:jc w:val="left"/>
      </w:pPr>
      <w:r>
        <w:rPr/>
        <w:t>元（含税</w:t>
      </w:r>
      <w:r>
        <w:rPr>
          <w:spacing w:val="-120"/>
        </w:rPr>
        <w:t>）</w:t>
      </w:r>
      <w:r>
        <w:rPr/>
        <w:t>，送红股 </w:t>
      </w:r>
      <w:r>
        <w:rPr>
          <w:rFonts w:ascii="宋体" w:hAnsi="宋体" w:cs="宋体" w:eastAsia="宋体" w:hint="default"/>
        </w:rPr>
        <w:t>0 </w:t>
      </w:r>
      <w:r>
        <w:rPr/>
        <w:t>股（含税</w:t>
      </w:r>
      <w:r>
        <w:rPr>
          <w:spacing w:val="-120"/>
        </w:rPr>
        <w:t>）</w:t>
      </w:r>
      <w:r>
        <w:rPr/>
        <w:t>，以资本公积金向全体股东每 </w:t>
      </w:r>
      <w:r>
        <w:rPr>
          <w:rFonts w:ascii="宋体" w:hAnsi="宋体" w:cs="宋体" w:eastAsia="宋体" w:hint="default"/>
        </w:rPr>
        <w:t>10 </w:t>
      </w:r>
      <w:r>
        <w:rPr/>
        <w:t>股转增 </w:t>
      </w:r>
      <w:r>
        <w:rPr>
          <w:rFonts w:ascii="宋体" w:hAnsi="宋体" w:cs="宋体" w:eastAsia="宋体" w:hint="default"/>
        </w:rPr>
        <w:t>15 </w:t>
      </w:r>
      <w:r>
        <w:rPr/>
        <w:t>股。</w:t>
      </w:r>
    </w:p>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7" w:footer="979" w:top="1060" w:bottom="1160" w:left="0" w:right="0"/>
        </w:sectPr>
      </w:pPr>
    </w:p>
    <w:p>
      <w:pPr>
        <w:pStyle w:val="BodyText"/>
        <w:spacing w:line="240" w:lineRule="auto" w:before="26"/>
        <w:ind w:left="1800" w:right="-20"/>
        <w:jc w:val="left"/>
      </w:pPr>
      <w:r>
        <w:rPr/>
        <w:t>公司近三年（包括本报告期）普通股现金分红情况表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16"/>
          <w:szCs w:val="16"/>
        </w:rPr>
      </w:pPr>
    </w:p>
    <w:p>
      <w:pPr>
        <w:spacing w:before="0"/>
        <w:ind w:left="1780" w:right="1599"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060" w:bottom="1160" w:left="0" w:right="0"/>
          <w:cols w:num="2" w:equalWidth="0">
            <w:col w:w="7321" w:space="326"/>
            <w:col w:w="4263"/>
          </w:cols>
        </w:sectPr>
      </w:pPr>
    </w:p>
    <w:p>
      <w:pPr>
        <w:spacing w:line="240" w:lineRule="auto" w:before="12"/>
        <w:rPr>
          <w:rFonts w:ascii="宋体" w:hAnsi="宋体" w:cs="宋体" w:eastAsia="宋体" w:hint="default"/>
          <w:sz w:val="6"/>
          <w:szCs w:val="6"/>
        </w:rPr>
      </w:pPr>
    </w:p>
    <w:tbl>
      <w:tblPr>
        <w:tblW w:w="0" w:type="auto"/>
        <w:jc w:val="left"/>
        <w:tblInd w:w="1446" w:type="dxa"/>
        <w:tblLayout w:type="fixed"/>
        <w:tblCellMar>
          <w:top w:w="0" w:type="dxa"/>
          <w:left w:w="0" w:type="dxa"/>
          <w:bottom w:w="0" w:type="dxa"/>
          <w:right w:w="0" w:type="dxa"/>
        </w:tblCellMar>
        <w:tblLook w:val="01E0"/>
      </w:tblPr>
      <w:tblGrid>
        <w:gridCol w:w="1585"/>
        <w:gridCol w:w="1594"/>
        <w:gridCol w:w="1595"/>
        <w:gridCol w:w="1594"/>
        <w:gridCol w:w="1594"/>
        <w:gridCol w:w="1596"/>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57" w:right="57"/>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公司普通股股东 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56" w:right="55"/>
              <w:jc w:val="center"/>
              <w:rPr>
                <w:rFonts w:ascii="宋体" w:hAnsi="宋体" w:cs="宋体" w:eastAsia="宋体" w:hint="default"/>
                <w:sz w:val="21"/>
                <w:szCs w:val="21"/>
              </w:rPr>
            </w:pPr>
            <w:r>
              <w:rPr>
                <w:rFonts w:ascii="宋体" w:hAnsi="宋体" w:cs="宋体" w:eastAsia="宋体" w:hint="default"/>
                <w:sz w:val="21"/>
                <w:szCs w:val="21"/>
              </w:rPr>
              <w:t>占合并报表中归 属于上市公司普 通股股东的净利 润的比率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66" w:right="57" w:hanging="210"/>
              <w:jc w:val="left"/>
              <w:rPr>
                <w:rFonts w:ascii="宋体" w:hAnsi="宋体" w:cs="宋体" w:eastAsia="宋体" w:hint="default"/>
                <w:sz w:val="21"/>
                <w:szCs w:val="21"/>
              </w:rPr>
            </w:pPr>
            <w:r>
              <w:rPr>
                <w:rFonts w:ascii="宋体" w:hAnsi="宋体" w:cs="宋体" w:eastAsia="宋体" w:hint="default"/>
                <w:sz w:val="21"/>
                <w:szCs w:val="21"/>
              </w:rPr>
              <w:t>以其他方式现金 分红的金额</w:t>
            </w:r>
          </w:p>
        </w:tc>
        <w:tc>
          <w:tcPr>
            <w:tcW w:w="159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68" w:right="55" w:hanging="210"/>
              <w:jc w:val="left"/>
              <w:rPr>
                <w:rFonts w:ascii="宋体" w:hAnsi="宋体" w:cs="宋体" w:eastAsia="宋体" w:hint="default"/>
                <w:sz w:val="21"/>
                <w:szCs w:val="21"/>
              </w:rPr>
            </w:pPr>
            <w:r>
              <w:rPr>
                <w:rFonts w:ascii="宋体" w:hAnsi="宋体" w:cs="宋体" w:eastAsia="宋体" w:hint="default"/>
                <w:sz w:val="21"/>
                <w:szCs w:val="21"/>
              </w:rPr>
              <w:t>以其他方式现金 分红的比例</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9"/>
              <w:jc w:val="center"/>
              <w:rPr>
                <w:rFonts w:ascii="宋体" w:hAnsi="宋体" w:cs="宋体" w:eastAsia="宋体" w:hint="default"/>
                <w:sz w:val="21"/>
                <w:szCs w:val="21"/>
              </w:rPr>
            </w:pPr>
            <w:r>
              <w:rPr>
                <w:rFonts w:ascii="宋体"/>
                <w:sz w:val="21"/>
              </w:rPr>
              <w:t>5,279,183.37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0" w:right="0"/>
              <w:jc w:val="left"/>
              <w:rPr>
                <w:rFonts w:ascii="宋体" w:hAnsi="宋体" w:cs="宋体" w:eastAsia="宋体" w:hint="default"/>
                <w:sz w:val="21"/>
                <w:szCs w:val="21"/>
              </w:rPr>
            </w:pPr>
            <w:r>
              <w:rPr>
                <w:rFonts w:ascii="宋体"/>
                <w:sz w:val="21"/>
              </w:rPr>
              <w:t>14,655,249.30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6" w:right="0"/>
              <w:jc w:val="left"/>
              <w:rPr>
                <w:rFonts w:ascii="宋体" w:hAnsi="宋体" w:cs="宋体" w:eastAsia="宋体" w:hint="default"/>
                <w:sz w:val="21"/>
                <w:szCs w:val="21"/>
              </w:rPr>
            </w:pPr>
            <w:r>
              <w:rPr>
                <w:rFonts w:ascii="宋体"/>
                <w:sz w:val="21"/>
              </w:rPr>
              <w:t>36.02%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39" w:right="0"/>
              <w:jc w:val="left"/>
              <w:rPr>
                <w:rFonts w:ascii="宋体" w:hAnsi="宋体" w:cs="宋体" w:eastAsia="宋体" w:hint="default"/>
                <w:sz w:val="21"/>
                <w:szCs w:val="21"/>
              </w:rPr>
            </w:pPr>
            <w:r>
              <w:rPr>
                <w:rFonts w:ascii="宋体"/>
                <w:sz w:val="21"/>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41" w:right="0"/>
              <w:jc w:val="left"/>
              <w:rPr>
                <w:rFonts w:ascii="宋体" w:hAnsi="宋体" w:cs="宋体" w:eastAsia="宋体" w:hint="default"/>
                <w:sz w:val="21"/>
                <w:szCs w:val="21"/>
              </w:rPr>
            </w:pPr>
            <w:r>
              <w:rPr>
                <w:rFonts w:ascii="宋体"/>
                <w:sz w:val="21"/>
              </w:rPr>
              <w:t>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9"/>
              <w:jc w:val="center"/>
              <w:rPr>
                <w:rFonts w:ascii="宋体" w:hAnsi="宋体" w:cs="宋体" w:eastAsia="宋体" w:hint="default"/>
                <w:sz w:val="21"/>
                <w:szCs w:val="21"/>
              </w:rPr>
            </w:pPr>
            <w:r>
              <w:rPr>
                <w:rFonts w:ascii="宋体"/>
                <w:sz w:val="21"/>
              </w:rPr>
              <w:t>3,519,455.58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0" w:right="0"/>
              <w:jc w:val="left"/>
              <w:rPr>
                <w:rFonts w:ascii="宋体" w:hAnsi="宋体" w:cs="宋体" w:eastAsia="宋体" w:hint="default"/>
                <w:sz w:val="21"/>
                <w:szCs w:val="21"/>
              </w:rPr>
            </w:pPr>
            <w:r>
              <w:rPr>
                <w:rFonts w:ascii="宋体"/>
                <w:sz w:val="21"/>
              </w:rPr>
              <w:t>11,146,687.46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6" w:right="0"/>
              <w:jc w:val="left"/>
              <w:rPr>
                <w:rFonts w:ascii="宋体" w:hAnsi="宋体" w:cs="宋体" w:eastAsia="宋体" w:hint="default"/>
                <w:sz w:val="21"/>
                <w:szCs w:val="21"/>
              </w:rPr>
            </w:pPr>
            <w:r>
              <w:rPr>
                <w:rFonts w:ascii="宋体"/>
                <w:sz w:val="21"/>
              </w:rPr>
              <w:t>31.57%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39" w:right="0"/>
              <w:jc w:val="left"/>
              <w:rPr>
                <w:rFonts w:ascii="宋体" w:hAnsi="宋体" w:cs="宋体" w:eastAsia="宋体" w:hint="default"/>
                <w:sz w:val="21"/>
                <w:szCs w:val="21"/>
              </w:rPr>
            </w:pPr>
            <w:r>
              <w:rPr>
                <w:rFonts w:ascii="宋体"/>
                <w:sz w:val="21"/>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41" w:right="0"/>
              <w:jc w:val="left"/>
              <w:rPr>
                <w:rFonts w:ascii="宋体" w:hAnsi="宋体" w:cs="宋体" w:eastAsia="宋体" w:hint="default"/>
                <w:sz w:val="21"/>
                <w:szCs w:val="21"/>
              </w:rPr>
            </w:pPr>
            <w:r>
              <w:rPr>
                <w:rFonts w:ascii="宋体"/>
                <w:sz w:val="21"/>
              </w:rPr>
              <w:t>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1"/>
              <w:jc w:val="center"/>
              <w:rPr>
                <w:rFonts w:ascii="宋体" w:hAnsi="宋体" w:cs="宋体" w:eastAsia="宋体" w:hint="default"/>
                <w:sz w:val="21"/>
                <w:szCs w:val="21"/>
              </w:rPr>
            </w:pPr>
            <w:r>
              <w:rPr>
                <w:rFonts w:ascii="宋体"/>
                <w:sz w:val="21"/>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3" w:right="0"/>
              <w:jc w:val="left"/>
              <w:rPr>
                <w:rFonts w:ascii="宋体" w:hAnsi="宋体" w:cs="宋体" w:eastAsia="宋体" w:hint="default"/>
                <w:sz w:val="21"/>
                <w:szCs w:val="21"/>
              </w:rPr>
            </w:pPr>
            <w:r>
              <w:rPr>
                <w:rFonts w:ascii="宋体"/>
                <w:sz w:val="21"/>
              </w:rPr>
              <w:t>7,433,458.12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9" w:right="0"/>
              <w:jc w:val="lef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39" w:right="0"/>
              <w:jc w:val="left"/>
              <w:rPr>
                <w:rFonts w:ascii="宋体" w:hAnsi="宋体" w:cs="宋体" w:eastAsia="宋体" w:hint="default"/>
                <w:sz w:val="21"/>
                <w:szCs w:val="21"/>
              </w:rPr>
            </w:pPr>
            <w:r>
              <w:rPr>
                <w:rFonts w:ascii="宋体"/>
                <w:sz w:val="21"/>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41" w:right="0"/>
              <w:jc w:val="lef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pStyle w:val="BodyText"/>
        <w:spacing w:line="357" w:lineRule="auto" w:before="170"/>
        <w:ind w:left="1440" w:right="1033"/>
        <w:jc w:val="left"/>
      </w:pPr>
      <w:r>
        <w:rPr>
          <w:spacing w:val="3"/>
        </w:rPr>
        <w:t>公司报告期内盈利且母公司可供普通股股东分配利润为正但未提出普通股现金红利分</w:t>
      </w:r>
      <w:r>
        <w:rPr>
          <w:spacing w:val="-110"/>
        </w:rPr>
        <w:t> </w:t>
      </w:r>
      <w:r>
        <w:rPr>
          <w:spacing w:val="-110"/>
        </w:rPr>
      </w:r>
      <w:r>
        <w:rPr/>
        <w:t>配预案</w:t>
      </w:r>
    </w:p>
    <w:p>
      <w:pPr>
        <w:pStyle w:val="BodyText"/>
        <w:spacing w:line="240" w:lineRule="auto" w:before="36"/>
        <w:ind w:left="1440" w:right="1033"/>
        <w:jc w:val="left"/>
      </w:pPr>
      <w:r>
        <w:rPr/>
        <w:t>□ 适用√不适用</w:t>
      </w:r>
    </w:p>
    <w:p>
      <w:pPr>
        <w:spacing w:line="240" w:lineRule="auto" w:before="10"/>
        <w:rPr>
          <w:rFonts w:ascii="宋体" w:hAnsi="宋体" w:cs="宋体" w:eastAsia="宋体" w:hint="default"/>
          <w:sz w:val="18"/>
          <w:szCs w:val="18"/>
        </w:rPr>
      </w:pPr>
    </w:p>
    <w:p>
      <w:pPr>
        <w:pStyle w:val="Heading3"/>
        <w:spacing w:line="690" w:lineRule="atLeast"/>
        <w:ind w:left="1922" w:right="1033" w:hanging="362"/>
        <w:jc w:val="left"/>
        <w:rPr>
          <w:b w:val="0"/>
          <w:bCs w:val="0"/>
        </w:rPr>
      </w:pPr>
      <w:r>
        <w:rPr/>
        <w:t>二、承诺事项履行情况</w:t>
      </w:r>
      <w:r>
        <w:rPr>
          <w:w w:val="99"/>
        </w:rPr>
        <w:t> </w:t>
      </w:r>
      <w:bookmarkStart w:name="1、公司、股东、实际控制人、收购人、董事、监事、高级管理人员或其他关联方在报告期" w:id="62"/>
      <w:bookmarkEnd w:id="62"/>
      <w:r>
        <w:rPr>
          <w:w w:val="99"/>
        </w:rPr>
      </w:r>
      <w:r>
        <w:rPr>
          <w:rFonts w:ascii="宋体" w:hAnsi="宋体" w:cs="宋体" w:eastAsia="宋体" w:hint="default"/>
          <w:w w:val="95"/>
        </w:rPr>
        <w:t>1</w:t>
      </w:r>
      <w:r>
        <w:rPr>
          <w:w w:val="95"/>
        </w:rPr>
        <w:t>、公司、股东、实际控制人、收购人、董事、监事、高级管理人员或其他关联方</w:t>
      </w:r>
      <w:r>
        <w:rPr>
          <w:b w:val="0"/>
          <w:bCs w:val="0"/>
        </w:rPr>
      </w:r>
    </w:p>
    <w:p>
      <w:pPr>
        <w:spacing w:line="313" w:lineRule="exact" w:before="0"/>
        <w:ind w:left="1440" w:right="1033" w:firstLine="0"/>
        <w:jc w:val="left"/>
        <w:rPr>
          <w:rFonts w:ascii="宋体" w:hAnsi="宋体" w:cs="宋体" w:eastAsia="宋体" w:hint="default"/>
          <w:sz w:val="24"/>
          <w:szCs w:val="24"/>
        </w:rPr>
      </w:pPr>
      <w:r>
        <w:rPr>
          <w:rFonts w:ascii="宋体" w:hAnsi="宋体" w:cs="宋体" w:eastAsia="宋体" w:hint="default"/>
          <w:b/>
          <w:bCs/>
          <w:sz w:val="24"/>
          <w:szCs w:val="24"/>
        </w:rPr>
        <w:t>在报告期内履行完毕及截至报告期末尚未履行完毕的承诺事项</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40" w:lineRule="auto"/>
        <w:ind w:left="1440" w:right="1033"/>
        <w:jc w:val="left"/>
      </w:pPr>
      <w:r>
        <w:rPr/>
        <w:t>√ 适用 □ 不适用</w:t>
      </w:r>
    </w:p>
    <w:p>
      <w:pPr>
        <w:spacing w:after="0" w:line="240" w:lineRule="auto"/>
        <w:jc w:val="left"/>
        <w:sectPr>
          <w:type w:val="continuous"/>
          <w:pgSz w:w="11910" w:h="16840"/>
          <w:pgMar w:top="1060" w:bottom="116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710"/>
        <w:gridCol w:w="851"/>
        <w:gridCol w:w="1075"/>
        <w:gridCol w:w="4395"/>
        <w:gridCol w:w="768"/>
        <w:gridCol w:w="850"/>
        <w:gridCol w:w="992"/>
      </w:tblGrid>
      <w:tr>
        <w:trPr>
          <w:trHeight w:val="161" w:hRule="exact"/>
        </w:trPr>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8" w:right="76" w:hanging="180"/>
              <w:jc w:val="left"/>
              <w:rPr>
                <w:rFonts w:ascii="宋体" w:hAnsi="宋体" w:cs="宋体" w:eastAsia="宋体" w:hint="default"/>
                <w:sz w:val="18"/>
                <w:szCs w:val="18"/>
              </w:rPr>
            </w:pPr>
            <w:r>
              <w:rPr>
                <w:rFonts w:ascii="宋体" w:hAnsi="宋体" w:cs="宋体" w:eastAsia="宋体" w:hint="default"/>
                <w:b/>
                <w:bCs/>
                <w:sz w:val="18"/>
                <w:szCs w:val="18"/>
              </w:rPr>
              <w:t>承诺来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源</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b/>
                <w:bCs/>
                <w:sz w:val="18"/>
                <w:szCs w:val="18"/>
              </w:rPr>
              <w:t>承诺类型</w:t>
            </w:r>
            <w:r>
              <w:rPr>
                <w:rFonts w:ascii="宋体" w:hAnsi="宋体" w:cs="宋体" w:eastAsia="宋体" w:hint="default"/>
                <w:sz w:val="18"/>
                <w:szCs w:val="18"/>
              </w:rPr>
            </w:r>
          </w:p>
        </w:tc>
        <w:tc>
          <w:tcPr>
            <w:tcW w:w="4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7" w:right="107" w:hanging="182"/>
              <w:jc w:val="left"/>
              <w:rPr>
                <w:rFonts w:ascii="宋体" w:hAnsi="宋体" w:cs="宋体" w:eastAsia="宋体" w:hint="default"/>
                <w:sz w:val="18"/>
                <w:szCs w:val="18"/>
              </w:rPr>
            </w:pPr>
            <w:r>
              <w:rPr>
                <w:rFonts w:ascii="宋体" w:hAnsi="宋体" w:cs="宋体" w:eastAsia="宋体" w:hint="default"/>
                <w:b/>
                <w:bCs/>
                <w:sz w:val="18"/>
                <w:szCs w:val="18"/>
              </w:rPr>
              <w:t>承诺时</w:t>
            </w:r>
            <w:r>
              <w:rPr>
                <w:rFonts w:ascii="宋体" w:hAnsi="宋体" w:cs="宋体" w:eastAsia="宋体" w:hint="default"/>
                <w:b/>
                <w:bCs/>
                <w:spacing w:val="1"/>
                <w:w w:val="99"/>
                <w:sz w:val="18"/>
                <w:szCs w:val="18"/>
              </w:rPr>
              <w:t> </w:t>
            </w:r>
            <w:r>
              <w:rPr>
                <w:rFonts w:ascii="宋体" w:hAnsi="宋体" w:cs="宋体" w:eastAsia="宋体" w:hint="default"/>
                <w:b/>
                <w:bCs/>
                <w:sz w:val="18"/>
                <w:szCs w:val="18"/>
              </w:rPr>
              <w:t>间</w:t>
            </w:r>
            <w:r>
              <w:rPr>
                <w:rFonts w:ascii="宋体" w:hAnsi="宋体" w:cs="宋体" w:eastAsia="宋体" w:hint="default"/>
                <w:sz w:val="18"/>
                <w:szCs w:val="18"/>
              </w:rPr>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6" w:hRule="exact"/>
        </w:trPr>
        <w:tc>
          <w:tcPr>
            <w:tcW w:w="710"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1075" w:type="dxa"/>
            <w:vMerge/>
            <w:tcBorders>
              <w:left w:val="single" w:sz="4" w:space="0" w:color="000000"/>
              <w:bottom w:val="nil" w:sz="6" w:space="0" w:color="auto"/>
              <w:right w:val="single" w:sz="4" w:space="0" w:color="000000"/>
            </w:tcBorders>
            <w:shd w:val="clear" w:color="auto" w:fill="D2D2D2"/>
          </w:tcPr>
          <w:p>
            <w:pPr/>
          </w:p>
        </w:tc>
        <w:tc>
          <w:tcPr>
            <w:tcW w:w="43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76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b/>
                <w:bCs/>
                <w:sz w:val="18"/>
                <w:szCs w:val="18"/>
              </w:rPr>
              <w:t>承诺期限</w:t>
            </w:r>
            <w:r>
              <w:rPr>
                <w:rFonts w:ascii="宋体" w:hAnsi="宋体" w:cs="宋体" w:eastAsia="宋体" w:hint="default"/>
                <w:sz w:val="18"/>
                <w:szCs w:val="18"/>
              </w:rPr>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b/>
                <w:bCs/>
                <w:sz w:val="18"/>
                <w:szCs w:val="18"/>
              </w:rPr>
              <w:t>履行情况</w:t>
            </w:r>
            <w:r>
              <w:rPr>
                <w:rFonts w:ascii="宋体" w:hAnsi="宋体" w:cs="宋体" w:eastAsia="宋体" w:hint="default"/>
                <w:sz w:val="18"/>
                <w:szCs w:val="18"/>
              </w:rPr>
            </w:r>
          </w:p>
        </w:tc>
      </w:tr>
      <w:tr>
        <w:trPr>
          <w:trHeight w:val="156" w:hRule="exact"/>
        </w:trPr>
        <w:tc>
          <w:tcPr>
            <w:tcW w:w="710"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
        </w:tc>
        <w:tc>
          <w:tcPr>
            <w:tcW w:w="4395" w:type="dxa"/>
            <w:vMerge/>
            <w:tcBorders>
              <w:left w:val="single" w:sz="4" w:space="0" w:color="000000"/>
              <w:bottom w:val="nil" w:sz="6" w:space="0" w:color="auto"/>
              <w:right w:val="single" w:sz="4" w:space="0" w:color="000000"/>
            </w:tcBorders>
            <w:shd w:val="clear" w:color="auto" w:fill="D2D2D2"/>
          </w:tcPr>
          <w:p>
            <w:pPr/>
          </w:p>
        </w:tc>
        <w:tc>
          <w:tcPr>
            <w:tcW w:w="76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4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6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5"/>
              <w:jc w:val="both"/>
              <w:rPr>
                <w:rFonts w:ascii="宋体" w:hAnsi="宋体" w:cs="宋体" w:eastAsia="宋体" w:hint="default"/>
                <w:sz w:val="18"/>
                <w:szCs w:val="18"/>
              </w:rPr>
            </w:pPr>
            <w:r>
              <w:rPr>
                <w:rFonts w:ascii="宋体" w:hAnsi="宋体" w:cs="宋体" w:eastAsia="宋体" w:hint="default"/>
                <w:sz w:val="18"/>
                <w:szCs w:val="18"/>
              </w:rPr>
              <w:t>收购报 告书或 权益变 动报告 书中所 作承诺</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适用</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重大资产重 组时承诺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22"/>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年度完成发行股份购买江苏亿金资产并配 </w:t>
            </w:r>
            <w:r>
              <w:rPr>
                <w:rFonts w:ascii="宋体" w:hAnsi="宋体" w:cs="宋体" w:eastAsia="宋体" w:hint="default"/>
                <w:spacing w:val="-3"/>
                <w:sz w:val="18"/>
                <w:szCs w:val="18"/>
              </w:rPr>
              <w:t>套募集资金的项目，相关承诺请见以下</w:t>
            </w:r>
            <w:r>
              <w:rPr>
                <w:rFonts w:ascii="宋体" w:hAnsi="宋体" w:cs="宋体" w:eastAsia="宋体" w:hint="default"/>
                <w:spacing w:val="-3"/>
                <w:sz w:val="18"/>
                <w:szCs w:val="18"/>
              </w:rPr>
              <w:t>"</w:t>
            </w:r>
            <w:r>
              <w:rPr>
                <w:rFonts w:ascii="宋体" w:hAnsi="宋体" w:cs="宋体" w:eastAsia="宋体" w:hint="default"/>
                <w:spacing w:val="-3"/>
                <w:sz w:val="18"/>
                <w:szCs w:val="18"/>
              </w:rPr>
              <w:t>资产重组时所作</w:t>
            </w:r>
            <w:r>
              <w:rPr>
                <w:rFonts w:ascii="宋体" w:hAnsi="宋体" w:cs="宋体" w:eastAsia="宋体" w:hint="default"/>
                <w:spacing w:val="-87"/>
                <w:sz w:val="18"/>
                <w:szCs w:val="18"/>
              </w:rPr>
              <w:t> </w:t>
            </w:r>
            <w:r>
              <w:rPr>
                <w:rFonts w:ascii="宋体" w:hAnsi="宋体" w:cs="宋体" w:eastAsia="宋体" w:hint="default"/>
                <w:sz w:val="18"/>
                <w:szCs w:val="18"/>
              </w:rPr>
              <w:t>承诺</w:t>
            </w:r>
            <w:r>
              <w:rPr>
                <w:rFonts w:ascii="宋体" w:hAnsi="宋体" w:cs="宋体" w:eastAsia="宋体" w:hint="default"/>
                <w:sz w:val="18"/>
                <w:szCs w:val="18"/>
              </w:rPr>
              <w:t>"</w:t>
            </w:r>
            <w:r>
              <w:rPr>
                <w:rFonts w:ascii="宋体" w:hAnsi="宋体" w:cs="宋体" w:eastAsia="宋体" w:hint="default"/>
                <w:sz w:val="18"/>
                <w:szCs w:val="18"/>
              </w:rPr>
              <w:t>的相关内容</w:t>
            </w:r>
          </w:p>
        </w:tc>
        <w:tc>
          <w:tcPr>
            <w:tcW w:w="7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710"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6"/>
              <w:jc w:val="both"/>
              <w:rPr>
                <w:rFonts w:ascii="宋体" w:hAnsi="宋体" w:cs="宋体" w:eastAsia="宋体" w:hint="default"/>
                <w:sz w:val="18"/>
                <w:szCs w:val="18"/>
              </w:rPr>
            </w:pPr>
            <w:r>
              <w:rPr>
                <w:rFonts w:ascii="宋体" w:hAnsi="宋体" w:cs="宋体" w:eastAsia="宋体" w:hint="default"/>
                <w:sz w:val="18"/>
                <w:szCs w:val="18"/>
              </w:rPr>
              <w:t>四川依米 康环境科 技股份有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重组合同履 行承诺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关于江苏亿金变更公司组织形式及相关事项的承诺：</w:t>
            </w:r>
            <w:r>
              <w:rPr>
                <w:rFonts w:ascii="宋体" w:hAnsi="宋体" w:cs="宋体" w:eastAsia="宋体" w:hint="default"/>
                <w:sz w:val="18"/>
                <w:szCs w:val="18"/>
              </w:rPr>
              <w:t>1</w:t>
            </w:r>
            <w:r>
              <w:rPr>
                <w:rFonts w:ascii="宋体" w:hAnsi="宋体" w:cs="宋体" w:eastAsia="宋体" w:hint="default"/>
                <w:sz w:val="18"/>
                <w:szCs w:val="18"/>
              </w:rPr>
              <w:t>、 在江苏亿金变更为有限责任公司后，依米康将继续按照</w:t>
            </w:r>
          </w:p>
          <w:p>
            <w:pPr>
              <w:pStyle w:val="TableParagraph"/>
              <w:spacing w:line="319" w:lineRule="auto" w:before="19"/>
              <w:ind w:left="22" w:right="22"/>
              <w:jc w:val="both"/>
              <w:rPr>
                <w:rFonts w:ascii="宋体" w:hAnsi="宋体" w:cs="宋体" w:eastAsia="宋体" w:hint="default"/>
                <w:sz w:val="18"/>
                <w:szCs w:val="18"/>
              </w:rPr>
            </w:pPr>
            <w:r>
              <w:rPr>
                <w:rFonts w:ascii="宋体" w:hAnsi="宋体" w:cs="宋体" w:eastAsia="宋体" w:hint="default"/>
                <w:spacing w:val="-8"/>
                <w:sz w:val="18"/>
                <w:szCs w:val="18"/>
              </w:rPr>
              <w:t>《发行股份购买资产协议》、《利润补偿协议》中约定的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各项内容履行协议；</w:t>
            </w:r>
            <w:r>
              <w:rPr>
                <w:rFonts w:ascii="宋体" w:hAnsi="宋体" w:cs="宋体" w:eastAsia="宋体" w:hint="default"/>
                <w:spacing w:val="-3"/>
                <w:sz w:val="18"/>
                <w:szCs w:val="18"/>
              </w:rPr>
              <w:t>2</w:t>
            </w:r>
            <w:r>
              <w:rPr>
                <w:rFonts w:ascii="宋体" w:hAnsi="宋体" w:cs="宋体" w:eastAsia="宋体" w:hint="default"/>
                <w:spacing w:val="-3"/>
                <w:sz w:val="18"/>
                <w:szCs w:val="18"/>
              </w:rPr>
              <w:t>、若在交易对方根据《股份转让协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议》向陈红梅转让亿金环保股权时，依米康已与交易对 方完成亿金环保股权交割手续且成为亿金环保股东，依 米康对该等股权转让无条件放弃优先购买权。</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37.9pt;height:31.2pt;mso-position-horizontal-relative:char;mso-position-vertical-relative:line" coordorigin="0,0" coordsize="758,624">
                  <v:group style="position:absolute;left:0;top:0;width:758;height:624" coordorigin="0,0" coordsize="758,624">
                    <v:shape style="position:absolute;left:0;top:0;width:758;height:624" coordorigin="0,0" coordsize="758,624" path="m0,624l757,624,757,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2838" w:hRule="exact"/>
        </w:trPr>
        <w:tc>
          <w:tcPr>
            <w:tcW w:w="710"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10" w:space="0" w:color="D2D2D2"/>
              <w:right w:val="single" w:sz="4" w:space="0" w:color="000000"/>
            </w:tcBorders>
          </w:tcPr>
          <w:p>
            <w:pPr>
              <w:pStyle w:val="TableParagraph"/>
              <w:spacing w:line="316" w:lineRule="auto" w:before="51"/>
              <w:ind w:left="15" w:right="96"/>
              <w:jc w:val="left"/>
              <w:rPr>
                <w:rFonts w:ascii="宋体" w:hAnsi="宋体" w:cs="宋体" w:eastAsia="宋体" w:hint="default"/>
                <w:sz w:val="18"/>
                <w:szCs w:val="18"/>
              </w:rPr>
            </w:pPr>
            <w:r>
              <w:rPr>
                <w:rFonts w:ascii="宋体" w:hAnsi="宋体" w:cs="宋体" w:eastAsia="宋体" w:hint="default"/>
                <w:sz w:val="18"/>
                <w:szCs w:val="18"/>
              </w:rPr>
              <w:t>宋正兴</w:t>
            </w:r>
            <w:r>
              <w:rPr>
                <w:rFonts w:ascii="宋体" w:hAnsi="宋体" w:cs="宋体" w:eastAsia="宋体" w:hint="default"/>
                <w:sz w:val="18"/>
                <w:szCs w:val="18"/>
              </w:rPr>
              <w:t>; </w:t>
            </w:r>
            <w:r>
              <w:rPr>
                <w:rFonts w:ascii="宋体" w:hAnsi="宋体" w:cs="宋体" w:eastAsia="宋体" w:hint="default"/>
                <w:sz w:val="18"/>
                <w:szCs w:val="18"/>
              </w:rPr>
              <w:t>叶春娥</w:t>
            </w:r>
            <w:r>
              <w:rPr>
                <w:rFonts w:ascii="宋体" w:hAnsi="宋体" w:cs="宋体" w:eastAsia="宋体" w:hint="default"/>
                <w:sz w:val="18"/>
                <w:szCs w:val="18"/>
              </w:rPr>
              <w:t>; </w:t>
            </w:r>
            <w:r>
              <w:rPr>
                <w:rFonts w:ascii="宋体" w:hAnsi="宋体" w:cs="宋体" w:eastAsia="宋体" w:hint="default"/>
                <w:sz w:val="18"/>
                <w:szCs w:val="18"/>
              </w:rPr>
              <w:t>宋丽娜</w:t>
            </w:r>
            <w:r>
              <w:rPr>
                <w:rFonts w:ascii="宋体" w:hAnsi="宋体" w:cs="宋体" w:eastAsia="宋体" w:hint="default"/>
                <w:sz w:val="18"/>
                <w:szCs w:val="18"/>
              </w:rPr>
              <w:t>; </w:t>
            </w:r>
            <w:r>
              <w:rPr>
                <w:rFonts w:ascii="宋体" w:hAnsi="宋体" w:cs="宋体" w:eastAsia="宋体" w:hint="default"/>
                <w:sz w:val="18"/>
                <w:szCs w:val="18"/>
              </w:rPr>
              <w:t>张家港市 立业投资 发展有限 公司</w:t>
            </w:r>
            <w:r>
              <w:rPr>
                <w:rFonts w:ascii="宋体" w:hAnsi="宋体" w:cs="宋体" w:eastAsia="宋体" w:hint="default"/>
                <w:sz w:val="18"/>
                <w:szCs w:val="18"/>
              </w:rPr>
              <w:t>;</w:t>
            </w:r>
            <w:r>
              <w:rPr>
                <w:rFonts w:ascii="宋体" w:hAnsi="宋体" w:cs="宋体" w:eastAsia="宋体" w:hint="default"/>
                <w:sz w:val="18"/>
                <w:szCs w:val="18"/>
              </w:rPr>
              <w:t>上 海添惠投 资管理有 限公司</w:t>
            </w:r>
            <w:r>
              <w:rPr>
                <w:rFonts w:ascii="宋体" w:hAnsi="宋体" w:cs="宋体" w:eastAsia="宋体" w:hint="default"/>
                <w:sz w:val="18"/>
                <w:szCs w:val="18"/>
              </w:rPr>
              <w:t>; </w:t>
            </w:r>
            <w:r>
              <w:rPr>
                <w:rFonts w:ascii="宋体" w:hAnsi="宋体" w:cs="宋体" w:eastAsia="宋体" w:hint="default"/>
                <w:sz w:val="18"/>
                <w:szCs w:val="18"/>
              </w:rPr>
              <w:t>上海同航 投资管理 有限公 司</w:t>
            </w:r>
            <w:r>
              <w:rPr>
                <w:rFonts w:ascii="宋体" w:hAnsi="宋体" w:cs="宋体" w:eastAsia="宋体" w:hint="default"/>
                <w:sz w:val="18"/>
                <w:szCs w:val="18"/>
              </w:rPr>
              <w:t>;</w:t>
            </w:r>
            <w:r>
              <w:rPr>
                <w:rFonts w:ascii="宋体" w:hAnsi="宋体" w:cs="宋体" w:eastAsia="宋体" w:hint="default"/>
                <w:sz w:val="18"/>
                <w:szCs w:val="18"/>
              </w:rPr>
              <w:t>张家 港市福兴 投资管理 咨询有限 公司</w:t>
            </w:r>
            <w:r>
              <w:rPr>
                <w:rFonts w:ascii="宋体" w:hAnsi="宋体" w:cs="宋体" w:eastAsia="宋体" w:hint="default"/>
                <w:sz w:val="18"/>
                <w:szCs w:val="18"/>
              </w:rPr>
              <w:t>;</w:t>
            </w:r>
            <w:r>
              <w:rPr>
                <w:rFonts w:ascii="宋体" w:hAnsi="宋体" w:cs="宋体" w:eastAsia="宋体" w:hint="default"/>
                <w:sz w:val="18"/>
                <w:szCs w:val="18"/>
              </w:rPr>
              <w:t>张 家港市嘉 明商贸有 限公司</w:t>
            </w:r>
          </w:p>
        </w:tc>
        <w:tc>
          <w:tcPr>
            <w:tcW w:w="1075"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变更组织形 式承诺</w:t>
            </w:r>
          </w:p>
        </w:tc>
        <w:tc>
          <w:tcPr>
            <w:tcW w:w="4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关于江苏亿金变更公司组织形式的承诺：</w:t>
            </w:r>
            <w:r>
              <w:rPr>
                <w:rFonts w:ascii="宋体" w:hAnsi="宋体" w:cs="宋体" w:eastAsia="宋体" w:hint="default"/>
                <w:spacing w:val="-3"/>
                <w:sz w:val="18"/>
                <w:szCs w:val="18"/>
              </w:rPr>
              <w:t>1</w:t>
            </w:r>
            <w:r>
              <w:rPr>
                <w:rFonts w:ascii="宋体" w:hAnsi="宋体" w:cs="宋体" w:eastAsia="宋体" w:hint="default"/>
                <w:spacing w:val="-3"/>
                <w:sz w:val="18"/>
                <w:szCs w:val="18"/>
              </w:rPr>
              <w:t>、配合亿金环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保在本次重大资产重组获得中国证券监督管理委员会核 准之日起</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个工作日内开始办理公司组织形式变更手 </w:t>
            </w:r>
            <w:r>
              <w:rPr>
                <w:rFonts w:ascii="宋体" w:hAnsi="宋体" w:cs="宋体" w:eastAsia="宋体" w:hint="default"/>
                <w:spacing w:val="-3"/>
                <w:sz w:val="18"/>
                <w:szCs w:val="18"/>
              </w:rPr>
              <w:t>续；</w:t>
            </w:r>
            <w:r>
              <w:rPr>
                <w:rFonts w:ascii="宋体" w:hAnsi="宋体" w:cs="宋体" w:eastAsia="宋体" w:hint="default"/>
                <w:spacing w:val="-3"/>
                <w:sz w:val="18"/>
                <w:szCs w:val="18"/>
              </w:rPr>
              <w:t>2</w:t>
            </w:r>
            <w:r>
              <w:rPr>
                <w:rFonts w:ascii="宋体" w:hAnsi="宋体" w:cs="宋体" w:eastAsia="宋体" w:hint="default"/>
                <w:spacing w:val="-3"/>
                <w:sz w:val="18"/>
                <w:szCs w:val="18"/>
              </w:rPr>
              <w:t>、保证在审议变更亿金环保公司组织形式的股东大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会上无条件投赞成票，以确保上述事项能获股东大会审 </w:t>
            </w:r>
            <w:r>
              <w:rPr>
                <w:rFonts w:ascii="宋体" w:hAnsi="宋体" w:cs="宋体" w:eastAsia="宋体" w:hint="default"/>
                <w:spacing w:val="-3"/>
                <w:sz w:val="18"/>
                <w:szCs w:val="18"/>
              </w:rPr>
              <w:t>议通过；</w:t>
            </w:r>
            <w:r>
              <w:rPr>
                <w:rFonts w:ascii="宋体" w:hAnsi="宋体" w:cs="宋体" w:eastAsia="宋体" w:hint="default"/>
                <w:spacing w:val="-3"/>
                <w:sz w:val="18"/>
                <w:szCs w:val="18"/>
              </w:rPr>
              <w:t>3</w:t>
            </w:r>
            <w:r>
              <w:rPr>
                <w:rFonts w:ascii="宋体" w:hAnsi="宋体" w:cs="宋体" w:eastAsia="宋体" w:hint="default"/>
                <w:spacing w:val="-3"/>
                <w:sz w:val="18"/>
                <w:szCs w:val="18"/>
              </w:rPr>
              <w:t>、在亿金环保变更为有限责任公司后，在其他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交易对方根据《发行股份购买资产协议》、《股份转让协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议》向依米康、陈红梅转让亿金环保股权时，各交易对 </w:t>
            </w:r>
            <w:r>
              <w:rPr>
                <w:rFonts w:ascii="宋体" w:hAnsi="宋体" w:cs="宋体" w:eastAsia="宋体" w:hint="default"/>
                <w:spacing w:val="-3"/>
                <w:sz w:val="18"/>
                <w:szCs w:val="18"/>
              </w:rPr>
              <w:t>方均无条件放弃优先购买权；</w:t>
            </w:r>
            <w:r>
              <w:rPr>
                <w:rFonts w:ascii="宋体" w:hAnsi="宋体" w:cs="宋体" w:eastAsia="宋体" w:hint="default"/>
                <w:spacing w:val="-3"/>
                <w:sz w:val="18"/>
                <w:szCs w:val="18"/>
              </w:rPr>
              <w:t>4</w:t>
            </w:r>
            <w:r>
              <w:rPr>
                <w:rFonts w:ascii="宋体" w:hAnsi="宋体" w:cs="宋体" w:eastAsia="宋体" w:hint="default"/>
                <w:spacing w:val="-3"/>
                <w:sz w:val="18"/>
                <w:szCs w:val="18"/>
              </w:rPr>
              <w:t>、在亿金环保变更为有限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责任公司后，交易对方将继续按照《发行股份购买资产 </w:t>
            </w:r>
            <w:r>
              <w:rPr>
                <w:rFonts w:ascii="宋体" w:hAnsi="宋体" w:cs="宋体" w:eastAsia="宋体" w:hint="default"/>
                <w:spacing w:val="-14"/>
                <w:sz w:val="18"/>
                <w:szCs w:val="18"/>
              </w:rPr>
              <w:t>协议》、《利润补偿协议》、《股份转让协议》中约定的各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项内容履行协议。</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1016" w:hRule="exact"/>
        </w:trPr>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35"/>
              <w:jc w:val="both"/>
              <w:rPr>
                <w:rFonts w:ascii="宋体" w:hAnsi="宋体" w:cs="宋体" w:eastAsia="宋体" w:hint="default"/>
                <w:sz w:val="18"/>
                <w:szCs w:val="18"/>
              </w:rPr>
            </w:pPr>
            <w:r>
              <w:rPr>
                <w:rFonts w:ascii="宋体" w:hAnsi="宋体" w:cs="宋体" w:eastAsia="宋体" w:hint="default"/>
                <w:sz w:val="18"/>
                <w:szCs w:val="18"/>
              </w:rPr>
              <w:t>资产重 组时所 作承诺</w:t>
            </w:r>
          </w:p>
        </w:tc>
        <w:tc>
          <w:tcPr>
            <w:tcW w:w="851" w:type="dxa"/>
            <w:vMerge/>
            <w:tcBorders>
              <w:left w:val="single" w:sz="10" w:space="0" w:color="D2D2D2"/>
              <w:right w:val="single" w:sz="4" w:space="0" w:color="000000"/>
            </w:tcBorders>
          </w:tcPr>
          <w:p>
            <w:pPr/>
          </w:p>
        </w:tc>
        <w:tc>
          <w:tcPr>
            <w:tcW w:w="1075" w:type="dxa"/>
            <w:vMerge/>
            <w:tcBorders>
              <w:left w:val="single" w:sz="4" w:space="0" w:color="000000"/>
              <w:right w:val="single" w:sz="4" w:space="0" w:color="000000"/>
            </w:tcBorders>
          </w:tcPr>
          <w:p>
            <w:pPr/>
          </w:p>
        </w:tc>
        <w:tc>
          <w:tcPr>
            <w:tcW w:w="4395"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2788" w:hRule="exact"/>
        </w:trPr>
        <w:tc>
          <w:tcPr>
            <w:tcW w:w="710"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10" w:space="0" w:color="D2D2D2"/>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4395"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1962" w:hRule="exact"/>
        </w:trPr>
        <w:tc>
          <w:tcPr>
            <w:tcW w:w="710"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宋正兴</w:t>
            </w:r>
          </w:p>
          <w:p>
            <w:pPr>
              <w:pStyle w:val="TableParagraph"/>
              <w:spacing w:line="319" w:lineRule="auto" w:before="76"/>
              <w:ind w:left="22" w:right="96"/>
              <w:jc w:val="left"/>
              <w:rPr>
                <w:rFonts w:ascii="宋体" w:hAnsi="宋体" w:cs="宋体" w:eastAsia="宋体" w:hint="default"/>
                <w:sz w:val="18"/>
                <w:szCs w:val="18"/>
              </w:rPr>
            </w:pPr>
            <w:r>
              <w:rPr>
                <w:rFonts w:ascii="宋体" w:hAnsi="宋体" w:cs="宋体" w:eastAsia="宋体" w:hint="default"/>
                <w:sz w:val="18"/>
                <w:szCs w:val="18"/>
              </w:rPr>
              <w:t>（与其一 致行动人 持股比例 合计 </w:t>
            </w:r>
            <w:r>
              <w:rPr>
                <w:rFonts w:ascii="宋体" w:hAnsi="宋体" w:cs="宋体" w:eastAsia="宋体" w:hint="default"/>
                <w:sz w:val="18"/>
                <w:szCs w:val="18"/>
              </w:rPr>
              <w:t>6.48%</w:t>
            </w:r>
            <w:r>
              <w:rPr>
                <w:rFonts w:ascii="宋体" w:hAnsi="宋体" w:cs="宋体" w:eastAsia="宋体"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从业承诺及 竞业限制承 诺</w:t>
            </w:r>
          </w:p>
        </w:tc>
        <w:tc>
          <w:tcPr>
            <w:tcW w:w="4395"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从业承诺及竞业限制承诺：在本次发行股份购买资产完 成后五年内服务于亿金环保，不以任何方式从事与亿金 </w:t>
            </w:r>
            <w:r>
              <w:rPr>
                <w:rFonts w:ascii="宋体" w:hAnsi="宋体" w:cs="宋体" w:eastAsia="宋体" w:hint="default"/>
                <w:spacing w:val="-3"/>
                <w:sz w:val="18"/>
                <w:szCs w:val="18"/>
              </w:rPr>
              <w:t>环保业务相竞争的业务，但亿金环保的参股和控股公司</w:t>
            </w:r>
            <w:r>
              <w:rPr>
                <w:rFonts w:ascii="宋体" w:hAnsi="宋体" w:cs="宋体" w:eastAsia="宋体" w:hint="default"/>
                <w:sz w:val="18"/>
                <w:szCs w:val="18"/>
              </w:rPr>
              <w:t> 依米康及其其他参股或控股公司不在上述限制范围之 内；本人在离开亿金环保两年之内不参与任何与依米康 及其参股或控股公司有竞争的业务。</w:t>
            </w:r>
          </w:p>
        </w:tc>
        <w:tc>
          <w:tcPr>
            <w:tcW w:w="7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05"/>
              <w:ind w:left="1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156"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665"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35.6pt;height:33.3pt;mso-position-horizontal-relative:char;mso-position-vertical-relative:line" coordorigin="0,0" coordsize="712,666">
                  <v:group style="position:absolute;left:0;top:0;width:712;height:353" coordorigin="0,0" coordsize="712,353">
                    <v:shape style="position:absolute;left:0;top:0;width:712;height:353" coordorigin="0,0" coordsize="712,353" path="m0,353l712,353,712,0,0,0,0,353xe" filled="true" fillcolor="#ffffff" stroked="false">
                      <v:path arrowok="t"/>
                      <v:fill type="solid"/>
                    </v:shape>
                  </v:group>
                  <v:group style="position:absolute;left:0;top:353;width:712;height:313" coordorigin="0,353" coordsize="712,313">
                    <v:shape style="position:absolute;left:0;top:353;width:712;height:313" coordorigin="0,353" coordsize="712,313" path="m0,665l712,665,712,353,0,353,0,665xe" filled="true" fillcolor="#ffffff" stroked="false">
                      <v:path arrowok="t"/>
                      <v:fill type="solid"/>
                    </v:shape>
                  </v:group>
                </v:group>
              </w:pict>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自本次资 产重组完 成之日起 至相关承 诺年限到 期之日止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362"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股份锁定的</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股份锁定的承诺：本次重组获得的上市公司的股份自本</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自作出承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58.260010pt;margin-top:567.639954pt;width:188.1pt;height:70.2pt;mso-position-horizontal-relative:page;mso-position-vertical-relative:page;z-index:-106086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在本次交易实施完毕当年度起三年内，</w:t>
                  </w:r>
                </w:p>
              </w:txbxContent>
            </v:textbox>
            <w10:wrap type="none"/>
          </v:shape>
        </w:pict>
      </w:r>
      <w:r>
        <w:rPr/>
        <w:pict>
          <v:shape style="position:absolute;margin-left:402.279999pt;margin-top:688.659973pt;width:44.1pt;height:70.25pt;mso-position-horizontal-relative:page;mso-position-vertical-relative:page;z-index:-1060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34.960007pt;margin-top:90.11998pt;width:53.3pt;height:140.450pt;mso-position-horizontal-relative:page;mso-position-vertical-relative:page;z-index:-1060816" coordorigin="2699,1802" coordsize="1066,2809">
            <v:shape style="position:absolute;left:2699;top:1802;width:1066;height:2809" coordorigin="2699,1802" coordsize="1066,2809" path="m2699,4611l3765,4611,3765,1802,2699,1802,2699,4611xe" filled="true" fillcolor="#ffffff" stroked="false">
              <v:path arrowok="t"/>
              <v:fill type="solid"/>
            </v:shape>
            <w10:wrap type="none"/>
          </v:group>
        </w:pict>
      </w:r>
      <w:r>
        <w:rPr/>
        <w:pict>
          <v:group style="position:absolute;margin-left:134.960007pt;margin-top:602.859985pt;width:53.3pt;height:156.050pt;mso-position-horizontal-relative:page;mso-position-vertical-relative:page;z-index:-1060792" coordorigin="2699,12057" coordsize="1066,3121">
            <v:shape style="position:absolute;left:2699;top:12057;width:1066;height:3121" coordorigin="2699,12057" coordsize="1066,3121" path="m2699,15178l3765,15178,3765,12057,2699,12057,2699,1517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10"/>
        <w:gridCol w:w="851"/>
        <w:gridCol w:w="1075"/>
        <w:gridCol w:w="4395"/>
        <w:gridCol w:w="768"/>
        <w:gridCol w:w="850"/>
        <w:gridCol w:w="992"/>
      </w:tblGrid>
      <w:tr>
        <w:trPr>
          <w:trHeight w:val="3171" w:hRule="exact"/>
        </w:trPr>
        <w:tc>
          <w:tcPr>
            <w:tcW w:w="710"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7"/>
              <w:jc w:val="left"/>
              <w:rPr>
                <w:rFonts w:ascii="宋体" w:hAnsi="宋体" w:cs="宋体" w:eastAsia="宋体" w:hint="default"/>
                <w:sz w:val="18"/>
                <w:szCs w:val="18"/>
              </w:rPr>
            </w:pPr>
            <w:r>
              <w:rPr>
                <w:rFonts w:ascii="宋体" w:hAnsi="宋体" w:cs="宋体" w:eastAsia="宋体" w:hint="default"/>
                <w:sz w:val="18"/>
                <w:szCs w:val="18"/>
              </w:rPr>
              <w:t>叶春娥、 宋丽娜、 张家港市 立业投资 发展有限 公司（作 为一致行 动人，持 股比例合 计</w:t>
            </w:r>
            <w:r>
              <w:rPr>
                <w:rFonts w:ascii="宋体" w:hAnsi="宋体" w:cs="宋体" w:eastAsia="宋体" w:hint="default"/>
                <w:spacing w:val="-46"/>
                <w:sz w:val="18"/>
                <w:szCs w:val="18"/>
              </w:rPr>
              <w:t> </w:t>
            </w:r>
            <w:r>
              <w:rPr>
                <w:rFonts w:ascii="宋体" w:hAnsi="宋体" w:cs="宋体" w:eastAsia="宋体" w:hint="default"/>
                <w:sz w:val="18"/>
                <w:szCs w:val="18"/>
              </w:rPr>
              <w:t>6.48%</w:t>
            </w:r>
            <w:r>
              <w:rPr>
                <w:rFonts w:ascii="宋体" w:hAnsi="宋体" w:cs="宋体" w:eastAsia="宋体"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0"/>
              <w:jc w:val="both"/>
              <w:rPr>
                <w:rFonts w:ascii="宋体" w:hAnsi="宋体" w:cs="宋体" w:eastAsia="宋体" w:hint="default"/>
                <w:sz w:val="18"/>
                <w:szCs w:val="18"/>
              </w:rPr>
            </w:pPr>
            <w:r>
              <w:rPr>
                <w:rFonts w:ascii="宋体" w:hAnsi="宋体" w:cs="宋体" w:eastAsia="宋体" w:hint="default"/>
                <w:sz w:val="18"/>
                <w:szCs w:val="18"/>
              </w:rPr>
              <w:t>次发行结束之日起三十六个月内不转让，但按照各方签 署的《利润补偿协议》的约定进行回购或者赠送的股份 除外，之后按中国证监会及深交所的有关规定执行。</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诺至</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319" w:lineRule="auto" w:before="76"/>
              <w:ind w:left="22" w:right="14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相关承诺均 已严格履 行，未发生 违反承诺的 情况。</w:t>
            </w:r>
          </w:p>
        </w:tc>
      </w:tr>
      <w:tr>
        <w:trPr>
          <w:trHeight w:val="4770" w:hRule="exact"/>
        </w:trPr>
        <w:tc>
          <w:tcPr>
            <w:tcW w:w="710"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上海添惠 投资管理 有限公 司、张家 港市福兴 投资管理 咨询有限 公司、张 家港市嘉 明商贸有 限公司、 上海同航 投资管理 有限公司 等四方</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股份锁定的 承诺</w:t>
            </w:r>
          </w:p>
        </w:tc>
        <w:tc>
          <w:tcPr>
            <w:tcW w:w="439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34"/>
              <w:jc w:val="left"/>
              <w:rPr>
                <w:rFonts w:ascii="宋体" w:hAnsi="宋体" w:cs="宋体" w:eastAsia="宋体" w:hint="default"/>
                <w:sz w:val="18"/>
                <w:szCs w:val="18"/>
              </w:rPr>
            </w:pPr>
            <w:r>
              <w:rPr>
                <w:rFonts w:ascii="宋体" w:hAnsi="宋体" w:cs="宋体" w:eastAsia="宋体" w:hint="default"/>
                <w:spacing w:val="-3"/>
                <w:sz w:val="18"/>
                <w:szCs w:val="18"/>
              </w:rPr>
              <w:t>股份锁定的承诺：本次重组获得的上市公司发行的股份</w:t>
            </w:r>
            <w:r>
              <w:rPr>
                <w:rFonts w:ascii="宋体" w:hAnsi="宋体" w:cs="宋体" w:eastAsia="宋体" w:hint="default"/>
                <w:sz w:val="18"/>
                <w:szCs w:val="18"/>
              </w:rPr>
              <w:t> 自本次发行结束之日起十二个月内不得转让，在此之后 按中国证券监督管理委员会及深圳证券交易所的有关规 定执行。</w:t>
            </w:r>
          </w:p>
        </w:tc>
        <w:tc>
          <w:tcPr>
            <w:tcW w:w="76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11"/>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1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223"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37.9pt;height:111.2pt;mso-position-horizontal-relative:char;mso-position-vertical-relative:line" coordorigin="0,0" coordsize="758,2224">
                  <v:group style="position:absolute;left:0;top:0;width:758;height:1872" coordorigin="0,0" coordsize="758,1872">
                    <v:shape style="position:absolute;left:0;top:0;width:758;height:1872" coordorigin="0,0" coordsize="758,1872" path="m0,1872l757,1872,757,0,0,0,0,1872xe" filled="true" fillcolor="#ffffff" stroked="false">
                      <v:path arrowok="t"/>
                      <v:fill type="solid"/>
                    </v:shape>
                  </v:group>
                  <v:group style="position:absolute;left:23;top:1872;width:712;height:352" coordorigin="23,1872" coordsize="712,352">
                    <v:shape style="position:absolute;left:23;top:1872;width:712;height:352" coordorigin="23,1872" coordsize="712,352" path="m23,2224l734,2224,734,1872,23,1872,23,2224xe" filled="true" fillcolor="#ffffff" stroked="false">
                      <v:path arrowok="t"/>
                      <v:fill type="solid"/>
                    </v:shape>
                  </v:group>
                </v:group>
              </w:pict>
            </w:r>
            <w:r>
              <w:rPr>
                <w:rFonts w:ascii="Times New Roman" w:hAnsi="Times New Roman" w:cs="Times New Roman" w:eastAsia="Times New Roman" w:hint="default"/>
                <w:position w:val="-4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50"/>
              <w:jc w:val="left"/>
              <w:rPr>
                <w:rFonts w:ascii="宋体" w:hAnsi="宋体" w:cs="宋体" w:eastAsia="宋体" w:hint="default"/>
                <w:sz w:val="18"/>
                <w:szCs w:val="18"/>
              </w:rPr>
            </w:pPr>
            <w:r>
              <w:rPr>
                <w:rFonts w:ascii="宋体" w:hAnsi="宋体" w:cs="宋体" w:eastAsia="宋体" w:hint="default"/>
                <w:sz w:val="18"/>
                <w:szCs w:val="18"/>
              </w:rPr>
              <w:t>自作出承 诺至</w:t>
            </w:r>
            <w:r>
              <w:rPr>
                <w:rFonts w:ascii="宋体" w:hAnsi="宋体" w:cs="宋体" w:eastAsia="宋体" w:hint="default"/>
                <w:spacing w:val="-46"/>
                <w:sz w:val="18"/>
                <w:szCs w:val="18"/>
              </w:rPr>
              <w:t> </w:t>
            </w:r>
            <w:r>
              <w:rPr>
                <w:rFonts w:ascii="宋体" w:hAnsi="宋体" w:cs="宋体" w:eastAsia="宋体" w:hint="default"/>
                <w:sz w:val="18"/>
                <w:szCs w:val="18"/>
              </w:rPr>
              <w:t>2016</w:t>
            </w:r>
          </w:p>
          <w:p>
            <w:pPr>
              <w:pStyle w:val="TableParagraph"/>
              <w:spacing w:line="319" w:lineRule="auto" w:before="19"/>
              <w:ind w:left="22" w:right="14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1962" w:hRule="exact"/>
        </w:trPr>
        <w:tc>
          <w:tcPr>
            <w:tcW w:w="710"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配套融资 认购方</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股份锁定的 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0"/>
              <w:jc w:val="left"/>
              <w:rPr>
                <w:rFonts w:ascii="宋体" w:hAnsi="宋体" w:cs="宋体" w:eastAsia="宋体" w:hint="default"/>
                <w:sz w:val="18"/>
                <w:szCs w:val="18"/>
              </w:rPr>
            </w:pPr>
            <w:r>
              <w:rPr>
                <w:rFonts w:ascii="宋体" w:hAnsi="宋体" w:cs="宋体" w:eastAsia="宋体" w:hint="default"/>
                <w:sz w:val="18"/>
                <w:szCs w:val="18"/>
              </w:rPr>
              <w:t>股份锁定的承诺：通过本次发行获得的上市公司新发行 股份，自本次发行结束之日起十二个月内不得转让。</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0"/>
              <w:jc w:val="left"/>
              <w:rPr>
                <w:rFonts w:ascii="宋体" w:hAnsi="宋体" w:cs="宋体" w:eastAsia="宋体" w:hint="default"/>
                <w:sz w:val="18"/>
                <w:szCs w:val="18"/>
              </w:rPr>
            </w:pPr>
            <w:r>
              <w:rPr>
                <w:rFonts w:ascii="宋体" w:hAnsi="宋体" w:cs="宋体" w:eastAsia="宋体" w:hint="default"/>
                <w:sz w:val="18"/>
                <w:szCs w:val="18"/>
              </w:rPr>
              <w:t>自作出承 诺至</w:t>
            </w:r>
            <w:r>
              <w:rPr>
                <w:rFonts w:ascii="宋体" w:hAnsi="宋体" w:cs="宋体" w:eastAsia="宋体" w:hint="default"/>
                <w:spacing w:val="-46"/>
                <w:sz w:val="18"/>
                <w:szCs w:val="18"/>
              </w:rPr>
              <w:t> </w:t>
            </w:r>
            <w:r>
              <w:rPr>
                <w:rFonts w:ascii="宋体" w:hAnsi="宋体" w:cs="宋体" w:eastAsia="宋体" w:hint="default"/>
                <w:sz w:val="18"/>
                <w:szCs w:val="18"/>
              </w:rPr>
              <w:t>2016</w:t>
            </w:r>
          </w:p>
          <w:p>
            <w:pPr>
              <w:pStyle w:val="TableParagraph"/>
              <w:spacing w:line="319" w:lineRule="auto" w:before="19"/>
              <w:ind w:left="22" w:right="14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3834"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z w:val="18"/>
                <w:szCs w:val="18"/>
              </w:rPr>
              <w:t>宋正兴、 叶春娥、 宋丽娜、 张家港市 立业投资 发展有限 公司（作 为一致行 动人，持 股比例合 计</w:t>
            </w:r>
            <w:r>
              <w:rPr>
                <w:rFonts w:ascii="宋体" w:hAnsi="宋体" w:cs="宋体" w:eastAsia="宋体" w:hint="default"/>
                <w:spacing w:val="-46"/>
                <w:sz w:val="18"/>
                <w:szCs w:val="18"/>
              </w:rPr>
              <w:t> </w:t>
            </w:r>
            <w:r>
              <w:rPr>
                <w:rFonts w:ascii="宋体" w:hAnsi="宋体" w:cs="宋体" w:eastAsia="宋体" w:hint="default"/>
                <w:sz w:val="18"/>
                <w:szCs w:val="18"/>
              </w:rPr>
              <w:t>6.48%</w:t>
            </w:r>
            <w:r>
              <w:rPr>
                <w:rFonts w:ascii="宋体" w:hAnsi="宋体" w:cs="宋体" w:eastAsia="宋体"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业绩的补偿 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业绩的补偿承诺：</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亿金环保</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年实现扣除非经常损益后归属于母公司</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所有者的净利润不低于</w:t>
            </w:r>
            <w:r>
              <w:rPr>
                <w:rFonts w:ascii="宋体" w:hAnsi="宋体" w:cs="宋体" w:eastAsia="宋体" w:hint="default"/>
                <w:spacing w:val="-46"/>
                <w:sz w:val="18"/>
                <w:szCs w:val="18"/>
              </w:rPr>
              <w:t> </w:t>
            </w:r>
            <w:r>
              <w:rPr>
                <w:rFonts w:ascii="宋体" w:hAnsi="宋体" w:cs="宋体" w:eastAsia="宋体" w:hint="default"/>
                <w:sz w:val="18"/>
                <w:szCs w:val="18"/>
              </w:rPr>
              <w:t>2,941.19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宋体" w:hAnsi="宋体" w:cs="宋体" w:eastAsia="宋体" w:hint="default"/>
                <w:sz w:val="18"/>
                <w:szCs w:val="18"/>
              </w:rPr>
              <w:t>2015 </w:t>
            </w:r>
            <w:r>
              <w:rPr>
                <w:rFonts w:ascii="宋体" w:hAnsi="宋体" w:cs="宋体" w:eastAsia="宋体" w:hint="default"/>
                <w:sz w:val="18"/>
                <w:szCs w:val="18"/>
              </w:rPr>
              <w:t>年实现扣除非经常损益后归属于母公司所有者的净利润 之和不低于</w:t>
            </w:r>
            <w:r>
              <w:rPr>
                <w:rFonts w:ascii="宋体" w:hAnsi="宋体" w:cs="宋体" w:eastAsia="宋体" w:hint="default"/>
                <w:spacing w:val="-46"/>
                <w:sz w:val="18"/>
                <w:szCs w:val="18"/>
              </w:rPr>
              <w:t> </w:t>
            </w:r>
            <w:r>
              <w:rPr>
                <w:rFonts w:ascii="宋体" w:hAnsi="宋体" w:cs="宋体" w:eastAsia="宋体" w:hint="default"/>
                <w:sz w:val="18"/>
                <w:szCs w:val="18"/>
              </w:rPr>
              <w:t>6,400.00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宋体" w:hAnsi="宋体" w:cs="宋体" w:eastAsia="宋体" w:hint="default"/>
                <w:sz w:val="18"/>
                <w:szCs w:val="18"/>
              </w:rPr>
              <w:t>2016 </w:t>
            </w:r>
            <w:r>
              <w:rPr>
                <w:rFonts w:ascii="宋体" w:hAnsi="宋体" w:cs="宋体" w:eastAsia="宋体" w:hint="default"/>
                <w:sz w:val="18"/>
                <w:szCs w:val="18"/>
              </w:rPr>
              <w:t>年实现扣除非经常损益后归属于母公司所有者的净利润 之和不低于</w:t>
            </w:r>
            <w:r>
              <w:rPr>
                <w:rFonts w:ascii="宋体" w:hAnsi="宋体" w:cs="宋体" w:eastAsia="宋体" w:hint="default"/>
                <w:spacing w:val="-46"/>
                <w:sz w:val="18"/>
                <w:szCs w:val="18"/>
              </w:rPr>
              <w:t> </w:t>
            </w:r>
            <w:r>
              <w:rPr>
                <w:rFonts w:ascii="宋体" w:hAnsi="宋体" w:cs="宋体" w:eastAsia="宋体" w:hint="default"/>
                <w:sz w:val="18"/>
                <w:szCs w:val="18"/>
              </w:rPr>
              <w:t>10,500.00</w:t>
            </w:r>
            <w:r>
              <w:rPr>
                <w:rFonts w:ascii="宋体" w:hAnsi="宋体" w:cs="宋体" w:eastAsia="宋体" w:hint="default"/>
                <w:spacing w:val="-46"/>
                <w:sz w:val="18"/>
                <w:szCs w:val="18"/>
              </w:rPr>
              <w:t> </w:t>
            </w:r>
            <w:r>
              <w:rPr>
                <w:rFonts w:ascii="宋体" w:hAnsi="宋体" w:cs="宋体" w:eastAsia="宋体" w:hint="default"/>
                <w:sz w:val="18"/>
                <w:szCs w:val="18"/>
              </w:rPr>
              <w:t>万元。若上述承诺业绩未达成， 补偿义务由宋正兴、叶春娥、宋丽娜、立业投资按照比 例分担，如亿金环保实际净利润不满足约定的承诺，则 </w:t>
            </w:r>
            <w:r>
              <w:rPr>
                <w:rFonts w:ascii="宋体" w:hAnsi="宋体" w:cs="宋体" w:eastAsia="宋体" w:hint="default"/>
                <w:spacing w:val="-9"/>
                <w:sz w:val="18"/>
                <w:szCs w:val="18"/>
              </w:rPr>
              <w:t>宋正兴、叶春娥、宋丽娜、立业投资按照</w:t>
            </w:r>
            <w:r>
              <w:rPr>
                <w:rFonts w:ascii="宋体" w:hAnsi="宋体" w:cs="宋体" w:eastAsia="宋体" w:hint="default"/>
                <w:spacing w:val="-42"/>
                <w:sz w:val="18"/>
                <w:szCs w:val="18"/>
              </w:rPr>
              <w:t> </w:t>
            </w:r>
            <w:r>
              <w:rPr>
                <w:rFonts w:ascii="宋体" w:hAnsi="宋体" w:cs="宋体" w:eastAsia="宋体" w:hint="default"/>
                <w:spacing w:val="-5"/>
                <w:sz w:val="18"/>
                <w:szCs w:val="18"/>
              </w:rPr>
              <w:t>72.48%</w:t>
            </w:r>
            <w:r>
              <w:rPr>
                <w:rFonts w:ascii="宋体" w:hAnsi="宋体" w:cs="宋体" w:eastAsia="宋体" w:hint="default"/>
                <w:spacing w:val="-5"/>
                <w:sz w:val="18"/>
                <w:szCs w:val="18"/>
              </w:rPr>
              <w:t>、</w:t>
            </w:r>
            <w:r>
              <w:rPr>
                <w:rFonts w:ascii="宋体" w:hAnsi="宋体" w:cs="宋体" w:eastAsia="宋体" w:hint="default"/>
                <w:spacing w:val="-5"/>
                <w:sz w:val="18"/>
                <w:szCs w:val="18"/>
              </w:rPr>
              <w:t>6.48%</w:t>
            </w:r>
            <w:r>
              <w:rPr>
                <w:rFonts w:ascii="宋体" w:hAnsi="宋体" w:cs="宋体" w:eastAsia="宋体" w:hint="default"/>
                <w:spacing w:val="-81"/>
                <w:sz w:val="18"/>
                <w:szCs w:val="18"/>
              </w:rPr>
              <w:t> </w:t>
            </w:r>
            <w:r>
              <w:rPr>
                <w:rFonts w:ascii="宋体" w:hAnsi="宋体" w:cs="宋体" w:eastAsia="宋体" w:hint="default"/>
                <w:spacing w:val="-3"/>
                <w:sz w:val="18"/>
                <w:szCs w:val="18"/>
              </w:rPr>
              <w:t>6.48%</w:t>
            </w:r>
            <w:r>
              <w:rPr>
                <w:rFonts w:ascii="宋体" w:hAnsi="宋体" w:cs="宋体" w:eastAsia="宋体" w:hint="default"/>
                <w:spacing w:val="-3"/>
                <w:sz w:val="18"/>
                <w:szCs w:val="18"/>
              </w:rPr>
              <w:t>、</w:t>
            </w:r>
            <w:r>
              <w:rPr>
                <w:rFonts w:ascii="宋体" w:hAnsi="宋体" w:cs="宋体" w:eastAsia="宋体" w:hint="default"/>
                <w:spacing w:val="-3"/>
                <w:sz w:val="18"/>
                <w:szCs w:val="18"/>
              </w:rPr>
              <w:t>14.56%</w:t>
            </w:r>
            <w:r>
              <w:rPr>
                <w:rFonts w:ascii="宋体" w:hAnsi="宋体" w:cs="宋体" w:eastAsia="宋体" w:hint="default"/>
                <w:spacing w:val="-3"/>
                <w:sz w:val="18"/>
                <w:szCs w:val="18"/>
              </w:rPr>
              <w:t>比例向依米康补偿净利润差额。具体补偿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方式见双方签署的协议的约定。</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40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37.9pt;height:70.2pt;mso-position-horizontal-relative:char;mso-position-vertical-relative:line" coordorigin="0,0" coordsize="758,1404">
                  <v:group style="position:absolute;left:0;top:0;width:758;height:1404" coordorigin="0,0" coordsize="758,1404">
                    <v:shape style="position:absolute;left:0;top:0;width:758;height:1404" coordorigin="0,0" coordsize="758,1404" path="m0,1404l757,1404,757,0,0,0,0,140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140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37.9pt;height:70.25pt;mso-position-horizontal-relative:char;mso-position-vertical-relative:line" coordorigin="0,0" coordsize="758,1405">
                  <v:group style="position:absolute;left:0;top:0;width:758;height:1405" coordorigin="0,0" coordsize="758,1405">
                    <v:shape style="position:absolute;left:0;top:0;width:758;height:1405" coordorigin="0,0" coordsize="758,1405" path="m0,1404l757,1404,757,0,0,0,0,1404xe" filled="true" fillcolor="#ffffff" stroked="false">
                      <v:path arrowok="t"/>
                      <v:fill type="solid"/>
                    </v:shape>
                  </v:group>
                </v:group>
              </w:pict>
            </w:r>
            <w:r>
              <w:rPr>
                <w:rFonts w:ascii="Times New Roman" w:hAnsi="Times New Roman" w:cs="Times New Roman" w:eastAsia="Times New Roman" w:hint="default"/>
                <w:position w:val="-27"/>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自作出承 诺至</w:t>
            </w:r>
            <w:r>
              <w:rPr>
                <w:rFonts w:ascii="宋体" w:hAnsi="宋体" w:cs="宋体" w:eastAsia="宋体" w:hint="default"/>
                <w:spacing w:val="-46"/>
                <w:sz w:val="18"/>
                <w:szCs w:val="18"/>
              </w:rPr>
              <w:t> </w:t>
            </w:r>
            <w:r>
              <w:rPr>
                <w:rFonts w:ascii="宋体" w:hAnsi="宋体" w:cs="宋体" w:eastAsia="宋体" w:hint="default"/>
                <w:sz w:val="18"/>
                <w:szCs w:val="18"/>
              </w:rPr>
              <w:t>2016</w:t>
            </w:r>
          </w:p>
          <w:p>
            <w:pPr>
              <w:pStyle w:val="TableParagraph"/>
              <w:spacing w:line="319" w:lineRule="auto" w:before="19"/>
              <w:ind w:left="22"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31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10"/>
        <w:gridCol w:w="851"/>
        <w:gridCol w:w="1075"/>
        <w:gridCol w:w="4395"/>
        <w:gridCol w:w="768"/>
        <w:gridCol w:w="850"/>
        <w:gridCol w:w="992"/>
      </w:tblGrid>
      <w:tr>
        <w:trPr>
          <w:trHeight w:val="6642" w:hRule="exact"/>
        </w:trPr>
        <w:tc>
          <w:tcPr>
            <w:tcW w:w="710"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宋正兴、 叶春娥、 宋丽娜、 张家港市 立业投资 发展有限 公司、上 海添惠投 资管理有 限公司、 张家港市 福兴投资 管理咨询 有限公 司、上海 同航投资 管理有限 公司、张 家港市嘉 明商贸有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减少或避免 关联交易的 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22"/>
              <w:jc w:val="both"/>
              <w:rPr>
                <w:rFonts w:ascii="宋体" w:hAnsi="宋体" w:cs="宋体" w:eastAsia="宋体" w:hint="default"/>
                <w:sz w:val="18"/>
                <w:szCs w:val="18"/>
              </w:rPr>
            </w:pPr>
            <w:r>
              <w:rPr>
                <w:rFonts w:ascii="宋体" w:hAnsi="宋体" w:cs="宋体" w:eastAsia="宋体" w:hint="default"/>
                <w:spacing w:val="-3"/>
                <w:sz w:val="18"/>
                <w:szCs w:val="18"/>
              </w:rPr>
              <w:t>减少或避免关联交易的承诺：</w:t>
            </w:r>
            <w:r>
              <w:rPr>
                <w:rFonts w:ascii="宋体" w:hAnsi="宋体" w:cs="宋体" w:eastAsia="宋体" w:hint="default"/>
                <w:spacing w:val="-3"/>
                <w:sz w:val="18"/>
                <w:szCs w:val="18"/>
              </w:rPr>
              <w:t>1</w:t>
            </w:r>
            <w:r>
              <w:rPr>
                <w:rFonts w:ascii="宋体" w:hAnsi="宋体" w:cs="宋体" w:eastAsia="宋体" w:hint="default"/>
                <w:spacing w:val="-3"/>
                <w:sz w:val="18"/>
                <w:szCs w:val="18"/>
              </w:rPr>
              <w:t>、本次交易完成之后，将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尽量避免或减少本人</w:t>
            </w:r>
            <w:r>
              <w:rPr>
                <w:rFonts w:ascii="宋体" w:hAnsi="宋体" w:cs="宋体" w:eastAsia="宋体" w:hint="default"/>
                <w:sz w:val="18"/>
                <w:szCs w:val="18"/>
              </w:rPr>
              <w:t>/</w:t>
            </w:r>
            <w:r>
              <w:rPr>
                <w:rFonts w:ascii="宋体" w:hAnsi="宋体" w:cs="宋体" w:eastAsia="宋体" w:hint="default"/>
                <w:sz w:val="18"/>
                <w:szCs w:val="18"/>
              </w:rPr>
              <w:t>本公司及本人</w:t>
            </w:r>
            <w:r>
              <w:rPr>
                <w:rFonts w:ascii="宋体" w:hAnsi="宋体" w:cs="宋体" w:eastAsia="宋体" w:hint="default"/>
                <w:sz w:val="18"/>
                <w:szCs w:val="18"/>
              </w:rPr>
              <w:t>/</w:t>
            </w:r>
            <w:r>
              <w:rPr>
                <w:rFonts w:ascii="宋体" w:hAnsi="宋体" w:cs="宋体" w:eastAsia="宋体" w:hint="default"/>
                <w:sz w:val="18"/>
                <w:szCs w:val="18"/>
              </w:rPr>
              <w:t>本公司所控制的其 他子公司、分公司、合营或联营公司与依米康及其子公 司之间发生关联交易。</w:t>
            </w:r>
            <w:r>
              <w:rPr>
                <w:rFonts w:ascii="宋体" w:hAnsi="宋体" w:cs="宋体" w:eastAsia="宋体" w:hint="default"/>
                <w:sz w:val="18"/>
                <w:szCs w:val="18"/>
              </w:rPr>
              <w:t>2</w:t>
            </w:r>
            <w:r>
              <w:rPr>
                <w:rFonts w:ascii="宋体" w:hAnsi="宋体" w:cs="宋体" w:eastAsia="宋体" w:hint="default"/>
                <w:sz w:val="18"/>
                <w:szCs w:val="18"/>
              </w:rPr>
              <w:t>、本次交易完成之后，本人</w:t>
            </w:r>
            <w:r>
              <w:rPr>
                <w:rFonts w:ascii="宋体" w:hAnsi="宋体" w:cs="宋体" w:eastAsia="宋体" w:hint="default"/>
                <w:sz w:val="18"/>
                <w:szCs w:val="18"/>
              </w:rPr>
              <w:t>/</w:t>
            </w:r>
            <w:r>
              <w:rPr>
                <w:rFonts w:ascii="宋体" w:hAnsi="宋体" w:cs="宋体" w:eastAsia="宋体" w:hint="default"/>
                <w:sz w:val="18"/>
                <w:szCs w:val="18"/>
              </w:rPr>
              <w:t>本 </w:t>
            </w:r>
            <w:r>
              <w:rPr>
                <w:rFonts w:ascii="宋体" w:hAnsi="宋体" w:cs="宋体" w:eastAsia="宋体" w:hint="default"/>
                <w:spacing w:val="-3"/>
                <w:sz w:val="18"/>
                <w:szCs w:val="18"/>
              </w:rPr>
              <w:t>公司及本人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本公司所控制的其他子公司、分公司、合营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或联营公司不以显失公允的价格与依米康进行交易。</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7227"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96"/>
              <w:jc w:val="left"/>
              <w:rPr>
                <w:rFonts w:ascii="宋体" w:hAnsi="宋体" w:cs="宋体" w:eastAsia="宋体" w:hint="default"/>
                <w:sz w:val="18"/>
                <w:szCs w:val="18"/>
              </w:rPr>
            </w:pPr>
            <w:r>
              <w:rPr>
                <w:rFonts w:ascii="宋体" w:hAnsi="宋体" w:cs="宋体" w:eastAsia="宋体" w:hint="default"/>
                <w:sz w:val="18"/>
                <w:szCs w:val="18"/>
              </w:rPr>
              <w:t>宋正兴、 叶春娥、 宋丽娜、 张家港市 立业投资 发展有限 公司、上 海添惠投 资管理有 限公司、 张家港市 福兴投资 管理咨询 有限公 司、上海 同航投资 管理有限 公司、张 家港市嘉 明商贸有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避免同业竞争的承诺（</w:t>
            </w:r>
            <w:r>
              <w:rPr>
                <w:rFonts w:ascii="宋体" w:hAnsi="宋体" w:cs="宋体" w:eastAsia="宋体" w:hint="default"/>
                <w:spacing w:val="-3"/>
                <w:sz w:val="18"/>
                <w:szCs w:val="18"/>
              </w:rPr>
              <w:t>1</w:t>
            </w:r>
            <w:r>
              <w:rPr>
                <w:rFonts w:ascii="宋体" w:hAnsi="宋体" w:cs="宋体" w:eastAsia="宋体" w:hint="default"/>
                <w:spacing w:val="-3"/>
                <w:sz w:val="18"/>
                <w:szCs w:val="18"/>
              </w:rPr>
              <w:t>）本人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本公司及本人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本公司所</w:t>
            </w:r>
            <w:r>
              <w:rPr>
                <w:rFonts w:ascii="宋体" w:hAnsi="宋体" w:cs="宋体" w:eastAsia="宋体" w:hint="default"/>
                <w:spacing w:val="-84"/>
                <w:sz w:val="18"/>
                <w:szCs w:val="18"/>
              </w:rPr>
              <w:t> </w:t>
            </w:r>
            <w:r>
              <w:rPr>
                <w:rFonts w:ascii="宋体" w:hAnsi="宋体" w:cs="宋体" w:eastAsia="宋体" w:hint="default"/>
                <w:sz w:val="18"/>
                <w:szCs w:val="18"/>
              </w:rPr>
              <w:t>控制的其他子公司、分公司、合营或联营公司及其他任 何类型企业（以下统称为</w:t>
            </w:r>
            <w:r>
              <w:rPr>
                <w:rFonts w:ascii="宋体" w:hAnsi="宋体" w:cs="宋体" w:eastAsia="宋体" w:hint="default"/>
                <w:sz w:val="18"/>
                <w:szCs w:val="18"/>
              </w:rPr>
              <w:t>"</w:t>
            </w:r>
            <w:r>
              <w:rPr>
                <w:rFonts w:ascii="宋体" w:hAnsi="宋体" w:cs="宋体" w:eastAsia="宋体" w:hint="default"/>
                <w:sz w:val="18"/>
                <w:szCs w:val="18"/>
              </w:rPr>
              <w:t>相关企业</w:t>
            </w:r>
            <w:r>
              <w:rPr>
                <w:rFonts w:ascii="宋体" w:hAnsi="宋体" w:cs="宋体" w:eastAsia="宋体" w:hint="default"/>
                <w:sz w:val="18"/>
                <w:szCs w:val="18"/>
              </w:rPr>
              <w:t>"</w:t>
            </w:r>
            <w:r>
              <w:rPr>
                <w:rFonts w:ascii="宋体" w:hAnsi="宋体" w:cs="宋体" w:eastAsia="宋体" w:hint="default"/>
                <w:sz w:val="18"/>
                <w:szCs w:val="18"/>
              </w:rPr>
              <w:t>）目前均未从事任 何与亿金环保、依米康及其子公司构成直接或间接竞争 </w:t>
            </w:r>
            <w:r>
              <w:rPr>
                <w:rFonts w:ascii="宋体" w:hAnsi="宋体" w:cs="宋体" w:eastAsia="宋体" w:hint="default"/>
                <w:spacing w:val="-7"/>
                <w:sz w:val="18"/>
                <w:szCs w:val="18"/>
              </w:rPr>
              <w:t>的生产经营业务或活动。（</w:t>
            </w:r>
            <w:r>
              <w:rPr>
                <w:rFonts w:ascii="宋体" w:hAnsi="宋体" w:cs="宋体" w:eastAsia="宋体" w:hint="default"/>
                <w:spacing w:val="-7"/>
                <w:sz w:val="18"/>
                <w:szCs w:val="18"/>
              </w:rPr>
              <w:t>2</w:t>
            </w:r>
            <w:r>
              <w:rPr>
                <w:rFonts w:ascii="宋体" w:hAnsi="宋体" w:cs="宋体" w:eastAsia="宋体" w:hint="default"/>
                <w:spacing w:val="-7"/>
                <w:sz w:val="18"/>
                <w:szCs w:val="18"/>
              </w:rPr>
              <w:t>）本人</w:t>
            </w:r>
            <w:r>
              <w:rPr>
                <w:rFonts w:ascii="宋体" w:hAnsi="宋体" w:cs="宋体" w:eastAsia="宋体" w:hint="default"/>
                <w:spacing w:val="-7"/>
                <w:sz w:val="18"/>
                <w:szCs w:val="18"/>
              </w:rPr>
              <w:t>/</w:t>
            </w:r>
            <w:r>
              <w:rPr>
                <w:rFonts w:ascii="宋体" w:hAnsi="宋体" w:cs="宋体" w:eastAsia="宋体" w:hint="default"/>
                <w:spacing w:val="-7"/>
                <w:sz w:val="18"/>
                <w:szCs w:val="18"/>
              </w:rPr>
              <w:t>本公司及相关企业将</w:t>
            </w:r>
            <w:r>
              <w:rPr>
                <w:rFonts w:ascii="宋体" w:hAnsi="宋体" w:cs="宋体" w:eastAsia="宋体" w:hint="default"/>
                <w:spacing w:val="-70"/>
                <w:sz w:val="18"/>
                <w:szCs w:val="18"/>
              </w:rPr>
              <w:t> </w:t>
            </w:r>
            <w:r>
              <w:rPr>
                <w:rFonts w:ascii="宋体" w:hAnsi="宋体" w:cs="宋体" w:eastAsia="宋体" w:hint="default"/>
                <w:sz w:val="18"/>
                <w:szCs w:val="18"/>
              </w:rPr>
              <w:t>来亦不直接或间接从事任何与依米康及其子公司相同或 类似的业务，不直接或间接从事、参与或进行与依米康 及其子公司的生产经营构成竞争的任何生产经营业务或 活动，且不再对具有与依米康及其子公司有相同或类似 </w:t>
            </w:r>
            <w:r>
              <w:rPr>
                <w:rFonts w:ascii="宋体" w:hAnsi="宋体" w:cs="宋体" w:eastAsia="宋体" w:hint="default"/>
                <w:spacing w:val="-7"/>
                <w:sz w:val="18"/>
                <w:szCs w:val="18"/>
              </w:rPr>
              <w:t>业务的企业进行投资。（</w:t>
            </w:r>
            <w:r>
              <w:rPr>
                <w:rFonts w:ascii="宋体" w:hAnsi="宋体" w:cs="宋体" w:eastAsia="宋体" w:hint="default"/>
                <w:spacing w:val="-7"/>
                <w:sz w:val="18"/>
                <w:szCs w:val="18"/>
              </w:rPr>
              <w:t>3</w:t>
            </w:r>
            <w:r>
              <w:rPr>
                <w:rFonts w:ascii="宋体" w:hAnsi="宋体" w:cs="宋体" w:eastAsia="宋体" w:hint="default"/>
                <w:spacing w:val="-7"/>
                <w:sz w:val="18"/>
                <w:szCs w:val="18"/>
              </w:rPr>
              <w:t>）本人</w:t>
            </w:r>
            <w:r>
              <w:rPr>
                <w:rFonts w:ascii="宋体" w:hAnsi="宋体" w:cs="宋体" w:eastAsia="宋体" w:hint="default"/>
                <w:spacing w:val="-7"/>
                <w:sz w:val="18"/>
                <w:szCs w:val="18"/>
              </w:rPr>
              <w:t>/</w:t>
            </w:r>
            <w:r>
              <w:rPr>
                <w:rFonts w:ascii="宋体" w:hAnsi="宋体" w:cs="宋体" w:eastAsia="宋体" w:hint="default"/>
                <w:spacing w:val="-7"/>
                <w:sz w:val="18"/>
                <w:szCs w:val="18"/>
              </w:rPr>
              <w:t>本公司将对自身及相关</w:t>
            </w:r>
            <w:r>
              <w:rPr>
                <w:rFonts w:ascii="宋体" w:hAnsi="宋体" w:cs="宋体" w:eastAsia="宋体" w:hint="default"/>
                <w:spacing w:val="-70"/>
                <w:sz w:val="18"/>
                <w:szCs w:val="18"/>
              </w:rPr>
              <w:t> </w:t>
            </w:r>
            <w:r>
              <w:rPr>
                <w:rFonts w:ascii="宋体" w:hAnsi="宋体" w:cs="宋体" w:eastAsia="宋体" w:hint="default"/>
                <w:sz w:val="18"/>
                <w:szCs w:val="18"/>
              </w:rPr>
              <w:t>企业的生产经营活动进行监督和约束，如果将来承诺人 及相关企业的产品或业务与依米康及其子公司的产品或 </w:t>
            </w:r>
            <w:r>
              <w:rPr>
                <w:rFonts w:ascii="宋体" w:hAnsi="宋体" w:cs="宋体" w:eastAsia="宋体" w:hint="default"/>
                <w:spacing w:val="-3"/>
                <w:sz w:val="18"/>
                <w:szCs w:val="18"/>
              </w:rPr>
              <w:t>业务出现相同或类似的情况，本人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本公司承诺将采取以</w:t>
            </w:r>
            <w:r>
              <w:rPr>
                <w:rFonts w:ascii="宋体" w:hAnsi="宋体" w:cs="宋体" w:eastAsia="宋体" w:hint="default"/>
                <w:spacing w:val="-87"/>
                <w:sz w:val="18"/>
                <w:szCs w:val="18"/>
              </w:rPr>
              <w:t> </w:t>
            </w:r>
            <w:r>
              <w:rPr>
                <w:rFonts w:ascii="宋体" w:hAnsi="宋体" w:cs="宋体" w:eastAsia="宋体" w:hint="default"/>
                <w:spacing w:val="-3"/>
                <w:sz w:val="18"/>
                <w:szCs w:val="18"/>
              </w:rPr>
              <w:t>下措施解决：①依米康认为必要时，本人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本公司及相关</w:t>
            </w:r>
            <w:r>
              <w:rPr>
                <w:rFonts w:ascii="宋体" w:hAnsi="宋体" w:cs="宋体" w:eastAsia="宋体" w:hint="default"/>
                <w:spacing w:val="-87"/>
                <w:sz w:val="18"/>
                <w:szCs w:val="18"/>
              </w:rPr>
              <w:t> </w:t>
            </w:r>
            <w:r>
              <w:rPr>
                <w:rFonts w:ascii="宋体" w:hAnsi="宋体" w:cs="宋体" w:eastAsia="宋体" w:hint="default"/>
                <w:sz w:val="18"/>
                <w:szCs w:val="18"/>
              </w:rPr>
              <w:t>企业将减持直至全部转让所持有的有关资产和业务；② 依米康认为必要时，可以通过适当方式优先收购本人</w:t>
            </w:r>
            <w:r>
              <w:rPr>
                <w:rFonts w:ascii="宋体" w:hAnsi="宋体" w:cs="宋体" w:eastAsia="宋体" w:hint="default"/>
                <w:sz w:val="18"/>
                <w:szCs w:val="18"/>
              </w:rPr>
              <w:t>/ </w:t>
            </w:r>
            <w:r>
              <w:rPr>
                <w:rFonts w:ascii="宋体" w:hAnsi="宋体" w:cs="宋体" w:eastAsia="宋体" w:hint="default"/>
                <w:sz w:val="18"/>
                <w:szCs w:val="18"/>
              </w:rPr>
              <w:t>本公司及相关企业持有的有关资产和业务；③如承诺人 及相关企业与依米康及其子公司因同业竞争产生利益冲 突，则无条件将相关利益让与依米康；④无条件接受依 </w:t>
            </w:r>
            <w:r>
              <w:rPr>
                <w:rFonts w:ascii="宋体" w:hAnsi="宋体" w:cs="宋体" w:eastAsia="宋体" w:hint="default"/>
                <w:spacing w:val="-7"/>
                <w:sz w:val="18"/>
                <w:szCs w:val="18"/>
              </w:rPr>
              <w:t>米康提出的可消除竞争的其他措施。（</w:t>
            </w:r>
            <w:r>
              <w:rPr>
                <w:rFonts w:ascii="宋体" w:hAnsi="宋体" w:cs="宋体" w:eastAsia="宋体" w:hint="default"/>
                <w:spacing w:val="-7"/>
                <w:sz w:val="18"/>
                <w:szCs w:val="18"/>
              </w:rPr>
              <w:t>4</w:t>
            </w:r>
            <w:r>
              <w:rPr>
                <w:rFonts w:ascii="宋体" w:hAnsi="宋体" w:cs="宋体" w:eastAsia="宋体" w:hint="default"/>
                <w:spacing w:val="-7"/>
                <w:sz w:val="18"/>
                <w:szCs w:val="18"/>
              </w:rPr>
              <w:t>）任何本人</w:t>
            </w:r>
            <w:r>
              <w:rPr>
                <w:rFonts w:ascii="宋体" w:hAnsi="宋体" w:cs="宋体" w:eastAsia="宋体" w:hint="default"/>
                <w:spacing w:val="-7"/>
                <w:sz w:val="18"/>
                <w:szCs w:val="18"/>
              </w:rPr>
              <w:t>/</w:t>
            </w:r>
            <w:r>
              <w:rPr>
                <w:rFonts w:ascii="宋体" w:hAnsi="宋体" w:cs="宋体" w:eastAsia="宋体" w:hint="default"/>
                <w:spacing w:val="-7"/>
                <w:sz w:val="18"/>
                <w:szCs w:val="18"/>
              </w:rPr>
              <w:t>本公</w:t>
            </w:r>
            <w:r>
              <w:rPr>
                <w:rFonts w:ascii="宋体" w:hAnsi="宋体" w:cs="宋体" w:eastAsia="宋体" w:hint="default"/>
                <w:spacing w:val="-70"/>
                <w:sz w:val="18"/>
                <w:szCs w:val="18"/>
              </w:rPr>
              <w:t> </w:t>
            </w:r>
            <w:r>
              <w:rPr>
                <w:rFonts w:ascii="宋体" w:hAnsi="宋体" w:cs="宋体" w:eastAsia="宋体" w:hint="default"/>
                <w:sz w:val="18"/>
                <w:szCs w:val="18"/>
              </w:rPr>
              <w:t>司或相关企业违反本承诺函，应负责赔偿依米康及其子 </w:t>
            </w:r>
            <w:r>
              <w:rPr>
                <w:rFonts w:ascii="宋体" w:hAnsi="宋体" w:cs="宋体" w:eastAsia="宋体" w:hint="default"/>
                <w:spacing w:val="-3"/>
                <w:sz w:val="18"/>
                <w:szCs w:val="18"/>
              </w:rPr>
              <w:t>公司因同业竞争行为而导致的损失，并且本人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本公司及</w:t>
            </w:r>
            <w:r>
              <w:rPr>
                <w:rFonts w:ascii="宋体" w:hAnsi="宋体" w:cs="宋体" w:eastAsia="宋体" w:hint="default"/>
                <w:spacing w:val="-87"/>
                <w:sz w:val="18"/>
                <w:szCs w:val="18"/>
              </w:rPr>
              <w:t> </w:t>
            </w:r>
            <w:r>
              <w:rPr>
                <w:rFonts w:ascii="宋体" w:hAnsi="宋体" w:cs="宋体" w:eastAsia="宋体" w:hint="default"/>
                <w:sz w:val="18"/>
                <w:szCs w:val="18"/>
              </w:rPr>
              <w:t>相关企业从事与依米康及其子公司竞争业务所产生的全</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10"/>
        <w:gridCol w:w="851"/>
        <w:gridCol w:w="1075"/>
        <w:gridCol w:w="4395"/>
        <w:gridCol w:w="768"/>
        <w:gridCol w:w="850"/>
        <w:gridCol w:w="992"/>
      </w:tblGrid>
      <w:tr>
        <w:trPr>
          <w:trHeight w:val="362" w:hRule="exact"/>
        </w:trPr>
        <w:tc>
          <w:tcPr>
            <w:tcW w:w="710"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部收益均归依米康所有。</w:t>
            </w:r>
          </w:p>
        </w:tc>
        <w:tc>
          <w:tcPr>
            <w:tcW w:w="7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宋正兴、 叶春娥、 宋丽娜、 张家港市 立业投资 发展有限 公司、上 海添惠投 资管理有 限公司、 张家港市 福兴投资 管理咨询 有限公 司、上海 同航投资 管理有限 公司、张 家港市嘉 明商贸有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关于目标资 产权属的承 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40"/>
              <w:jc w:val="left"/>
              <w:rPr>
                <w:rFonts w:ascii="宋体" w:hAnsi="宋体" w:cs="宋体" w:eastAsia="宋体" w:hint="default"/>
                <w:sz w:val="18"/>
                <w:szCs w:val="18"/>
              </w:rPr>
            </w:pPr>
            <w:r>
              <w:rPr>
                <w:rFonts w:ascii="宋体" w:hAnsi="宋体" w:cs="宋体" w:eastAsia="宋体" w:hint="default"/>
                <w:sz w:val="18"/>
                <w:szCs w:val="18"/>
              </w:rPr>
              <w:t>关于目标资产权属的承诺：</w:t>
            </w:r>
            <w:r>
              <w:rPr>
                <w:rFonts w:ascii="宋体" w:hAnsi="宋体" w:cs="宋体" w:eastAsia="宋体" w:hint="default"/>
                <w:sz w:val="18"/>
                <w:szCs w:val="18"/>
              </w:rPr>
              <w:t>1</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本公司已履行了亿 金环保《公司章程》规定的全额出资义务；</w:t>
            </w:r>
            <w:r>
              <w:rPr>
                <w:rFonts w:ascii="宋体" w:hAnsi="宋体" w:cs="宋体" w:eastAsia="宋体" w:hint="default"/>
                <w:sz w:val="18"/>
                <w:szCs w:val="18"/>
              </w:rPr>
              <w:t>2</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 公司依法合计拥有亿金环保至少</w:t>
            </w:r>
            <w:r>
              <w:rPr>
                <w:rFonts w:ascii="宋体" w:hAnsi="宋体" w:cs="宋体" w:eastAsia="宋体" w:hint="default"/>
                <w:spacing w:val="-46"/>
                <w:sz w:val="18"/>
                <w:szCs w:val="18"/>
              </w:rPr>
              <w:t> </w:t>
            </w:r>
            <w:r>
              <w:rPr>
                <w:rFonts w:ascii="宋体" w:hAnsi="宋体" w:cs="宋体" w:eastAsia="宋体" w:hint="default"/>
                <w:sz w:val="18"/>
                <w:szCs w:val="18"/>
              </w:rPr>
              <w:t>53%</w:t>
            </w:r>
            <w:r>
              <w:rPr>
                <w:rFonts w:ascii="宋体" w:hAnsi="宋体" w:cs="宋体" w:eastAsia="宋体" w:hint="default"/>
                <w:sz w:val="18"/>
                <w:szCs w:val="18"/>
              </w:rPr>
              <w:t>的股份有效的占 有、使用、收益及处分权；</w:t>
            </w:r>
            <w:r>
              <w:rPr>
                <w:rFonts w:ascii="宋体" w:hAnsi="宋体" w:cs="宋体" w:eastAsia="宋体" w:hint="default"/>
                <w:sz w:val="18"/>
                <w:szCs w:val="18"/>
              </w:rPr>
              <w:t>3</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本公司所持有的亿 金环保股份资产权属清晰，不存在任何权属纠纷，亦不 存在其他法律纠纷；</w:t>
            </w:r>
            <w:r>
              <w:rPr>
                <w:rFonts w:ascii="宋体" w:hAnsi="宋体" w:cs="宋体" w:eastAsia="宋体" w:hint="default"/>
                <w:sz w:val="18"/>
                <w:szCs w:val="18"/>
              </w:rPr>
              <w:t>4</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本公司持有的亿金环保股 份不存在质押、抵押、其他担保或第三方权益或限制情 形，也不存在法院或其他有权机关冻结、查封、拍卖承 诺人持有亿金环保股份之情形；</w:t>
            </w:r>
            <w:r>
              <w:rPr>
                <w:rFonts w:ascii="宋体" w:hAnsi="宋体" w:cs="宋体" w:eastAsia="宋体" w:hint="default"/>
                <w:sz w:val="18"/>
                <w:szCs w:val="18"/>
              </w:rPr>
              <w:t>5</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本公司持有的 亿金环保</w:t>
            </w:r>
            <w:r>
              <w:rPr>
                <w:rFonts w:ascii="宋体" w:hAnsi="宋体" w:cs="宋体" w:eastAsia="宋体" w:hint="default"/>
                <w:spacing w:val="-46"/>
                <w:sz w:val="18"/>
                <w:szCs w:val="18"/>
              </w:rPr>
              <w:t> </w:t>
            </w:r>
            <w:r>
              <w:rPr>
                <w:rFonts w:ascii="宋体" w:hAnsi="宋体" w:cs="宋体" w:eastAsia="宋体" w:hint="default"/>
                <w:sz w:val="18"/>
                <w:szCs w:val="18"/>
              </w:rPr>
              <w:t>53%</w:t>
            </w:r>
            <w:r>
              <w:rPr>
                <w:rFonts w:ascii="宋体" w:hAnsi="宋体" w:cs="宋体" w:eastAsia="宋体" w:hint="default"/>
                <w:sz w:val="18"/>
                <w:szCs w:val="18"/>
              </w:rPr>
              <w:t>拟转让股份过户或者转移不存在法律障 碍。</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5394" w:hRule="exact"/>
        </w:trPr>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22" w:right="135"/>
              <w:jc w:val="both"/>
              <w:rPr>
                <w:rFonts w:ascii="宋体" w:hAnsi="宋体" w:cs="宋体" w:eastAsia="宋体" w:hint="default"/>
                <w:sz w:val="18"/>
                <w:szCs w:val="18"/>
              </w:rPr>
            </w:pPr>
            <w:r>
              <w:rPr>
                <w:rFonts w:ascii="宋体" w:hAnsi="宋体" w:cs="宋体" w:eastAsia="宋体" w:hint="default"/>
                <w:sz w:val="18"/>
                <w:szCs w:val="18"/>
              </w:rPr>
              <w:t>首次公 开发行 或再融 资时所 作承诺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公司控股 股东及实 际控制人 孙屹峥、 张菀（孙 屹峥夫妻 合计持股 </w:t>
            </w:r>
            <w:r>
              <w:rPr>
                <w:rFonts w:ascii="宋体" w:hAnsi="宋体" w:cs="宋体" w:eastAsia="宋体" w:hint="default"/>
                <w:sz w:val="18"/>
                <w:szCs w:val="18"/>
              </w:rPr>
              <w:t>34.98%</w:t>
            </w:r>
            <w:r>
              <w:rPr>
                <w:rFonts w:ascii="宋体" w:hAnsi="宋体" w:cs="宋体" w:eastAsia="宋体" w:hint="default"/>
                <w:sz w:val="18"/>
                <w:szCs w:val="18"/>
              </w:rPr>
              <w:t>，</w:t>
            </w:r>
          </w:p>
          <w:p>
            <w:pPr>
              <w:pStyle w:val="TableParagraph"/>
              <w:spacing w:line="316" w:lineRule="auto" w:before="19"/>
              <w:ind w:left="22" w:right="35"/>
              <w:jc w:val="left"/>
              <w:rPr>
                <w:rFonts w:ascii="宋体" w:hAnsi="宋体" w:cs="宋体" w:eastAsia="宋体" w:hint="default"/>
                <w:sz w:val="18"/>
                <w:szCs w:val="18"/>
              </w:rPr>
            </w:pPr>
            <w:r>
              <w:rPr>
                <w:rFonts w:ascii="宋体" w:hAnsi="宋体" w:cs="宋体" w:eastAsia="宋体" w:hint="default"/>
                <w:sz w:val="18"/>
                <w:szCs w:val="18"/>
              </w:rPr>
              <w:t>因其女儿 孙晶晶在 报告期内 持股 </w:t>
            </w:r>
            <w:r>
              <w:rPr>
                <w:rFonts w:ascii="宋体" w:hAnsi="宋体" w:cs="宋体" w:eastAsia="宋体" w:hint="default"/>
                <w:spacing w:val="-5"/>
                <w:sz w:val="18"/>
                <w:szCs w:val="18"/>
              </w:rPr>
              <w:t>4.55%</w:t>
            </w:r>
            <w:r>
              <w:rPr>
                <w:rFonts w:ascii="宋体" w:hAnsi="宋体" w:cs="宋体" w:eastAsia="宋体" w:hint="default"/>
                <w:spacing w:val="-5"/>
                <w:sz w:val="18"/>
                <w:szCs w:val="18"/>
              </w:rPr>
              <w:t>，作</w:t>
            </w:r>
            <w:r>
              <w:rPr>
                <w:rFonts w:ascii="宋体" w:hAnsi="宋体" w:cs="宋体" w:eastAsia="宋体" w:hint="default"/>
                <w:sz w:val="18"/>
                <w:szCs w:val="18"/>
              </w:rPr>
            </w:r>
          </w:p>
          <w:p>
            <w:pPr>
              <w:pStyle w:val="TableParagraph"/>
              <w:spacing w:line="319" w:lineRule="auto" w:before="19"/>
              <w:ind w:left="22" w:right="96"/>
              <w:jc w:val="left"/>
              <w:rPr>
                <w:rFonts w:ascii="宋体" w:hAnsi="宋体" w:cs="宋体" w:eastAsia="宋体" w:hint="default"/>
                <w:sz w:val="18"/>
                <w:szCs w:val="18"/>
              </w:rPr>
            </w:pPr>
            <w:r>
              <w:rPr>
                <w:rFonts w:ascii="宋体" w:hAnsi="宋体" w:cs="宋体" w:eastAsia="宋体" w:hint="default"/>
                <w:sz w:val="18"/>
                <w:szCs w:val="18"/>
              </w:rPr>
              <w:t>为一致行 动人合计 持股 </w:t>
            </w:r>
            <w:r>
              <w:rPr>
                <w:rFonts w:ascii="宋体" w:hAnsi="宋体" w:cs="宋体" w:eastAsia="宋体" w:hint="default"/>
                <w:sz w:val="18"/>
                <w:szCs w:val="18"/>
              </w:rPr>
              <w:t>39.53%</w:t>
            </w:r>
            <w:r>
              <w:rPr>
                <w:rFonts w:ascii="宋体" w:hAnsi="宋体" w:cs="宋体" w:eastAsia="宋体"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62"/>
                <w:sz w:val="18"/>
                <w:szCs w:val="18"/>
              </w:rPr>
              <w:t> </w:t>
            </w:r>
            <w:r>
              <w:rPr>
                <w:rFonts w:ascii="宋体" w:hAnsi="宋体" w:cs="宋体" w:eastAsia="宋体" w:hint="default"/>
                <w:sz w:val="18"/>
                <w:szCs w:val="18"/>
              </w:rPr>
              <w:t>时董监高 股东的承诺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40"/>
              <w:jc w:val="left"/>
              <w:rPr>
                <w:rFonts w:ascii="宋体" w:hAnsi="宋体" w:cs="宋体" w:eastAsia="宋体" w:hint="default"/>
                <w:sz w:val="18"/>
                <w:szCs w:val="18"/>
              </w:rPr>
            </w:pPr>
            <w:r>
              <w:rPr>
                <w:rFonts w:ascii="宋体" w:hAnsi="宋体" w:cs="宋体" w:eastAsia="宋体" w:hint="default"/>
                <w:sz w:val="18"/>
                <w:szCs w:val="18"/>
              </w:rPr>
              <w:t>董监高股东的承诺：除了上述锁定期外，在其任职期间 每年转让的股份不超过其直接或间接所持公司股份总数 的百分之二十五；在首次公开发行股票上市之日起六个 月内申报离职的，自申报离职之日起十八个月内不转让 直接或间接所持公司股份；在首次公开发行股票上市之 日起第七个月至第十二个月之间申报离职的，自申报离 职之日起十二个月内不转让直接或间接所持公司股份； 在首次公开发行股票上市之日起十二个月后申报离职 的，自申报离职之日起六个月内不转让直接或间接所持 公司股份。</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1299"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公司控股 股东及实 际控制人 孙屹峥、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62"/>
                <w:sz w:val="18"/>
                <w:szCs w:val="18"/>
              </w:rPr>
              <w:t> </w:t>
            </w:r>
            <w:r>
              <w:rPr>
                <w:rFonts w:ascii="宋体" w:hAnsi="宋体" w:cs="宋体" w:eastAsia="宋体" w:hint="default"/>
                <w:sz w:val="18"/>
                <w:szCs w:val="18"/>
              </w:rPr>
              <w:t>时放弃竞 争与利益冲 突承诺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both"/>
              <w:rPr>
                <w:rFonts w:ascii="宋体" w:hAnsi="宋体" w:cs="宋体" w:eastAsia="宋体" w:hint="default"/>
                <w:sz w:val="18"/>
                <w:szCs w:val="18"/>
              </w:rPr>
            </w:pPr>
            <w:r>
              <w:rPr>
                <w:rFonts w:ascii="宋体" w:hAnsi="宋体" w:cs="宋体" w:eastAsia="宋体" w:hint="default"/>
                <w:spacing w:val="-4"/>
                <w:sz w:val="18"/>
                <w:szCs w:val="18"/>
              </w:rPr>
              <w:t>放弃竞争与利益冲突承诺：（</w:t>
            </w:r>
            <w:r>
              <w:rPr>
                <w:rFonts w:ascii="宋体" w:hAnsi="宋体" w:cs="宋体" w:eastAsia="宋体" w:hint="default"/>
                <w:spacing w:val="-4"/>
                <w:sz w:val="18"/>
                <w:szCs w:val="18"/>
              </w:rPr>
              <w:t>1</w:t>
            </w:r>
            <w:r>
              <w:rPr>
                <w:rFonts w:ascii="宋体" w:hAnsi="宋体" w:cs="宋体" w:eastAsia="宋体" w:hint="default"/>
                <w:spacing w:val="-4"/>
                <w:sz w:val="18"/>
                <w:szCs w:val="18"/>
              </w:rPr>
              <w:t>）本人及本人控股或参股</w:t>
            </w:r>
            <w:r>
              <w:rPr>
                <w:rFonts w:ascii="宋体" w:hAnsi="宋体" w:cs="宋体" w:eastAsia="宋体" w:hint="default"/>
                <w:spacing w:val="-80"/>
                <w:sz w:val="18"/>
                <w:szCs w:val="18"/>
              </w:rPr>
              <w:t> </w:t>
            </w:r>
            <w:r>
              <w:rPr>
                <w:rFonts w:ascii="宋体" w:hAnsi="宋体" w:cs="宋体" w:eastAsia="宋体" w:hint="default"/>
                <w:sz w:val="18"/>
                <w:szCs w:val="18"/>
              </w:rPr>
              <w:t>的子公司（</w:t>
            </w:r>
            <w:r>
              <w:rPr>
                <w:rFonts w:ascii="宋体" w:hAnsi="宋体" w:cs="宋体" w:eastAsia="宋体" w:hint="default"/>
                <w:sz w:val="18"/>
                <w:szCs w:val="18"/>
              </w:rPr>
              <w:t>"</w:t>
            </w:r>
            <w:r>
              <w:rPr>
                <w:rFonts w:ascii="宋体" w:hAnsi="宋体" w:cs="宋体" w:eastAsia="宋体" w:hint="default"/>
                <w:sz w:val="18"/>
                <w:szCs w:val="18"/>
              </w:rPr>
              <w:t>附属公司</w:t>
            </w:r>
            <w:r>
              <w:rPr>
                <w:rFonts w:ascii="宋体" w:hAnsi="宋体" w:cs="宋体" w:eastAsia="宋体" w:hint="default"/>
                <w:sz w:val="18"/>
                <w:szCs w:val="18"/>
              </w:rPr>
              <w:t>"</w:t>
            </w:r>
            <w:r>
              <w:rPr>
                <w:rFonts w:ascii="宋体" w:hAnsi="宋体" w:cs="宋体" w:eastAsia="宋体" w:hint="default"/>
                <w:sz w:val="18"/>
                <w:szCs w:val="18"/>
              </w:rPr>
              <w:t>）目前并没有直接或间接地从事 任何与股份公司营业执照上所列明经营范围内的业务存 </w:t>
            </w:r>
            <w:r>
              <w:rPr>
                <w:rFonts w:ascii="宋体" w:hAnsi="宋体" w:cs="宋体" w:eastAsia="宋体" w:hint="default"/>
                <w:spacing w:val="-4"/>
                <w:sz w:val="18"/>
                <w:szCs w:val="18"/>
              </w:rPr>
              <w:t>在竞争的任何业务活动；（</w:t>
            </w:r>
            <w:r>
              <w:rPr>
                <w:rFonts w:ascii="宋体" w:hAnsi="宋体" w:cs="宋体" w:eastAsia="宋体" w:hint="default"/>
                <w:spacing w:val="-4"/>
                <w:sz w:val="18"/>
                <w:szCs w:val="18"/>
              </w:rPr>
              <w:t>2</w:t>
            </w:r>
            <w:r>
              <w:rPr>
                <w:rFonts w:ascii="宋体" w:hAnsi="宋体" w:cs="宋体" w:eastAsia="宋体" w:hint="default"/>
                <w:spacing w:val="-4"/>
                <w:sz w:val="18"/>
                <w:szCs w:val="18"/>
              </w:rPr>
              <w:t>）本人及附属公司在今后的</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57.269012pt;margin-top:72.47998pt;width:89.1pt;height:423.3pt;mso-position-horizontal-relative:page;mso-position-vertical-relative:page;z-index:-1060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spacing w:before="0"/>
                    <w:ind w:left="0" w:right="0" w:hanging="1"/>
                    <w:jc w:val="left"/>
                    <w:rPr>
                      <w:rFonts w:ascii="宋体" w:hAnsi="宋体" w:cs="宋体" w:eastAsia="宋体" w:hint="default"/>
                      <w:sz w:val="18"/>
                      <w:szCs w:val="18"/>
                    </w:rPr>
                  </w:pPr>
                  <w:r>
                    <w:rPr>
                      <w:rFonts w:ascii="宋体" w:hAnsi="宋体" w:cs="宋体" w:eastAsia="宋体" w:hint="default"/>
                      <w:sz w:val="18"/>
                      <w:szCs w:val="18"/>
                    </w:rPr>
                    <w:t>《公司章程》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保证与承诺，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10"/>
        <w:gridCol w:w="851"/>
        <w:gridCol w:w="1075"/>
        <w:gridCol w:w="4395"/>
        <w:gridCol w:w="768"/>
        <w:gridCol w:w="850"/>
        <w:gridCol w:w="992"/>
      </w:tblGrid>
      <w:tr>
        <w:trPr>
          <w:trHeight w:val="317" w:hRule="exact"/>
        </w:trPr>
        <w:tc>
          <w:tcPr>
            <w:tcW w:w="710"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张菀（孙</w:t>
            </w:r>
          </w:p>
        </w:tc>
        <w:tc>
          <w:tcPr>
            <w:tcW w:w="1075" w:type="dxa"/>
            <w:vMerge w:val="restart"/>
            <w:tcBorders>
              <w:top w:val="single" w:sz="4" w:space="0" w:color="000000"/>
              <w:left w:val="single" w:sz="4" w:space="0" w:color="000000"/>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任何时间不会直接或间接地以任何方式（包括但不限于</w:t>
            </w:r>
          </w:p>
        </w:tc>
        <w:tc>
          <w:tcPr>
            <w:tcW w:w="768" w:type="dxa"/>
            <w:vMerge w:val="restart"/>
            <w:tcBorders>
              <w:top w:val="single" w:sz="4" w:space="0" w:color="000000"/>
              <w:left w:val="single" w:sz="4" w:space="0" w:color="000000"/>
              <w:right w:val="single" w:sz="4" w:space="0" w:color="000000"/>
            </w:tcBorders>
          </w:tcPr>
          <w:p>
            <w:pPr>
              <w:pStyle w:val="TableParagraph"/>
              <w:spacing w:line="846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8"/>
                <w:sz w:val="20"/>
                <w:szCs w:val="20"/>
              </w:rPr>
              <w:pict>
                <v:group style="width:37.9pt;height:423.3pt;mso-position-horizontal-relative:char;mso-position-vertical-relative:line" coordorigin="0,0" coordsize="758,8466">
                  <v:group style="position:absolute;left:0;top:0;width:758;height:8466" coordorigin="0,0" coordsize="758,8466">
                    <v:shape style="position:absolute;left:0;top:0;width:758;height:8466" coordorigin="0,0" coordsize="758,8466" path="m0,8466l757,8466,757,0,0,0,0,8466xe" filled="true" fillcolor="#ffffff" stroked="false">
                      <v:path arrowok="t"/>
                      <v:fill type="solid"/>
                    </v:shape>
                  </v:group>
                </v:group>
              </w:pict>
            </w:r>
            <w:r>
              <w:rPr>
                <w:rFonts w:ascii="Times New Roman" w:hAnsi="Times New Roman" w:cs="Times New Roman" w:eastAsia="Times New Roman" w:hint="default"/>
                <w:position w:val="-168"/>
                <w:sz w:val="20"/>
                <w:szCs w:val="20"/>
              </w:rPr>
            </w:r>
          </w:p>
        </w:tc>
        <w:tc>
          <w:tcPr>
            <w:tcW w:w="850"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违反承诺的</w:t>
            </w:r>
          </w:p>
        </w:tc>
      </w:tr>
      <w:tr>
        <w:trPr>
          <w:trHeight w:val="313"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屹峥夫妻</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自营、合资或联营）参与或进行与股份公司营业执照上</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1"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合计持股</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所列明经营范围内的业务存在直接或间接竞争的任何业</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34.98%</w:t>
            </w:r>
            <w:r>
              <w:rPr>
                <w:rFonts w:ascii="宋体" w:hAnsi="宋体" w:cs="宋体" w:eastAsia="宋体" w:hint="default"/>
                <w:sz w:val="18"/>
                <w:szCs w:val="18"/>
              </w:rPr>
              <w:t>，</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务活动。凡本人及附属公司有任何商业机会可从事、参</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因其女儿</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与或入股任何可能会与股份公司生产经营构成竞争的业</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孙晶晶在</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务，本人会安排将上述商业机会让予股份公司</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人将充分尊重股份公司的独立法人地位，严格遵守股份</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公司的公司章程，保证股份公司独立经营、自主决策。</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4.55%</w:t>
            </w:r>
            <w:r>
              <w:rPr>
                <w:rFonts w:ascii="宋体" w:hAnsi="宋体" w:cs="宋体" w:eastAsia="宋体" w:hint="default"/>
                <w:spacing w:val="-5"/>
                <w:sz w:val="18"/>
                <w:szCs w:val="18"/>
              </w:rPr>
              <w:t>，作</w:t>
            </w:r>
            <w:r>
              <w:rPr>
                <w:rFonts w:ascii="宋体" w:hAnsi="宋体" w:cs="宋体" w:eastAsia="宋体" w:hint="default"/>
                <w:sz w:val="18"/>
                <w:szCs w:val="18"/>
              </w:rPr>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本人将严格按照《公司法》以及股份公司的</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为一致行</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规定，促使经本人提名的股份公司董事依法履行其应尽</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动人合计</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的诚信和勤勉责任</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）本人将善意履行作为股份公司</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大股东的义务，不利用该股东地位，就股份公司与本人</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39.53%</w:t>
            </w:r>
            <w:r>
              <w:rPr>
                <w:rFonts w:ascii="宋体" w:hAnsi="宋体" w:cs="宋体" w:eastAsia="宋体" w:hint="default"/>
                <w:sz w:val="18"/>
                <w:szCs w:val="18"/>
              </w:rPr>
              <w:t>）</w:t>
            </w: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或附属公司相关的任何关联交易采取任何行动，故意促</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使股份公司的股东大会或董事会作出侵犯其他股东合法</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权益的决议。如果股份公司必须与本人或附属公司发生</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任何关联交易，则本人承诺将促使上述交易按照公平合</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理的和正常商业交易条件进行。本人及附属公司将不会</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要求或接受股份公司给予比在任何一项市场公平交易中</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第三者更优惠的条件</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）本人及附属公司将严格和善</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意地履行与股份公司签订的各种关联交易协议。本人承</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诺将不会向股份公司谋求任何超出上述协议规定以外的</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利益或收益</w:t>
            </w:r>
            <w:r>
              <w:rPr>
                <w:rFonts w:ascii="宋体" w:hAnsi="宋体" w:cs="宋体" w:eastAsia="宋体" w:hint="default"/>
                <w:spacing w:val="-114"/>
                <w:sz w:val="18"/>
                <w:szCs w:val="18"/>
              </w:rPr>
              <w:t>；</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pacing w:val="-24"/>
                <w:sz w:val="18"/>
                <w:szCs w:val="18"/>
              </w:rPr>
              <w:t>）</w:t>
            </w:r>
            <w:r>
              <w:rPr>
                <w:rFonts w:ascii="宋体" w:hAnsi="宋体" w:cs="宋体" w:eastAsia="宋体" w:hint="default"/>
                <w:sz w:val="18"/>
                <w:szCs w:val="18"/>
              </w:rPr>
              <w:t>如果本人违反上述声明、</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本人同意给予股份公司赔偿</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）本声明、承诺与保证</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将持续有效，直至本人不再处于股份公司的控股股东或</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实际控制人的地位为止</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）本声明、承诺与保证可被</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视为对股份公司及其他股东共同和分别作出的声明、承</w:t>
            </w: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诺和保证。</w:t>
            </w:r>
          </w:p>
        </w:tc>
        <w:tc>
          <w:tcPr>
            <w:tcW w:w="7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10"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w:t>
            </w:r>
          </w:p>
        </w:tc>
        <w:tc>
          <w:tcPr>
            <w:tcW w:w="10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62"/>
                <w:sz w:val="18"/>
                <w:szCs w:val="18"/>
              </w:rPr>
              <w:t> </w:t>
            </w:r>
            <w:r>
              <w:rPr>
                <w:rFonts w:ascii="宋体" w:hAnsi="宋体" w:cs="宋体" w:eastAsia="宋体" w:hint="default"/>
                <w:sz w:val="18"/>
                <w:szCs w:val="18"/>
              </w:rPr>
              <w:t>时住房公</w:t>
            </w:r>
          </w:p>
        </w:tc>
        <w:tc>
          <w:tcPr>
            <w:tcW w:w="4395" w:type="dxa"/>
            <w:tcBorders>
              <w:top w:val="single" w:sz="4" w:space="0" w:color="000000"/>
              <w:left w:val="single" w:sz="4" w:space="0" w:color="000000"/>
              <w:bottom w:val="nil" w:sz="6" w:space="0" w:color="auto"/>
              <w:right w:val="single" w:sz="4" w:space="0" w:color="000000"/>
            </w:tcBorders>
          </w:tcPr>
          <w:p>
            <w:pPr/>
          </w:p>
        </w:tc>
        <w:tc>
          <w:tcPr>
            <w:tcW w:w="76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股东及实</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积金缴纳事</w:t>
            </w:r>
          </w:p>
        </w:tc>
        <w:tc>
          <w:tcPr>
            <w:tcW w:w="4395"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项承诺</w:t>
            </w:r>
          </w:p>
        </w:tc>
        <w:tc>
          <w:tcPr>
            <w:tcW w:w="4395"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075"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张菀（孙 屹峥夫妻 合计持股 </w:t>
            </w:r>
            <w:r>
              <w:rPr>
                <w:rFonts w:ascii="宋体" w:hAnsi="宋体" w:cs="宋体" w:eastAsia="宋体" w:hint="default"/>
                <w:sz w:val="18"/>
                <w:szCs w:val="18"/>
              </w:rPr>
              <w:t>34.98%</w:t>
            </w:r>
            <w:r>
              <w:rPr>
                <w:rFonts w:ascii="宋体" w:hAnsi="宋体" w:cs="宋体" w:eastAsia="宋体" w:hint="default"/>
                <w:sz w:val="18"/>
                <w:szCs w:val="18"/>
              </w:rPr>
              <w:t>，</w:t>
            </w:r>
          </w:p>
          <w:p>
            <w:pPr>
              <w:pStyle w:val="TableParagraph"/>
              <w:spacing w:line="316" w:lineRule="auto" w:before="19"/>
              <w:ind w:left="22" w:right="35"/>
              <w:jc w:val="left"/>
              <w:rPr>
                <w:rFonts w:ascii="宋体" w:hAnsi="宋体" w:cs="宋体" w:eastAsia="宋体" w:hint="default"/>
                <w:sz w:val="18"/>
                <w:szCs w:val="18"/>
              </w:rPr>
            </w:pPr>
            <w:r>
              <w:rPr>
                <w:rFonts w:ascii="宋体" w:hAnsi="宋体" w:cs="宋体" w:eastAsia="宋体" w:hint="default"/>
                <w:sz w:val="18"/>
                <w:szCs w:val="18"/>
              </w:rPr>
              <w:t>因其女儿 孙晶晶在 报告期内 持股 </w:t>
            </w:r>
            <w:r>
              <w:rPr>
                <w:rFonts w:ascii="宋体" w:hAnsi="宋体" w:cs="宋体" w:eastAsia="宋体" w:hint="default"/>
                <w:spacing w:val="-5"/>
                <w:sz w:val="18"/>
                <w:szCs w:val="18"/>
              </w:rPr>
              <w:t>4.55%</w:t>
            </w:r>
            <w:r>
              <w:rPr>
                <w:rFonts w:ascii="宋体" w:hAnsi="宋体" w:cs="宋体" w:eastAsia="宋体" w:hint="default"/>
                <w:spacing w:val="-5"/>
                <w:sz w:val="18"/>
                <w:szCs w:val="18"/>
              </w:rPr>
              <w:t>，作</w:t>
            </w:r>
            <w:r>
              <w:rPr>
                <w:rFonts w:ascii="宋体" w:hAnsi="宋体" w:cs="宋体" w:eastAsia="宋体" w:hint="default"/>
                <w:sz w:val="18"/>
                <w:szCs w:val="18"/>
              </w:rPr>
            </w:r>
          </w:p>
        </w:tc>
        <w:tc>
          <w:tcPr>
            <w:tcW w:w="1075"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40"/>
              <w:jc w:val="both"/>
              <w:rPr>
                <w:rFonts w:ascii="宋体" w:hAnsi="宋体" w:cs="宋体" w:eastAsia="宋体" w:hint="default"/>
                <w:sz w:val="18"/>
                <w:szCs w:val="18"/>
              </w:rPr>
            </w:pPr>
            <w:r>
              <w:rPr>
                <w:rFonts w:ascii="宋体" w:hAnsi="宋体" w:cs="宋体" w:eastAsia="宋体" w:hint="default"/>
                <w:sz w:val="18"/>
                <w:szCs w:val="18"/>
              </w:rPr>
              <w:t>住房公积金缴纳事项承诺：若经有关主管部门认定公司 及其全资子公司需为其员工补缴住房公积金或受到处罚 或被任何利益相关方以任何方式提出权利要求时，本人 将无条件全额承担经有关主管部门认定并要求公司补缴 的全部住房公积金款项、处罚款项，全额承担被任何利 益相关方以任何方式提出权利要求的赔偿、补偿款项， 以及由上述事项产生的应由公司负担的其他所有相关费 用。</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为一致行</w:t>
            </w:r>
          </w:p>
        </w:tc>
        <w:tc>
          <w:tcPr>
            <w:tcW w:w="1075"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动人合计</w:t>
            </w:r>
          </w:p>
        </w:tc>
        <w:tc>
          <w:tcPr>
            <w:tcW w:w="1075"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075"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39.53%</w:t>
            </w:r>
            <w:r>
              <w:rPr>
                <w:rFonts w:ascii="宋体" w:hAnsi="宋体" w:cs="宋体" w:eastAsia="宋体" w:hint="default"/>
                <w:sz w:val="18"/>
                <w:szCs w:val="18"/>
              </w:rPr>
              <w:t>）</w:t>
            </w:r>
          </w:p>
        </w:tc>
        <w:tc>
          <w:tcPr>
            <w:tcW w:w="1075" w:type="dxa"/>
            <w:tcBorders>
              <w:top w:val="nil" w:sz="6" w:space="0" w:color="auto"/>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
        </w:tc>
        <w:tc>
          <w:tcPr>
            <w:tcW w:w="76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10"/>
        <w:gridCol w:w="851"/>
        <w:gridCol w:w="1075"/>
        <w:gridCol w:w="4395"/>
        <w:gridCol w:w="768"/>
        <w:gridCol w:w="850"/>
        <w:gridCol w:w="992"/>
      </w:tblGrid>
      <w:tr>
        <w:trPr>
          <w:trHeight w:val="5082" w:hRule="exact"/>
        </w:trPr>
        <w:tc>
          <w:tcPr>
            <w:tcW w:w="710"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96"/>
              <w:jc w:val="both"/>
              <w:rPr>
                <w:rFonts w:ascii="宋体" w:hAnsi="宋体" w:cs="宋体" w:eastAsia="宋体" w:hint="default"/>
                <w:sz w:val="18"/>
                <w:szCs w:val="18"/>
              </w:rPr>
            </w:pPr>
            <w:r>
              <w:rPr>
                <w:rFonts w:ascii="宋体" w:hAnsi="宋体" w:cs="宋体" w:eastAsia="宋体" w:hint="default"/>
                <w:sz w:val="18"/>
                <w:szCs w:val="18"/>
              </w:rPr>
              <w:t>上海亨升 投资管理 有限公司</w:t>
            </w:r>
          </w:p>
          <w:p>
            <w:pPr>
              <w:pStyle w:val="TableParagraph"/>
              <w:spacing w:line="319" w:lineRule="auto" w:before="19"/>
              <w:ind w:left="22" w:right="186"/>
              <w:jc w:val="both"/>
              <w:rPr>
                <w:rFonts w:ascii="宋体" w:hAnsi="宋体" w:cs="宋体" w:eastAsia="宋体" w:hint="default"/>
                <w:sz w:val="18"/>
                <w:szCs w:val="18"/>
              </w:rPr>
            </w:pPr>
            <w:r>
              <w:rPr>
                <w:rFonts w:ascii="宋体" w:hAnsi="宋体" w:cs="宋体" w:eastAsia="宋体" w:hint="default"/>
                <w:sz w:val="18"/>
                <w:szCs w:val="18"/>
              </w:rPr>
              <w:t>（持股 </w:t>
            </w:r>
            <w:r>
              <w:rPr>
                <w:rFonts w:ascii="宋体" w:hAnsi="宋体" w:cs="宋体" w:eastAsia="宋体" w:hint="default"/>
                <w:sz w:val="18"/>
                <w:szCs w:val="18"/>
              </w:rPr>
              <w:t>8.22%</w:t>
            </w:r>
            <w:r>
              <w:rPr>
                <w:rFonts w:ascii="宋体" w:hAnsi="宋体" w:cs="宋体" w:eastAsia="宋体"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62"/>
                <w:sz w:val="18"/>
                <w:szCs w:val="18"/>
              </w:rPr>
              <w:t> </w:t>
            </w:r>
            <w:r>
              <w:rPr>
                <w:rFonts w:ascii="宋体" w:hAnsi="宋体" w:cs="宋体" w:eastAsia="宋体" w:hint="default"/>
                <w:sz w:val="18"/>
                <w:szCs w:val="18"/>
              </w:rPr>
              <w:t>时放弃竞 争与利益冲 突承诺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both"/>
              <w:rPr>
                <w:rFonts w:ascii="宋体" w:hAnsi="宋体" w:cs="宋体" w:eastAsia="宋体" w:hint="default"/>
                <w:sz w:val="18"/>
                <w:szCs w:val="18"/>
              </w:rPr>
            </w:pPr>
            <w:r>
              <w:rPr>
                <w:rFonts w:ascii="宋体" w:hAnsi="宋体" w:cs="宋体" w:eastAsia="宋体" w:hint="default"/>
                <w:spacing w:val="-4"/>
                <w:sz w:val="18"/>
                <w:szCs w:val="18"/>
              </w:rPr>
              <w:t>放弃竞争与利益冲突承诺：（</w:t>
            </w:r>
            <w:r>
              <w:rPr>
                <w:rFonts w:ascii="宋体" w:hAnsi="宋体" w:cs="宋体" w:eastAsia="宋体" w:hint="default"/>
                <w:spacing w:val="-4"/>
                <w:sz w:val="18"/>
                <w:szCs w:val="18"/>
              </w:rPr>
              <w:t>1</w:t>
            </w:r>
            <w:r>
              <w:rPr>
                <w:rFonts w:ascii="宋体" w:hAnsi="宋体" w:cs="宋体" w:eastAsia="宋体" w:hint="default"/>
                <w:spacing w:val="-4"/>
                <w:sz w:val="18"/>
                <w:szCs w:val="18"/>
              </w:rPr>
              <w:t>）本公司目前不存在直接</w:t>
            </w:r>
            <w:r>
              <w:rPr>
                <w:rFonts w:ascii="宋体" w:hAnsi="宋体" w:cs="宋体" w:eastAsia="宋体" w:hint="default"/>
                <w:spacing w:val="-80"/>
                <w:sz w:val="18"/>
                <w:szCs w:val="18"/>
              </w:rPr>
              <w:t> </w:t>
            </w:r>
            <w:r>
              <w:rPr>
                <w:rFonts w:ascii="宋体" w:hAnsi="宋体" w:cs="宋体" w:eastAsia="宋体" w:hint="default"/>
                <w:sz w:val="18"/>
                <w:szCs w:val="18"/>
              </w:rPr>
              <w:t>或间接从事与股份公司及其控股企业相同或相似的业务 的企业投资，且不直接或间接从事、参与或进行与股份 </w:t>
            </w:r>
            <w:r>
              <w:rPr>
                <w:rFonts w:ascii="宋体" w:hAnsi="宋体" w:cs="宋体" w:eastAsia="宋体" w:hint="default"/>
                <w:spacing w:val="-4"/>
                <w:sz w:val="18"/>
                <w:szCs w:val="18"/>
              </w:rPr>
              <w:t>公司及其控股企业生产、经营相竞争的任何活动；（</w:t>
            </w:r>
            <w:r>
              <w:rPr>
                <w:rFonts w:ascii="宋体" w:hAnsi="宋体" w:cs="宋体" w:eastAsia="宋体"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在本公司持有股份公司股份期间亦不将直接、间接从事 或者为他人从事与股份公司及控股企业的经营业务相同 或相似的经营活动，也不将向与股份公司及其控股企业 </w:t>
            </w:r>
            <w:r>
              <w:rPr>
                <w:rFonts w:ascii="宋体" w:hAnsi="宋体" w:cs="宋体" w:eastAsia="宋体" w:hint="default"/>
                <w:spacing w:val="-4"/>
                <w:sz w:val="18"/>
                <w:szCs w:val="18"/>
              </w:rPr>
              <w:t>经营业务相同或相似的企业投资；（</w:t>
            </w:r>
            <w:r>
              <w:rPr>
                <w:rFonts w:ascii="宋体" w:hAnsi="宋体" w:cs="宋体" w:eastAsia="宋体" w:hint="default"/>
                <w:spacing w:val="-4"/>
                <w:sz w:val="18"/>
                <w:szCs w:val="18"/>
              </w:rPr>
              <w:t>3</w:t>
            </w:r>
            <w:r>
              <w:rPr>
                <w:rFonts w:ascii="宋体" w:hAnsi="宋体" w:cs="宋体" w:eastAsia="宋体" w:hint="default"/>
                <w:spacing w:val="-4"/>
                <w:sz w:val="18"/>
                <w:szCs w:val="18"/>
              </w:rPr>
              <w:t>）本人将充分尊重</w:t>
            </w:r>
            <w:r>
              <w:rPr>
                <w:rFonts w:ascii="宋体" w:hAnsi="宋体" w:cs="宋体" w:eastAsia="宋体" w:hint="default"/>
                <w:spacing w:val="-80"/>
                <w:sz w:val="18"/>
                <w:szCs w:val="18"/>
              </w:rPr>
              <w:t> </w:t>
            </w:r>
            <w:r>
              <w:rPr>
                <w:rFonts w:ascii="宋体" w:hAnsi="宋体" w:cs="宋体" w:eastAsia="宋体" w:hint="default"/>
                <w:sz w:val="18"/>
                <w:szCs w:val="18"/>
              </w:rPr>
              <w:t>股份公司的独立法人地位，严格遵守股份公司的公司章 程，保证股份公司独立经营、自主决策。本人将严格按 照《公司法》以及股份公司的《公司章程》规定，促使 经本人提名的股份公司董事依法履行其应尽的诚信和勤 </w:t>
            </w:r>
            <w:r>
              <w:rPr>
                <w:rFonts w:ascii="宋体" w:hAnsi="宋体" w:cs="宋体" w:eastAsia="宋体" w:hint="default"/>
                <w:spacing w:val="-4"/>
                <w:sz w:val="18"/>
                <w:szCs w:val="18"/>
              </w:rPr>
              <w:t>勉责任；（</w:t>
            </w:r>
            <w:r>
              <w:rPr>
                <w:rFonts w:ascii="宋体" w:hAnsi="宋体" w:cs="宋体" w:eastAsia="宋体" w:hint="default"/>
                <w:spacing w:val="-4"/>
                <w:sz w:val="18"/>
                <w:szCs w:val="18"/>
              </w:rPr>
              <w:t>4</w:t>
            </w:r>
            <w:r>
              <w:rPr>
                <w:rFonts w:ascii="宋体" w:hAnsi="宋体" w:cs="宋体" w:eastAsia="宋体" w:hint="default"/>
                <w:spacing w:val="-4"/>
                <w:sz w:val="18"/>
                <w:szCs w:val="18"/>
              </w:rPr>
              <w:t>）本声明、承诺与保证将持续有效，直至本</w:t>
            </w:r>
            <w:r>
              <w:rPr>
                <w:rFonts w:ascii="宋体" w:hAnsi="宋体" w:cs="宋体" w:eastAsia="宋体" w:hint="default"/>
                <w:spacing w:val="-80"/>
                <w:sz w:val="18"/>
                <w:szCs w:val="18"/>
              </w:rPr>
              <w:t> </w:t>
            </w:r>
            <w:r>
              <w:rPr>
                <w:rFonts w:ascii="宋体" w:hAnsi="宋体" w:cs="宋体" w:eastAsia="宋体" w:hint="default"/>
                <w:sz w:val="18"/>
                <w:szCs w:val="18"/>
              </w:rPr>
              <w:t>公司不再持有股份公司 </w:t>
            </w:r>
            <w:r>
              <w:rPr>
                <w:rFonts w:ascii="宋体" w:hAnsi="宋体" w:cs="宋体" w:eastAsia="宋体" w:hint="default"/>
                <w:sz w:val="18"/>
                <w:szCs w:val="18"/>
              </w:rPr>
              <w:t>5%</w:t>
            </w:r>
            <w:r>
              <w:rPr>
                <w:rFonts w:ascii="宋体" w:hAnsi="宋体" w:cs="宋体" w:eastAsia="宋体" w:hint="default"/>
                <w:sz w:val="18"/>
                <w:szCs w:val="18"/>
              </w:rPr>
              <w:t>以上（含 </w:t>
            </w:r>
            <w:r>
              <w:rPr>
                <w:rFonts w:ascii="宋体" w:hAnsi="宋体" w:cs="宋体" w:eastAsia="宋体" w:hint="default"/>
                <w:sz w:val="18"/>
                <w:szCs w:val="18"/>
              </w:rPr>
              <w:t>5%</w:t>
            </w:r>
            <w:r>
              <w:rPr>
                <w:rFonts w:ascii="宋体" w:hAnsi="宋体" w:cs="宋体" w:eastAsia="宋体" w:hint="default"/>
                <w:sz w:val="18"/>
                <w:szCs w:val="18"/>
              </w:rPr>
              <w:t>）的股份为止；</w:t>
            </w:r>
          </w:p>
          <w:p>
            <w:pPr>
              <w:pStyle w:val="TableParagraph"/>
              <w:spacing w:line="319" w:lineRule="auto" w:before="19"/>
              <w:ind w:left="22" w:right="2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5</w:t>
            </w:r>
            <w:r>
              <w:rPr>
                <w:rFonts w:ascii="宋体" w:hAnsi="宋体" w:cs="宋体" w:eastAsia="宋体" w:hint="default"/>
                <w:spacing w:val="-3"/>
                <w:sz w:val="18"/>
                <w:szCs w:val="18"/>
              </w:rPr>
              <w:t>）本声明、承诺与保证可被视为对股份公司及其他股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东共同和分别作出的声明、承诺和保证。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自作出承 诺至不再 持有公司 </w:t>
            </w:r>
            <w:r>
              <w:rPr>
                <w:rFonts w:ascii="宋体" w:hAnsi="宋体" w:cs="宋体" w:eastAsia="宋体" w:hint="default"/>
                <w:sz w:val="18"/>
                <w:szCs w:val="18"/>
              </w:rPr>
              <w:t>5%</w:t>
            </w:r>
            <w:r>
              <w:rPr>
                <w:rFonts w:ascii="宋体" w:hAnsi="宋体" w:cs="宋体" w:eastAsia="宋体" w:hint="default"/>
                <w:sz w:val="18"/>
                <w:szCs w:val="18"/>
              </w:rPr>
              <w:t>以上</w:t>
            </w:r>
          </w:p>
          <w:p>
            <w:pPr>
              <w:pStyle w:val="TableParagraph"/>
              <w:spacing w:line="319"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（含 </w:t>
            </w:r>
            <w:r>
              <w:rPr>
                <w:rFonts w:ascii="宋体" w:hAnsi="宋体" w:cs="宋体" w:eastAsia="宋体" w:hint="default"/>
                <w:sz w:val="18"/>
                <w:szCs w:val="18"/>
              </w:rPr>
              <w:t>5%</w:t>
            </w:r>
            <w:r>
              <w:rPr>
                <w:rFonts w:ascii="宋体" w:hAnsi="宋体" w:cs="宋体" w:eastAsia="宋体" w:hint="default"/>
                <w:sz w:val="18"/>
                <w:szCs w:val="18"/>
              </w:rPr>
              <w:t>） 的股份为 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3522"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实际控制 人及控股 股东或大 股东以外 的其他公 司内部股 东王倩、 周淑兰、 黄建军、 李念、宋 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62"/>
                <w:sz w:val="18"/>
                <w:szCs w:val="18"/>
              </w:rPr>
              <w:t> </w:t>
            </w:r>
            <w:r>
              <w:rPr>
                <w:rFonts w:ascii="宋体" w:hAnsi="宋体" w:cs="宋体" w:eastAsia="宋体" w:hint="default"/>
                <w:sz w:val="18"/>
                <w:szCs w:val="18"/>
              </w:rPr>
              <w:t>时董监高 股东的承诺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0"/>
              <w:jc w:val="left"/>
              <w:rPr>
                <w:rFonts w:ascii="宋体" w:hAnsi="宋体" w:cs="宋体" w:eastAsia="宋体" w:hint="default"/>
                <w:sz w:val="18"/>
                <w:szCs w:val="18"/>
              </w:rPr>
            </w:pPr>
            <w:r>
              <w:rPr>
                <w:rFonts w:ascii="宋体" w:hAnsi="宋体" w:cs="宋体" w:eastAsia="宋体" w:hint="default"/>
                <w:sz w:val="18"/>
                <w:szCs w:val="18"/>
              </w:rPr>
              <w:t>董监高股东的承诺：除了上述锁定期外，在其任职期间 每年转让的股份不超过其直接或间接所持公司股份总数 的百分之二十五；在首次公开发行股票上市之日起六个 月内申报离职的，自申报离职之日起十八个月内不转让 直接或间接所持公司股份；在首次公开发行股票上市之 日起第七个月至第十二个月之间申报离职的，自申报离 职之日起十二个月内不转让直接或间接所持公司股份； 在首次公开发行股票上市之日起十二个月后申报离职 的，自申报离职之日起六个月内不转让直接或间接所持 公司股份。</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504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22" w:right="135"/>
              <w:jc w:val="both"/>
              <w:rPr>
                <w:rFonts w:ascii="宋体" w:hAnsi="宋体" w:cs="宋体" w:eastAsia="宋体" w:hint="default"/>
                <w:sz w:val="18"/>
                <w:szCs w:val="18"/>
              </w:rPr>
            </w:pPr>
            <w:r>
              <w:rPr>
                <w:rFonts w:ascii="宋体" w:hAnsi="宋体" w:cs="宋体" w:eastAsia="宋体" w:hint="default"/>
                <w:sz w:val="18"/>
                <w:szCs w:val="18"/>
              </w:rPr>
              <w:t>其他对 公司中 小股东 所作承 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公司控股 股东及实 际控制人 孙屹峥、 张菀，公 司持股</w:t>
            </w:r>
            <w:r>
              <w:rPr>
                <w:rFonts w:ascii="宋体" w:hAnsi="宋体" w:cs="宋体" w:eastAsia="宋体" w:hint="default"/>
                <w:spacing w:val="-46"/>
                <w:sz w:val="18"/>
                <w:szCs w:val="18"/>
              </w:rPr>
              <w:t> </w:t>
            </w:r>
            <w:r>
              <w:rPr>
                <w:rFonts w:ascii="宋体" w:hAnsi="宋体" w:cs="宋体" w:eastAsia="宋体" w:hint="default"/>
                <w:sz w:val="18"/>
                <w:szCs w:val="18"/>
              </w:rPr>
              <w:t>5% </w:t>
            </w:r>
            <w:r>
              <w:rPr>
                <w:rFonts w:ascii="宋体" w:hAnsi="宋体" w:cs="宋体" w:eastAsia="宋体" w:hint="default"/>
                <w:sz w:val="18"/>
                <w:szCs w:val="18"/>
              </w:rPr>
              <w:t>以上股东 上海亨升 投资管理 有限公司 及持有公 司股票全 部监事和 高级管理 人员王 倩、周淑</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稳定股价时 股份不减持 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22" w:right="23"/>
              <w:jc w:val="left"/>
              <w:rPr>
                <w:rFonts w:ascii="宋体" w:hAnsi="宋体" w:cs="宋体" w:eastAsia="宋体" w:hint="default"/>
                <w:sz w:val="18"/>
                <w:szCs w:val="18"/>
              </w:rPr>
            </w:pPr>
            <w:r>
              <w:rPr>
                <w:rFonts w:ascii="宋体" w:hAnsi="宋体" w:cs="宋体" w:eastAsia="宋体" w:hint="default"/>
                <w:spacing w:val="-8"/>
                <w:sz w:val="18"/>
                <w:szCs w:val="18"/>
              </w:rPr>
              <w:t>股份不减持承诺：从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个月内不通过 二级市场减持公司股份。</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10.840004pt;margin-top:72.47998pt;width:77.4pt;height:48.85pt;mso-position-horizontal-relative:page;mso-position-vertical-relative:page;z-index:-1060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李念、</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10"/>
        <w:gridCol w:w="851"/>
        <w:gridCol w:w="1075"/>
        <w:gridCol w:w="4395"/>
        <w:gridCol w:w="768"/>
        <w:gridCol w:w="850"/>
        <w:gridCol w:w="992"/>
      </w:tblGrid>
      <w:tr>
        <w:trPr>
          <w:trHeight w:val="317" w:hRule="exact"/>
        </w:trPr>
        <w:tc>
          <w:tcPr>
            <w:tcW w:w="710"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兰、黄建</w:t>
            </w:r>
          </w:p>
        </w:tc>
        <w:tc>
          <w:tcPr>
            <w:tcW w:w="1075" w:type="dxa"/>
            <w:vMerge w:val="restart"/>
            <w:tcBorders>
              <w:top w:val="single" w:sz="4" w:space="0" w:color="000000"/>
              <w:left w:val="single" w:sz="4" w:space="0" w:color="000000"/>
              <w:right w:val="single" w:sz="4" w:space="0" w:color="000000"/>
            </w:tcBorders>
          </w:tcPr>
          <w:p>
            <w:pPr>
              <w:pStyle w:val="TableParagraph"/>
              <w:spacing w:line="97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53.3pt;height:48.85pt;mso-position-horizontal-relative:char;mso-position-vertical-relative:line" coordorigin="0,0" coordsize="1066,977">
                  <v:group style="position:absolute;left:0;top:0;width:1066;height:977" coordorigin="0,0" coordsize="1066,977">
                    <v:shape style="position:absolute;left:0;top:0;width:1066;height:977" coordorigin="0,0" coordsize="1066,977" path="m0,977l1066,977,1066,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4395" w:type="dxa"/>
            <w:vMerge w:val="restart"/>
            <w:tcBorders>
              <w:top w:val="single" w:sz="4" w:space="0" w:color="000000"/>
              <w:left w:val="single" w:sz="4" w:space="0" w:color="000000"/>
              <w:right w:val="single" w:sz="4" w:space="0" w:color="000000"/>
            </w:tcBorders>
          </w:tcPr>
          <w:p>
            <w:pPr/>
          </w:p>
        </w:tc>
        <w:tc>
          <w:tcPr>
            <w:tcW w:w="76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r>
      <w:tr>
        <w:trPr>
          <w:trHeight w:val="313"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军、</w:t>
            </w:r>
          </w:p>
        </w:tc>
        <w:tc>
          <w:tcPr>
            <w:tcW w:w="1075" w:type="dxa"/>
            <w:vMerge/>
            <w:tcBorders>
              <w:left w:val="single" w:sz="4" w:space="0" w:color="000000"/>
              <w:right w:val="single" w:sz="4" w:space="0" w:color="000000"/>
            </w:tcBorders>
          </w:tcPr>
          <w:p>
            <w:pPr/>
          </w:p>
        </w:tc>
        <w:tc>
          <w:tcPr>
            <w:tcW w:w="4395"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57"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宋斌</w:t>
            </w:r>
          </w:p>
        </w:tc>
        <w:tc>
          <w:tcPr>
            <w:tcW w:w="1075" w:type="dxa"/>
            <w:vMerge/>
            <w:tcBorders>
              <w:left w:val="single" w:sz="4" w:space="0" w:color="000000"/>
              <w:bottom w:val="single" w:sz="4" w:space="0" w:color="000000"/>
              <w:right w:val="single" w:sz="4" w:space="0" w:color="000000"/>
            </w:tcBorders>
          </w:tcPr>
          <w:p>
            <w:pPr/>
          </w:p>
        </w:tc>
        <w:tc>
          <w:tcPr>
            <w:tcW w:w="4395"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57" w:hRule="exact"/>
        </w:trPr>
        <w:tc>
          <w:tcPr>
            <w:tcW w:w="710"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w:t>
            </w:r>
          </w:p>
        </w:tc>
        <w:tc>
          <w:tcPr>
            <w:tcW w:w="10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稳定股价时</w:t>
            </w:r>
          </w:p>
        </w:tc>
        <w:tc>
          <w:tcPr>
            <w:tcW w:w="4395" w:type="dxa"/>
            <w:tcBorders>
              <w:top w:val="single" w:sz="4" w:space="0" w:color="000000"/>
              <w:left w:val="single" w:sz="4" w:space="0" w:color="000000"/>
              <w:bottom w:val="nil" w:sz="6" w:space="0" w:color="auto"/>
              <w:right w:val="single" w:sz="4" w:space="0" w:color="000000"/>
            </w:tcBorders>
          </w:tcPr>
          <w:p>
            <w:pPr/>
          </w:p>
        </w:tc>
        <w:tc>
          <w:tcPr>
            <w:tcW w:w="76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股东及实</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增持及不减</w:t>
            </w:r>
          </w:p>
        </w:tc>
        <w:tc>
          <w:tcPr>
            <w:tcW w:w="4395"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持承诺</w:t>
            </w:r>
          </w:p>
        </w:tc>
        <w:tc>
          <w:tcPr>
            <w:tcW w:w="4395"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19"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3"/>
              <w:jc w:val="left"/>
              <w:rPr>
                <w:rFonts w:ascii="宋体" w:hAnsi="宋体" w:cs="宋体" w:eastAsia="宋体" w:hint="default"/>
                <w:sz w:val="18"/>
                <w:szCs w:val="18"/>
              </w:rPr>
            </w:pPr>
            <w:r>
              <w:rPr>
                <w:rFonts w:ascii="宋体" w:hAnsi="宋体" w:cs="宋体" w:eastAsia="宋体" w:hint="default"/>
                <w:sz w:val="18"/>
                <w:szCs w:val="18"/>
              </w:rPr>
              <w:t>孙屹峥、 张菀夫 妇，公司 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 上股东上 海亨升投 资管理有 限公司及 公司部分 监事及高</w:t>
            </w:r>
          </w:p>
        </w:tc>
        <w:tc>
          <w:tcPr>
            <w:tcW w:w="1075"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40"/>
              <w:jc w:val="left"/>
              <w:rPr>
                <w:rFonts w:ascii="宋体" w:hAnsi="宋体" w:cs="宋体" w:eastAsia="宋体" w:hint="default"/>
                <w:sz w:val="18"/>
                <w:szCs w:val="18"/>
              </w:rPr>
            </w:pPr>
            <w:r>
              <w:rPr>
                <w:rFonts w:ascii="宋体" w:hAnsi="宋体" w:cs="宋体" w:eastAsia="宋体" w:hint="default"/>
                <w:sz w:val="18"/>
                <w:szCs w:val="18"/>
              </w:rPr>
              <w:t>股份增持及不减持承诺：在公司股票复牌之日起的</w:t>
            </w:r>
            <w:r>
              <w:rPr>
                <w:rFonts w:ascii="宋体" w:hAnsi="宋体" w:cs="宋体" w:eastAsia="宋体" w:hint="default"/>
                <w:spacing w:val="-46"/>
                <w:sz w:val="18"/>
                <w:szCs w:val="18"/>
              </w:rPr>
              <w:t> </w:t>
            </w:r>
            <w:r>
              <w:rPr>
                <w:rFonts w:ascii="宋体" w:hAnsi="宋体" w:cs="宋体" w:eastAsia="宋体" w:hint="default"/>
                <w:sz w:val="18"/>
                <w:szCs w:val="18"/>
              </w:rPr>
              <w:t>20 </w:t>
            </w:r>
            <w:r>
              <w:rPr>
                <w:rFonts w:ascii="宋体" w:hAnsi="宋体" w:cs="宋体" w:eastAsia="宋体" w:hint="default"/>
                <w:sz w:val="18"/>
                <w:szCs w:val="18"/>
              </w:rPr>
              <w:t>个交易日内增持公司股份，拟用于本次股份增持的最低 出资金额不低于人民币</w:t>
            </w:r>
            <w:r>
              <w:rPr>
                <w:rFonts w:ascii="宋体" w:hAnsi="宋体" w:cs="宋体" w:eastAsia="宋体" w:hint="default"/>
                <w:spacing w:val="-46"/>
                <w:sz w:val="18"/>
                <w:szCs w:val="18"/>
              </w:rPr>
              <w:t> </w:t>
            </w:r>
            <w:r>
              <w:rPr>
                <w:rFonts w:ascii="宋体" w:hAnsi="宋体" w:cs="宋体" w:eastAsia="宋体" w:hint="default"/>
                <w:sz w:val="18"/>
                <w:szCs w:val="18"/>
              </w:rPr>
              <w:t>2,996</w:t>
            </w:r>
            <w:r>
              <w:rPr>
                <w:rFonts w:ascii="宋体" w:hAnsi="宋体" w:cs="宋体" w:eastAsia="宋体" w:hint="default"/>
                <w:spacing w:val="-46"/>
                <w:sz w:val="18"/>
                <w:szCs w:val="18"/>
              </w:rPr>
              <w:t> </w:t>
            </w:r>
            <w:r>
              <w:rPr>
                <w:rFonts w:ascii="宋体" w:hAnsi="宋体" w:cs="宋体" w:eastAsia="宋体" w:hint="default"/>
                <w:sz w:val="18"/>
                <w:szCs w:val="18"/>
              </w:rPr>
              <w:t>万元（其中孙屹峥、张菀</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夫妇不低于</w:t>
            </w:r>
            <w:r>
              <w:rPr>
                <w:rFonts w:ascii="宋体" w:hAnsi="宋体" w:cs="宋体" w:eastAsia="宋体" w:hint="default"/>
                <w:spacing w:val="-46"/>
                <w:sz w:val="18"/>
                <w:szCs w:val="18"/>
              </w:rPr>
              <w:t> </w:t>
            </w:r>
            <w:r>
              <w:rPr>
                <w:rFonts w:ascii="宋体" w:hAnsi="宋体" w:cs="宋体" w:eastAsia="宋体" w:hint="default"/>
                <w:sz w:val="18"/>
                <w:szCs w:val="18"/>
              </w:rPr>
              <w:t>2,224</w:t>
            </w:r>
            <w:r>
              <w:rPr>
                <w:rFonts w:ascii="宋体" w:hAnsi="宋体" w:cs="宋体" w:eastAsia="宋体" w:hint="default"/>
                <w:spacing w:val="-46"/>
                <w:sz w:val="18"/>
                <w:szCs w:val="18"/>
              </w:rPr>
              <w:t> </w:t>
            </w:r>
            <w:r>
              <w:rPr>
                <w:rFonts w:ascii="宋体" w:hAnsi="宋体" w:cs="宋体" w:eastAsia="宋体" w:hint="default"/>
                <w:sz w:val="18"/>
                <w:szCs w:val="18"/>
              </w:rPr>
              <w:t>万元，亨升投资不低于</w:t>
            </w:r>
            <w:r>
              <w:rPr>
                <w:rFonts w:ascii="宋体" w:hAnsi="宋体" w:cs="宋体" w:eastAsia="宋体" w:hint="default"/>
                <w:spacing w:val="-46"/>
                <w:sz w:val="18"/>
                <w:szCs w:val="18"/>
              </w:rPr>
              <w:t> </w:t>
            </w:r>
            <w:r>
              <w:rPr>
                <w:rFonts w:ascii="宋体" w:hAnsi="宋体" w:cs="宋体" w:eastAsia="宋体" w:hint="default"/>
                <w:sz w:val="18"/>
                <w:szCs w:val="18"/>
              </w:rPr>
              <w:t>752</w:t>
            </w:r>
            <w:r>
              <w:rPr>
                <w:rFonts w:ascii="宋体" w:hAnsi="宋体" w:cs="宋体" w:eastAsia="宋体" w:hint="default"/>
                <w:spacing w:val="-46"/>
                <w:sz w:val="18"/>
                <w:szCs w:val="18"/>
              </w:rPr>
              <w:t> </w:t>
            </w:r>
            <w:r>
              <w:rPr>
                <w:rFonts w:ascii="宋体" w:hAnsi="宋体" w:cs="宋体" w:eastAsia="宋体" w:hint="default"/>
                <w:sz w:val="18"/>
                <w:szCs w:val="18"/>
              </w:rPr>
              <w:t>万元，黄</w:t>
            </w:r>
          </w:p>
          <w:p>
            <w:pPr>
              <w:pStyle w:val="TableParagraph"/>
              <w:spacing w:line="319" w:lineRule="auto" w:before="76"/>
              <w:ind w:left="22" w:right="40"/>
              <w:jc w:val="both"/>
              <w:rPr>
                <w:rFonts w:ascii="宋体" w:hAnsi="宋体" w:cs="宋体" w:eastAsia="宋体" w:hint="default"/>
                <w:sz w:val="18"/>
                <w:szCs w:val="18"/>
              </w:rPr>
            </w:pPr>
            <w:r>
              <w:rPr>
                <w:rFonts w:ascii="宋体" w:hAnsi="宋体" w:cs="宋体" w:eastAsia="宋体" w:hint="default"/>
                <w:sz w:val="18"/>
                <w:szCs w:val="18"/>
              </w:rPr>
              <w:t>建军不低于</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万元，宋斌不低于</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pacing w:val="-10"/>
                <w:sz w:val="18"/>
                <w:szCs w:val="18"/>
              </w:rPr>
              <w:t>万元），增持股份数</w:t>
            </w:r>
            <w:r>
              <w:rPr>
                <w:rFonts w:ascii="宋体" w:hAnsi="宋体" w:cs="宋体" w:eastAsia="宋体" w:hint="default"/>
                <w:sz w:val="18"/>
                <w:szCs w:val="18"/>
              </w:rPr>
              <w:t> 量根据实际交易价格而定。增持的公司股份自增持之日 起</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个月不减持。</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自公司股 票复牌之 日起</w:t>
            </w:r>
            <w:r>
              <w:rPr>
                <w:rFonts w:ascii="宋体" w:hAnsi="宋体" w:cs="宋体" w:eastAsia="宋体" w:hint="default"/>
                <w:spacing w:val="-53"/>
                <w:sz w:val="18"/>
                <w:szCs w:val="18"/>
              </w:rPr>
              <w:t> </w:t>
            </w:r>
            <w:r>
              <w:rPr>
                <w:rFonts w:ascii="宋体" w:hAnsi="宋体" w:cs="宋体" w:eastAsia="宋体" w:hint="default"/>
                <w:sz w:val="18"/>
                <w:szCs w:val="18"/>
              </w:rPr>
              <w:t>20</w:t>
            </w:r>
            <w:r>
              <w:rPr>
                <w:rFonts w:ascii="宋体" w:hAnsi="宋体" w:cs="宋体" w:eastAsia="宋体" w:hint="default"/>
                <w:spacing w:val="-53"/>
                <w:sz w:val="18"/>
                <w:szCs w:val="18"/>
              </w:rPr>
              <w:t> </w:t>
            </w:r>
            <w:r>
              <w:rPr>
                <w:rFonts w:ascii="宋体" w:hAnsi="宋体" w:cs="宋体" w:eastAsia="宋体" w:hint="default"/>
                <w:sz w:val="18"/>
                <w:szCs w:val="18"/>
              </w:rPr>
              <w:t>个 交易日内 增持，自 股份增持 之日起</w:t>
            </w:r>
            <w:r>
              <w:rPr>
                <w:rFonts w:ascii="宋体" w:hAnsi="宋体" w:cs="宋体" w:eastAsia="宋体" w:hint="default"/>
                <w:spacing w:val="-46"/>
                <w:sz w:val="18"/>
                <w:szCs w:val="18"/>
              </w:rPr>
              <w:t> </w:t>
            </w:r>
            <w:r>
              <w:rPr>
                <w:rFonts w:ascii="宋体" w:hAnsi="宋体" w:cs="宋体" w:eastAsia="宋体" w:hint="default"/>
                <w:sz w:val="18"/>
                <w:szCs w:val="18"/>
              </w:rPr>
              <w:t>6 </w:t>
            </w:r>
            <w:r>
              <w:rPr>
                <w:rFonts w:ascii="宋体" w:hAnsi="宋体" w:cs="宋体" w:eastAsia="宋体" w:hint="default"/>
                <w:sz w:val="18"/>
                <w:szCs w:val="18"/>
              </w:rPr>
              <w:t>个月不减 持。</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报告期内， 相关承诺均 已严格履 行，未发生 违反承诺的 情况</w:t>
            </w:r>
          </w:p>
        </w:tc>
      </w:tr>
      <w:tr>
        <w:trPr>
          <w:trHeight w:val="312"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管人员黄</w:t>
            </w:r>
          </w:p>
        </w:tc>
        <w:tc>
          <w:tcPr>
            <w:tcW w:w="1075"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0"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建军、宋</w:t>
            </w:r>
          </w:p>
        </w:tc>
        <w:tc>
          <w:tcPr>
            <w:tcW w:w="1075"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斌</w:t>
            </w:r>
          </w:p>
        </w:tc>
        <w:tc>
          <w:tcPr>
            <w:tcW w:w="1075" w:type="dxa"/>
            <w:tcBorders>
              <w:top w:val="nil" w:sz="6" w:space="0" w:color="auto"/>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
        </w:tc>
        <w:tc>
          <w:tcPr>
            <w:tcW w:w="76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1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w:t>
            </w:r>
          </w:p>
        </w:tc>
        <w:tc>
          <w:tcPr>
            <w:tcW w:w="8931" w:type="dxa"/>
            <w:gridSpan w:val="6"/>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否按时</w:t>
            </w:r>
          </w:p>
        </w:tc>
        <w:tc>
          <w:tcPr>
            <w:tcW w:w="8931" w:type="dxa"/>
            <w:gridSpan w:val="6"/>
            <w:tcBorders>
              <w:top w:val="nil" w:sz="6" w:space="0" w:color="auto"/>
              <w:left w:val="single" w:sz="4" w:space="0" w:color="000000"/>
              <w:bottom w:val="nil" w:sz="6" w:space="0" w:color="auto"/>
              <w:right w:val="single" w:sz="4" w:space="0" w:color="000000"/>
            </w:tcBorders>
          </w:tcPr>
          <w:p>
            <w:pPr/>
          </w:p>
        </w:tc>
      </w:tr>
      <w:tr>
        <w:trPr>
          <w:trHeight w:val="357" w:hRule="exact"/>
        </w:trPr>
        <w:tc>
          <w:tcPr>
            <w:tcW w:w="71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c>
          <w:tcPr>
            <w:tcW w:w="8931" w:type="dxa"/>
            <w:gridSpan w:val="6"/>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1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w:t>
            </w:r>
          </w:p>
        </w:tc>
        <w:tc>
          <w:tcPr>
            <w:tcW w:w="8931" w:type="dxa"/>
            <w:gridSpan w:val="6"/>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1" w:hRule="exact"/>
        </w:trPr>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履行的</w:t>
            </w:r>
          </w:p>
        </w:tc>
        <w:tc>
          <w:tcPr>
            <w:tcW w:w="8931"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具体原</w:t>
            </w:r>
          </w:p>
        </w:tc>
        <w:tc>
          <w:tcPr>
            <w:tcW w:w="8931"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因及下</w:t>
            </w:r>
          </w:p>
        </w:tc>
        <w:tc>
          <w:tcPr>
            <w:tcW w:w="8931"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一步计</w:t>
            </w:r>
          </w:p>
        </w:tc>
        <w:tc>
          <w:tcPr>
            <w:tcW w:w="8931" w:type="dxa"/>
            <w:gridSpan w:val="6"/>
            <w:tcBorders>
              <w:top w:val="nil" w:sz="6" w:space="0" w:color="auto"/>
              <w:left w:val="single" w:sz="4" w:space="0" w:color="000000"/>
              <w:bottom w:val="nil" w:sz="6" w:space="0" w:color="auto"/>
              <w:right w:val="single" w:sz="4" w:space="0" w:color="000000"/>
            </w:tcBorders>
          </w:tcPr>
          <w:p>
            <w:pPr/>
          </w:p>
        </w:tc>
      </w:tr>
      <w:tr>
        <w:trPr>
          <w:trHeight w:val="313" w:hRule="exact"/>
        </w:trPr>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划（如</w:t>
            </w:r>
          </w:p>
        </w:tc>
        <w:tc>
          <w:tcPr>
            <w:tcW w:w="8931" w:type="dxa"/>
            <w:gridSpan w:val="6"/>
            <w:tcBorders>
              <w:top w:val="nil" w:sz="6" w:space="0" w:color="auto"/>
              <w:left w:val="single" w:sz="4" w:space="0" w:color="000000"/>
              <w:bottom w:val="nil" w:sz="6" w:space="0" w:color="auto"/>
              <w:right w:val="single" w:sz="4" w:space="0" w:color="000000"/>
            </w:tcBorders>
          </w:tcPr>
          <w:p>
            <w:pPr/>
          </w:p>
        </w:tc>
      </w:tr>
      <w:tr>
        <w:trPr>
          <w:trHeight w:val="357" w:hRule="exact"/>
        </w:trPr>
        <w:tc>
          <w:tcPr>
            <w:tcW w:w="71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8931"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3"/>
        <w:spacing w:line="240" w:lineRule="auto" w:before="26"/>
        <w:ind w:left="1133" w:right="1033" w:firstLine="482"/>
        <w:jc w:val="left"/>
        <w:rPr>
          <w:b w:val="0"/>
          <w:bCs w:val="0"/>
        </w:rPr>
      </w:pPr>
      <w:bookmarkStart w:name="2、公司资产或项目存在盈利预测，且报告期仍处在盈利预测期间，公司就资产或项目达到" w:id="63"/>
      <w:bookmarkEnd w:id="63"/>
      <w:r>
        <w:rPr>
          <w:b w:val="0"/>
          <w:bCs w:val="0"/>
        </w:rPr>
      </w:r>
      <w:r>
        <w:rPr>
          <w:rFonts w:ascii="宋体" w:hAnsi="宋体" w:cs="宋体" w:eastAsia="宋体" w:hint="default"/>
          <w:spacing w:val="3"/>
          <w:w w:val="95"/>
        </w:rPr>
        <w:t>2</w:t>
      </w:r>
      <w:r>
        <w:rPr>
          <w:spacing w:val="3"/>
          <w:w w:val="95"/>
        </w:rPr>
        <w:t>、公司资产或项目存在盈利预测，且报告期仍处在盈利预测期间，公司就资产或项目</w:t>
      </w:r>
      <w:r>
        <w:rPr>
          <w:w w:val="99"/>
        </w:rPr>
        <w:t> </w:t>
      </w:r>
      <w:r>
        <w:rPr/>
        <w:t>达到原盈利预测及其原因做出说明</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right="1033"/>
        <w:jc w:val="left"/>
      </w:pPr>
      <w:r>
        <w:rPr/>
        <w:t>√ 适用 □ 不适用</w:t>
      </w:r>
    </w:p>
    <w:p>
      <w:pPr>
        <w:spacing w:line="240" w:lineRule="auto" w:before="9"/>
        <w:rPr>
          <w:rFonts w:ascii="宋体" w:hAnsi="宋体" w:cs="宋体" w:eastAsia="宋体" w:hint="default"/>
          <w:sz w:val="11"/>
          <w:szCs w:val="11"/>
        </w:rPr>
      </w:pPr>
    </w:p>
    <w:tbl>
      <w:tblPr>
        <w:tblW w:w="0" w:type="auto"/>
        <w:jc w:val="left"/>
        <w:tblInd w:w="1129" w:type="dxa"/>
        <w:tblLayout w:type="fixed"/>
        <w:tblCellMar>
          <w:top w:w="0" w:type="dxa"/>
          <w:left w:w="0" w:type="dxa"/>
          <w:bottom w:w="0" w:type="dxa"/>
          <w:right w:w="0" w:type="dxa"/>
        </w:tblCellMar>
        <w:tblLook w:val="01E0"/>
      </w:tblPr>
      <w:tblGrid>
        <w:gridCol w:w="851"/>
        <w:gridCol w:w="851"/>
        <w:gridCol w:w="992"/>
        <w:gridCol w:w="1134"/>
        <w:gridCol w:w="1276"/>
        <w:gridCol w:w="1417"/>
        <w:gridCol w:w="1134"/>
        <w:gridCol w:w="1915"/>
      </w:tblGrid>
      <w:tr>
        <w:trPr>
          <w:trHeight w:val="133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5"/>
              <w:jc w:val="both"/>
              <w:rPr>
                <w:rFonts w:ascii="宋体" w:hAnsi="宋体" w:cs="宋体" w:eastAsia="宋体" w:hint="default"/>
                <w:sz w:val="21"/>
                <w:szCs w:val="21"/>
              </w:rPr>
            </w:pPr>
            <w:r>
              <w:rPr>
                <w:rFonts w:ascii="宋体" w:hAnsi="宋体" w:cs="宋体" w:eastAsia="宋体" w:hint="default"/>
                <w:sz w:val="21"/>
                <w:szCs w:val="21"/>
              </w:rPr>
              <w:t>盈利预 测资产 或项目 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4" w:right="104"/>
              <w:jc w:val="left"/>
              <w:rPr>
                <w:rFonts w:ascii="宋体" w:hAnsi="宋体" w:cs="宋体" w:eastAsia="宋体" w:hint="default"/>
                <w:sz w:val="21"/>
                <w:szCs w:val="21"/>
              </w:rPr>
            </w:pPr>
            <w:r>
              <w:rPr>
                <w:rFonts w:ascii="宋体" w:hAnsi="宋体" w:cs="宋体" w:eastAsia="宋体" w:hint="default"/>
                <w:sz w:val="21"/>
                <w:szCs w:val="21"/>
              </w:rPr>
              <w:t>预测起 始时间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0" w:right="71" w:hanging="210"/>
              <w:jc w:val="left"/>
              <w:rPr>
                <w:rFonts w:ascii="宋体" w:hAnsi="宋体" w:cs="宋体" w:eastAsia="宋体" w:hint="default"/>
                <w:sz w:val="21"/>
                <w:szCs w:val="21"/>
              </w:rPr>
            </w:pPr>
            <w:r>
              <w:rPr>
                <w:rFonts w:ascii="宋体" w:hAnsi="宋体" w:cs="宋体" w:eastAsia="宋体" w:hint="default"/>
                <w:sz w:val="21"/>
                <w:szCs w:val="21"/>
              </w:rPr>
              <w:t>预测终止 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5" w:right="36"/>
              <w:jc w:val="left"/>
              <w:rPr>
                <w:rFonts w:ascii="宋体" w:hAnsi="宋体" w:cs="宋体" w:eastAsia="宋体" w:hint="default"/>
                <w:sz w:val="21"/>
                <w:szCs w:val="21"/>
              </w:rPr>
            </w:pPr>
            <w:r>
              <w:rPr>
                <w:rFonts w:ascii="宋体" w:hAnsi="宋体" w:cs="宋体" w:eastAsia="宋体" w:hint="default"/>
                <w:sz w:val="21"/>
                <w:szCs w:val="21"/>
              </w:rPr>
              <w:t>当期预测业 绩（万元）</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6" w:right="107"/>
              <w:jc w:val="left"/>
              <w:rPr>
                <w:rFonts w:ascii="宋体" w:hAnsi="宋体" w:cs="宋体" w:eastAsia="宋体" w:hint="default"/>
                <w:sz w:val="21"/>
                <w:szCs w:val="21"/>
              </w:rPr>
            </w:pPr>
            <w:r>
              <w:rPr>
                <w:rFonts w:ascii="宋体" w:hAnsi="宋体" w:cs="宋体" w:eastAsia="宋体" w:hint="default"/>
                <w:sz w:val="21"/>
                <w:szCs w:val="21"/>
              </w:rPr>
              <w:t>当期实际业 绩（万元）</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3" w:right="72"/>
              <w:jc w:val="left"/>
              <w:rPr>
                <w:rFonts w:ascii="宋体" w:hAnsi="宋体" w:cs="宋体" w:eastAsia="宋体" w:hint="default"/>
                <w:sz w:val="21"/>
                <w:szCs w:val="21"/>
              </w:rPr>
            </w:pPr>
            <w:r>
              <w:rPr>
                <w:rFonts w:ascii="宋体" w:hAnsi="宋体" w:cs="宋体" w:eastAsia="宋体" w:hint="default"/>
                <w:sz w:val="21"/>
                <w:szCs w:val="21"/>
              </w:rPr>
              <w:t>未达预测的原 因（如适用）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51" w:right="36" w:hanging="316"/>
              <w:jc w:val="left"/>
              <w:rPr>
                <w:rFonts w:ascii="宋体" w:hAnsi="宋体" w:cs="宋体" w:eastAsia="宋体" w:hint="default"/>
                <w:sz w:val="21"/>
                <w:szCs w:val="21"/>
              </w:rPr>
            </w:pPr>
            <w:r>
              <w:rPr>
                <w:rFonts w:ascii="宋体" w:hAnsi="宋体" w:cs="宋体" w:eastAsia="宋体" w:hint="default"/>
                <w:sz w:val="21"/>
                <w:szCs w:val="21"/>
              </w:rPr>
              <w:t>原预测披露 日期</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原预测披露索引</w:t>
            </w:r>
          </w:p>
        </w:tc>
      </w:tr>
      <w:tr>
        <w:trPr>
          <w:trHeight w:val="165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86"/>
              <w:jc w:val="both"/>
              <w:rPr>
                <w:rFonts w:ascii="宋体" w:hAnsi="宋体" w:cs="宋体" w:eastAsia="宋体" w:hint="default"/>
                <w:sz w:val="21"/>
                <w:szCs w:val="21"/>
              </w:rPr>
            </w:pPr>
            <w:r>
              <w:rPr>
                <w:rFonts w:ascii="宋体" w:hAnsi="宋体" w:cs="宋体" w:eastAsia="宋体" w:hint="default"/>
                <w:sz w:val="21"/>
                <w:szCs w:val="21"/>
              </w:rPr>
              <w:t>江苏亿 金环保 科技有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65" w:right="0"/>
              <w:jc w:val="left"/>
              <w:rPr>
                <w:rFonts w:ascii="宋体" w:hAnsi="宋体" w:cs="宋体" w:eastAsia="宋体" w:hint="default"/>
                <w:sz w:val="21"/>
                <w:szCs w:val="21"/>
              </w:rPr>
            </w:pPr>
            <w:r>
              <w:rPr>
                <w:rFonts w:ascii="宋体"/>
                <w:sz w:val="21"/>
              </w:rPr>
              <w:t>3460.46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3,575.81</w:t>
            </w:r>
          </w:p>
        </w:tc>
        <w:tc>
          <w:tcPr>
            <w:tcW w:w="1417" w:type="dxa"/>
            <w:tcBorders>
              <w:top w:val="single" w:sz="4" w:space="0" w:color="000000"/>
              <w:left w:val="single" w:sz="4" w:space="0" w:color="000000"/>
              <w:bottom w:val="single" w:sz="4" w:space="0" w:color="000000"/>
              <w:right w:val="single" w:sz="9" w:space="0" w:color="FFFFFF"/>
            </w:tcBorders>
          </w:tcPr>
          <w:p>
            <w:pPr>
              <w:pStyle w:val="TableParagraph"/>
              <w:spacing w:line="273" w:lineRule="auto" w:before="27"/>
              <w:ind w:left="22" w:right="-62"/>
              <w:jc w:val="both"/>
              <w:rPr>
                <w:rFonts w:ascii="宋体" w:hAnsi="宋体" w:cs="宋体" w:eastAsia="宋体" w:hint="default"/>
                <w:sz w:val="21"/>
                <w:szCs w:val="21"/>
              </w:rPr>
            </w:pPr>
            <w:r>
              <w:rPr>
                <w:rFonts w:ascii="宋体" w:hAnsi="宋体" w:cs="宋体" w:eastAsia="宋体" w:hint="default"/>
                <w:spacing w:val="16"/>
                <w:sz w:val="21"/>
                <w:szCs w:val="21"/>
              </w:rPr>
              <w:t>江苏亿金的业</w:t>
            </w:r>
            <w:r>
              <w:rPr>
                <w:rFonts w:ascii="宋体" w:hAnsi="宋体" w:cs="宋体" w:eastAsia="宋体" w:hint="default"/>
                <w:spacing w:val="-101"/>
                <w:sz w:val="21"/>
                <w:szCs w:val="21"/>
              </w:rPr>
              <w:t> </w:t>
            </w:r>
            <w:r>
              <w:rPr>
                <w:rFonts w:ascii="宋体" w:hAnsi="宋体" w:cs="宋体" w:eastAsia="宋体" w:hint="default"/>
                <w:spacing w:val="62"/>
                <w:sz w:val="21"/>
                <w:szCs w:val="21"/>
              </w:rPr>
              <w:t>绩预测已达</w:t>
            </w:r>
            <w:r>
              <w:rPr>
                <w:rFonts w:ascii="宋体" w:hAnsi="宋体" w:cs="宋体" w:eastAsia="宋体" w:hint="default"/>
                <w:spacing w:val="-27"/>
                <w:sz w:val="21"/>
                <w:szCs w:val="21"/>
              </w:rPr>
              <w:t> </w:t>
            </w:r>
            <w:r>
              <w:rPr>
                <w:rFonts w:ascii="宋体" w:hAnsi="宋体" w:cs="宋体" w:eastAsia="宋体" w:hint="default"/>
                <w:sz w:val="21"/>
                <w:szCs w:val="21"/>
              </w:rPr>
              <w:t>成。</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r>
              <w:rPr>
                <w:rFonts w:ascii="宋体" w:hAnsi="宋体" w:cs="宋体" w:eastAsia="宋体" w:hint="default"/>
                <w:spacing w:val="-60"/>
                <w:sz w:val="21"/>
                <w:szCs w:val="21"/>
              </w:rPr>
              <w:t> </w:t>
            </w:r>
            <w:r>
              <w:rPr>
                <w:rFonts w:ascii="宋体" w:hAnsi="宋体" w:cs="宋体" w:eastAsia="宋体" w:hint="default"/>
                <w:sz w:val="21"/>
                <w:szCs w:val="21"/>
              </w:rPr>
              <w:t>月</w:t>
            </w:r>
          </w:p>
          <w:p>
            <w:pPr>
              <w:pStyle w:val="TableParagraph"/>
              <w:spacing w:line="240" w:lineRule="auto" w:before="37"/>
              <w:ind w:left="16"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7"/>
              <w:ind w:left="22" w:right="96"/>
              <w:jc w:val="left"/>
              <w:rPr>
                <w:rFonts w:ascii="宋体" w:hAnsi="宋体" w:cs="宋体" w:eastAsia="宋体" w:hint="default"/>
                <w:sz w:val="21"/>
                <w:szCs w:val="21"/>
              </w:rPr>
            </w:pPr>
            <w:r>
              <w:rPr>
                <w:rFonts w:ascii="宋体" w:hAnsi="宋体" w:cs="宋体" w:eastAsia="宋体" w:hint="default"/>
                <w:spacing w:val="-12"/>
                <w:sz w:val="21"/>
                <w:szCs w:val="21"/>
              </w:rPr>
              <w:t>巨潮资讯网：《依米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康发行股份购买资 产并募集配套资金 暨关联交易报告书</w:t>
            </w:r>
          </w:p>
          <w:p>
            <w:pPr>
              <w:pStyle w:val="TableParagraph"/>
              <w:spacing w:line="240" w:lineRule="auto" w:before="11"/>
              <w:ind w:left="22" w:right="0"/>
              <w:jc w:val="left"/>
              <w:rPr>
                <w:rFonts w:ascii="宋体" w:hAnsi="宋体" w:cs="宋体" w:eastAsia="宋体" w:hint="default"/>
                <w:sz w:val="21"/>
                <w:szCs w:val="21"/>
              </w:rPr>
            </w:pPr>
            <w:r>
              <w:rPr>
                <w:rFonts w:ascii="宋体" w:hAnsi="宋体" w:cs="宋体" w:eastAsia="宋体" w:hint="default"/>
                <w:sz w:val="21"/>
                <w:szCs w:val="21"/>
              </w:rPr>
              <w:t>（修订稿</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spacing w:line="240" w:lineRule="auto" w:before="12"/>
        <w:rPr>
          <w:rFonts w:ascii="宋体" w:hAnsi="宋体" w:cs="宋体" w:eastAsia="宋体" w:hint="default"/>
          <w:sz w:val="24"/>
          <w:szCs w:val="24"/>
        </w:rPr>
      </w:pPr>
    </w:p>
    <w:p>
      <w:pPr>
        <w:pStyle w:val="Heading3"/>
        <w:spacing w:line="240" w:lineRule="auto" w:before="26"/>
        <w:ind w:right="0"/>
        <w:jc w:val="both"/>
        <w:rPr>
          <w:rFonts w:ascii="宋体" w:hAnsi="宋体" w:cs="宋体" w:eastAsia="宋体" w:hint="default"/>
          <w:b w:val="0"/>
          <w:bCs w:val="0"/>
        </w:rPr>
      </w:pPr>
      <w:r>
        <w:rPr/>
        <w:pict>
          <v:group style="position:absolute;margin-left:383.019989pt;margin-top:-98.804359pt;width:56.25pt;height:41pt;mso-position-horizontal-relative:page;mso-position-vertical-relative:paragraph;z-index:-1060672" coordorigin="7660,-1976" coordsize="1125,820">
            <v:group style="position:absolute;left:7660;top:-1976;width:1125;height:468" coordorigin="7660,-1976" coordsize="1125,468">
              <v:shape style="position:absolute;left:7660;top:-1976;width:1125;height:468" coordorigin="7660,-1976" coordsize="1125,468" path="m7660,-1508l8785,-1508,8785,-1976,7660,-1976,7660,-1508xe" filled="true" fillcolor="#ffffff" stroked="false">
                <v:path arrowok="t"/>
                <v:fill type="solid"/>
              </v:shape>
            </v:group>
            <v:group style="position:absolute;left:7683;top:-1508;width:1080;height:352" coordorigin="7683,-1508" coordsize="1080,352">
              <v:shape style="position:absolute;left:7683;top:-1508;width:1080;height:352" coordorigin="7683,-1508" coordsize="1080,352" path="m7683,-1156l8762,-1156,8762,-1508,7683,-1508,7683,-1156xe" filled="true" fillcolor="#ffffff" stroked="false">
                <v:path arrowok="t"/>
                <v:fill type="solid"/>
              </v:shape>
            </v:group>
            <w10:wrap type="none"/>
          </v:group>
        </w:pict>
      </w:r>
      <w:r>
        <w:rPr/>
        <w:t>补充说明</w:t>
      </w:r>
      <w:r>
        <w:rPr>
          <w:rFonts w:ascii="宋体" w:hAnsi="宋体" w:cs="宋体" w:eastAsia="宋体" w:hint="default"/>
          <w:b w:val="0"/>
          <w:bCs w:val="0"/>
        </w:rPr>
        <w:t>：</w:t>
      </w:r>
    </w:p>
    <w:p>
      <w:pPr>
        <w:spacing w:line="357" w:lineRule="auto" w:before="193"/>
        <w:ind w:left="1133" w:right="1033" w:firstLine="48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w:t>
      </w:r>
      <w:r>
        <w:rPr>
          <w:rFonts w:ascii="宋体" w:hAnsi="宋体" w:cs="宋体" w:eastAsia="宋体" w:hint="default"/>
          <w:b/>
          <w:bCs/>
          <w:spacing w:val="-75"/>
          <w:sz w:val="24"/>
          <w:szCs w:val="24"/>
        </w:rPr>
        <w:t> </w:t>
      </w:r>
      <w:r>
        <w:rPr>
          <w:rFonts w:ascii="宋体" w:hAnsi="宋体" w:cs="宋体" w:eastAsia="宋体" w:hint="default"/>
          <w:b/>
          <w:bCs/>
          <w:sz w:val="24"/>
          <w:szCs w:val="24"/>
        </w:rPr>
        <w:t>2014</w:t>
      </w:r>
      <w:r>
        <w:rPr>
          <w:rFonts w:ascii="宋体" w:hAnsi="宋体" w:cs="宋体" w:eastAsia="宋体" w:hint="default"/>
          <w:b/>
          <w:bCs/>
          <w:spacing w:val="-75"/>
          <w:sz w:val="24"/>
          <w:szCs w:val="24"/>
        </w:rPr>
        <w:t> </w:t>
      </w:r>
      <w:r>
        <w:rPr>
          <w:rFonts w:ascii="宋体" w:hAnsi="宋体" w:cs="宋体" w:eastAsia="宋体" w:hint="default"/>
          <w:b/>
          <w:bCs/>
          <w:sz w:val="24"/>
          <w:szCs w:val="24"/>
        </w:rPr>
        <w:t>年实施的江苏亿金环保重大资产重组事项江苏亿金环保业绩承诺实现情况</w:t>
      </w:r>
      <w:r>
        <w:rPr>
          <w:rFonts w:ascii="宋体" w:hAnsi="宋体" w:cs="宋体" w:eastAsia="宋体" w:hint="default"/>
          <w:b/>
          <w:bCs/>
          <w:w w:val="99"/>
          <w:sz w:val="24"/>
          <w:szCs w:val="24"/>
        </w:rPr>
        <w:t> </w:t>
      </w:r>
      <w:r>
        <w:rPr>
          <w:rFonts w:ascii="宋体" w:hAnsi="宋体" w:cs="宋体" w:eastAsia="宋体" w:hint="default"/>
          <w:b/>
          <w:bCs/>
          <w:sz w:val="24"/>
          <w:szCs w:val="24"/>
        </w:rPr>
        <w:t>说明</w:t>
      </w:r>
      <w:r>
        <w:rPr>
          <w:rFonts w:ascii="宋体" w:hAnsi="宋体" w:cs="宋体" w:eastAsia="宋体" w:hint="default"/>
          <w:sz w:val="24"/>
          <w:szCs w:val="24"/>
        </w:rPr>
      </w:r>
    </w:p>
    <w:p>
      <w:pPr>
        <w:pStyle w:val="BodyText"/>
        <w:spacing w:line="357" w:lineRule="auto" w:before="74"/>
        <w:ind w:right="994" w:firstLine="480"/>
        <w:jc w:val="left"/>
      </w:pPr>
      <w:r>
        <w:rPr/>
        <w:t>（</w:t>
      </w: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6"/>
        </w:rPr>
        <w:t> </w:t>
      </w:r>
      <w:r>
        <w:rPr/>
        <w:t>年度业绩承诺达成情况：根据根据信永中和会计师事务所</w:t>
      </w:r>
      <w:r>
        <w:rPr>
          <w:rFonts w:ascii="宋体" w:hAnsi="宋体" w:cs="宋体" w:eastAsia="宋体" w:hint="default"/>
        </w:rPr>
        <w:t>(</w:t>
      </w:r>
      <w:r>
        <w:rPr/>
        <w:t>特殊普通合伙</w:t>
      </w:r>
      <w:r>
        <w:rPr>
          <w:rFonts w:ascii="宋体" w:hAnsi="宋体" w:cs="宋体" w:eastAsia="宋体" w:hint="default"/>
        </w:rPr>
        <w:t>)</w:t>
      </w:r>
      <w:r>
        <w:rPr/>
        <w:t>于 </w:t>
      </w:r>
      <w:r>
        <w:rPr>
          <w:rFonts w:ascii="宋体" w:hAnsi="宋体" w:cs="宋体" w:eastAsia="宋体" w:hint="default"/>
        </w:rPr>
        <w:t>2016 </w:t>
      </w:r>
      <w:r>
        <w:rPr/>
        <w:t>年 </w:t>
      </w:r>
      <w:r>
        <w:rPr>
          <w:rFonts w:ascii="宋体" w:hAnsi="宋体" w:cs="宋体" w:eastAsia="宋体" w:hint="default"/>
        </w:rPr>
        <w:t>3 </w:t>
      </w:r>
      <w:r>
        <w:rPr/>
        <w:t>月 </w:t>
      </w:r>
      <w:r>
        <w:rPr>
          <w:rFonts w:ascii="宋体" w:hAnsi="宋体" w:cs="宋体" w:eastAsia="宋体" w:hint="default"/>
        </w:rPr>
        <w:t>20 </w:t>
      </w:r>
      <w:r>
        <w:rPr>
          <w:spacing w:val="36"/>
        </w:rPr>
        <w:t>日出具的《发行股份购买资产事宜盈利预测实现情况鉴证报告</w:t>
      </w:r>
      <w:r>
        <w:rPr>
          <w:spacing w:val="-17"/>
        </w:rPr>
        <w:t> </w:t>
      </w:r>
      <w:r>
        <w:rPr/>
        <w:t>》</w:t>
      </w:r>
    </w:p>
    <w:p>
      <w:pPr>
        <w:pStyle w:val="BodyText"/>
        <w:spacing w:line="240" w:lineRule="auto" w:before="35"/>
        <w:ind w:right="0"/>
        <w:jc w:val="both"/>
      </w:pPr>
      <w:r>
        <w:rPr>
          <w:spacing w:val="1"/>
        </w:rPr>
        <w:t>（</w:t>
      </w:r>
      <w:r>
        <w:rPr>
          <w:rFonts w:ascii="宋体" w:hAnsi="宋体" w:cs="宋体" w:eastAsia="宋体" w:hint="default"/>
        </w:rPr>
        <w:t>XYZH/2016CDA4007</w:t>
      </w:r>
      <w:r>
        <w:rPr>
          <w:rFonts w:ascii="宋体" w:hAnsi="宋体" w:cs="宋体" w:eastAsia="宋体" w:hint="default"/>
          <w:spacing w:val="1"/>
        </w:rPr>
        <w:t>4</w:t>
      </w:r>
      <w:r>
        <w:rPr>
          <w:spacing w:val="-119"/>
        </w:rPr>
        <w:t>）</w:t>
      </w:r>
      <w:r>
        <w:rPr/>
        <w:t>，亿金环保</w:t>
      </w:r>
      <w:r>
        <w:rPr>
          <w:spacing w:val="2"/>
        </w:rPr>
        <w:t> </w:t>
      </w:r>
      <w:r>
        <w:rPr>
          <w:rFonts w:ascii="宋体" w:hAnsi="宋体" w:cs="宋体" w:eastAsia="宋体" w:hint="default"/>
        </w:rPr>
        <w:t>2015</w:t>
      </w:r>
      <w:r>
        <w:rPr>
          <w:rFonts w:ascii="宋体" w:hAnsi="宋体" w:cs="宋体" w:eastAsia="宋体" w:hint="default"/>
          <w:spacing w:val="1"/>
        </w:rPr>
        <w:t> </w:t>
      </w:r>
      <w:r>
        <w:rPr>
          <w:spacing w:val="1"/>
        </w:rPr>
        <w:t>年度实现扣除非经常损益后归属于母公司所有</w:t>
      </w:r>
      <w:r>
        <w:rPr>
          <w:spacing w:val="2"/>
        </w:rPr>
        <w:t>者</w:t>
      </w:r>
      <w:r>
        <w:rPr/>
        <w:t>的</w:t>
      </w:r>
    </w:p>
    <w:p>
      <w:pPr>
        <w:pStyle w:val="BodyText"/>
        <w:spacing w:line="357" w:lineRule="auto" w:before="154"/>
        <w:ind w:right="1001"/>
        <w:jc w:val="left"/>
      </w:pPr>
      <w:r>
        <w:rPr/>
        <w:t>净利润为</w:t>
      </w:r>
      <w:r>
        <w:rPr>
          <w:spacing w:val="-60"/>
        </w:rPr>
        <w:t> </w:t>
      </w:r>
      <w:r>
        <w:rPr>
          <w:rFonts w:ascii="宋体" w:hAnsi="宋体" w:cs="宋体" w:eastAsia="宋体" w:hint="default"/>
        </w:rPr>
        <w:t>3,575.81</w:t>
      </w:r>
      <w:r>
        <w:rPr>
          <w:rFonts w:ascii="宋体" w:hAnsi="宋体" w:cs="宋体" w:eastAsia="宋体" w:hint="default"/>
          <w:spacing w:val="-60"/>
        </w:rPr>
        <w:t> </w:t>
      </w:r>
      <w:r>
        <w:rPr>
          <w:spacing w:val="-11"/>
        </w:rPr>
        <w:t>万元，较亿金环保</w:t>
      </w:r>
      <w:r>
        <w:rPr>
          <w:spacing w:val="-60"/>
        </w:rPr>
        <w:t> </w:t>
      </w:r>
      <w:r>
        <w:rPr>
          <w:rFonts w:ascii="宋体" w:hAnsi="宋体" w:cs="宋体" w:eastAsia="宋体" w:hint="default"/>
        </w:rPr>
        <w:t>2015</w:t>
      </w:r>
      <w:r>
        <w:rPr>
          <w:rFonts w:ascii="宋体" w:hAnsi="宋体" w:cs="宋体" w:eastAsia="宋体" w:hint="default"/>
          <w:spacing w:val="-60"/>
        </w:rPr>
        <w:t> </w:t>
      </w:r>
      <w:r>
        <w:rPr/>
        <w:t>年承诺的净利润</w:t>
      </w:r>
      <w:r>
        <w:rPr>
          <w:spacing w:val="-60"/>
        </w:rPr>
        <w:t> </w:t>
      </w:r>
      <w:r>
        <w:rPr>
          <w:rFonts w:ascii="宋体" w:hAnsi="宋体" w:cs="宋体" w:eastAsia="宋体" w:hint="default"/>
        </w:rPr>
        <w:t>3,460.46</w:t>
      </w:r>
      <w:r>
        <w:rPr>
          <w:rFonts w:ascii="宋体" w:hAnsi="宋体" w:cs="宋体" w:eastAsia="宋体" w:hint="default"/>
          <w:spacing w:val="-60"/>
        </w:rPr>
        <w:t> </w:t>
      </w:r>
      <w:r>
        <w:rPr/>
        <w:t>万元超出</w:t>
      </w:r>
      <w:r>
        <w:rPr>
          <w:spacing w:val="-60"/>
        </w:rPr>
        <w:t> </w:t>
      </w:r>
      <w:r>
        <w:rPr>
          <w:rFonts w:ascii="宋体" w:hAnsi="宋体" w:cs="宋体" w:eastAsia="宋体" w:hint="default"/>
        </w:rPr>
        <w:t>115.35</w:t>
      </w:r>
      <w:r>
        <w:rPr>
          <w:rFonts w:ascii="宋体" w:hAnsi="宋体" w:cs="宋体" w:eastAsia="宋体" w:hint="default"/>
          <w:spacing w:val="-60"/>
        </w:rPr>
        <w:t> </w:t>
      </w:r>
      <w:r>
        <w:rPr/>
        <w:t>万元， 完成比例为</w:t>
      </w:r>
      <w:r>
        <w:rPr>
          <w:spacing w:val="-60"/>
        </w:rPr>
        <w:t> </w:t>
      </w:r>
      <w:r>
        <w:rPr>
          <w:rFonts w:ascii="宋体" w:hAnsi="宋体" w:cs="宋体" w:eastAsia="宋体" w:hint="default"/>
        </w:rPr>
        <w:t>103.33%</w:t>
      </w:r>
      <w:r>
        <w:rPr/>
        <w:t>。</w:t>
      </w:r>
    </w:p>
    <w:p>
      <w:pPr>
        <w:pStyle w:val="BodyText"/>
        <w:spacing w:line="386" w:lineRule="auto" w:before="74"/>
        <w:ind w:left="1614" w:right="1167"/>
        <w:jc w:val="left"/>
      </w:pPr>
      <w:r>
        <w:rPr/>
        <w:t>（</w:t>
      </w:r>
      <w:r>
        <w:rPr>
          <w:rFonts w:ascii="宋体" w:hAnsi="宋体" w:cs="宋体" w:eastAsia="宋体" w:hint="default"/>
        </w:rPr>
        <w:t>2</w:t>
      </w:r>
      <w:r>
        <w:rPr/>
        <w:t>）</w:t>
      </w:r>
      <w:r>
        <w:rPr>
          <w:rFonts w:ascii="宋体" w:hAnsi="宋体" w:cs="宋体" w:eastAsia="宋体" w:hint="default"/>
        </w:rPr>
        <w:t>2014-2015</w:t>
      </w:r>
      <w:r>
        <w:rPr>
          <w:rFonts w:ascii="宋体" w:hAnsi="宋体" w:cs="宋体" w:eastAsia="宋体" w:hint="default"/>
          <w:spacing w:val="-60"/>
        </w:rPr>
        <w:t> </w:t>
      </w:r>
      <w:r>
        <w:rPr/>
        <w:t>年业绩承诺累计达成情况 根据信永中和会计师事务所</w:t>
      </w:r>
      <w:r>
        <w:rPr>
          <w:rFonts w:ascii="宋体" w:hAnsi="宋体" w:cs="宋体" w:eastAsia="宋体" w:hint="default"/>
        </w:rPr>
        <w:t>(</w:t>
      </w:r>
      <w:r>
        <w:rPr/>
        <w:t>特殊普通合伙</w:t>
      </w:r>
      <w:r>
        <w:rPr>
          <w:rFonts w:ascii="宋体" w:hAnsi="宋体" w:cs="宋体" w:eastAsia="宋体" w:hint="default"/>
        </w:rPr>
        <w:t>)</w:t>
      </w:r>
      <w:r>
        <w:rPr/>
        <w:t>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9"/>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22</w:t>
      </w:r>
      <w:r>
        <w:rPr>
          <w:rFonts w:ascii="宋体" w:hAnsi="宋体" w:cs="宋体" w:eastAsia="宋体" w:hint="default"/>
          <w:spacing w:val="-48"/>
        </w:rPr>
        <w:t> </w:t>
      </w:r>
      <w:r>
        <w:rPr/>
        <w:t>日出具的《发</w:t>
      </w:r>
      <w:r>
        <w:rPr>
          <w:spacing w:val="-81"/>
        </w:rPr>
        <w:t> </w:t>
      </w:r>
      <w:r>
        <w:rPr/>
        <w:t>行</w:t>
      </w:r>
      <w:r>
        <w:rPr>
          <w:spacing w:val="-82"/>
        </w:rPr>
        <w:t> </w:t>
      </w:r>
      <w:r>
        <w:rPr/>
        <w:t>股</w:t>
      </w:r>
      <w:r>
        <w:rPr>
          <w:spacing w:val="-82"/>
        </w:rPr>
        <w:t> </w:t>
      </w:r>
      <w:r>
        <w:rPr/>
        <w:t>份</w:t>
      </w:r>
      <w:r>
        <w:rPr>
          <w:spacing w:val="-81"/>
        </w:rPr>
        <w:t> </w:t>
      </w:r>
      <w:r>
        <w:rPr/>
        <w:t>购</w:t>
      </w:r>
    </w:p>
    <w:p>
      <w:pPr>
        <w:pStyle w:val="BodyText"/>
        <w:spacing w:line="357" w:lineRule="auto" w:before="6"/>
        <w:ind w:right="1127"/>
        <w:jc w:val="left"/>
      </w:pPr>
      <w:r>
        <w:rPr/>
        <w:t>买</w:t>
      </w:r>
      <w:r>
        <w:rPr>
          <w:spacing w:val="-79"/>
        </w:rPr>
        <w:t> </w:t>
      </w:r>
      <w:r>
        <w:rPr/>
        <w:t>资</w:t>
      </w:r>
      <w:r>
        <w:rPr>
          <w:spacing w:val="-80"/>
        </w:rPr>
        <w:t> </w:t>
      </w:r>
      <w:r>
        <w:rPr/>
        <w:t>产</w:t>
      </w:r>
      <w:r>
        <w:rPr>
          <w:spacing w:val="-80"/>
        </w:rPr>
        <w:t> </w:t>
      </w:r>
      <w:r>
        <w:rPr/>
        <w:t>事</w:t>
      </w:r>
      <w:r>
        <w:rPr>
          <w:spacing w:val="-80"/>
        </w:rPr>
        <w:t> </w:t>
      </w:r>
      <w:r>
        <w:rPr/>
        <w:t>宜</w:t>
      </w:r>
      <w:r>
        <w:rPr>
          <w:spacing w:val="-79"/>
        </w:rPr>
        <w:t> </w:t>
      </w:r>
      <w:r>
        <w:rPr/>
        <w:t>盈</w:t>
      </w:r>
      <w:r>
        <w:rPr>
          <w:spacing w:val="-80"/>
        </w:rPr>
        <w:t> </w:t>
      </w:r>
      <w:r>
        <w:rPr/>
        <w:t>利</w:t>
      </w:r>
      <w:r>
        <w:rPr>
          <w:spacing w:val="-80"/>
        </w:rPr>
        <w:t> </w:t>
      </w:r>
      <w:r>
        <w:rPr/>
        <w:t>预</w:t>
      </w:r>
      <w:r>
        <w:rPr>
          <w:spacing w:val="-80"/>
        </w:rPr>
        <w:t> </w:t>
      </w:r>
      <w:r>
        <w:rPr/>
        <w:t>测</w:t>
      </w:r>
      <w:r>
        <w:rPr>
          <w:spacing w:val="-79"/>
        </w:rPr>
        <w:t> </w:t>
      </w:r>
      <w:r>
        <w:rPr/>
        <w:t>实</w:t>
      </w:r>
      <w:r>
        <w:rPr>
          <w:spacing w:val="-80"/>
        </w:rPr>
        <w:t> </w:t>
      </w:r>
      <w:r>
        <w:rPr/>
        <w:t>现</w:t>
      </w:r>
      <w:r>
        <w:rPr>
          <w:spacing w:val="-80"/>
        </w:rPr>
        <w:t> </w:t>
      </w:r>
      <w:r>
        <w:rPr/>
        <w:t>情</w:t>
      </w:r>
      <w:r>
        <w:rPr>
          <w:spacing w:val="-80"/>
        </w:rPr>
        <w:t> </w:t>
      </w:r>
      <w:r>
        <w:rPr/>
        <w:t>况</w:t>
      </w:r>
      <w:r>
        <w:rPr>
          <w:spacing w:val="-79"/>
        </w:rPr>
        <w:t> </w:t>
      </w:r>
      <w:r>
        <w:rPr/>
        <w:t>鉴</w:t>
      </w:r>
      <w:r>
        <w:rPr>
          <w:spacing w:val="-80"/>
        </w:rPr>
        <w:t> </w:t>
      </w:r>
      <w:r>
        <w:rPr/>
        <w:t>证</w:t>
      </w:r>
      <w:r>
        <w:rPr>
          <w:spacing w:val="-80"/>
        </w:rPr>
        <w:t> </w:t>
      </w:r>
      <w:r>
        <w:rPr/>
        <w:t>报</w:t>
      </w:r>
      <w:r>
        <w:rPr>
          <w:spacing w:val="-80"/>
        </w:rPr>
        <w:t> </w:t>
      </w:r>
      <w:r>
        <w:rPr/>
        <w:t>告</w:t>
      </w:r>
      <w:r>
        <w:rPr>
          <w:spacing w:val="-79"/>
        </w:rPr>
        <w:t> </w:t>
      </w:r>
      <w:r>
        <w:rPr>
          <w:spacing w:val="-13"/>
        </w:rPr>
        <w:t>》（</w:t>
      </w:r>
      <w:r>
        <w:rPr>
          <w:rFonts w:ascii="宋体" w:hAnsi="宋体" w:cs="宋体" w:eastAsia="宋体" w:hint="default"/>
          <w:spacing w:val="-13"/>
        </w:rPr>
        <w:t>XYZH/2014CDA4027-1-4</w:t>
      </w:r>
      <w:r>
        <w:rPr>
          <w:spacing w:val="-13"/>
        </w:rPr>
        <w:t>），亿金环保</w:t>
      </w:r>
      <w:r>
        <w:rPr>
          <w:spacing w:val="-59"/>
        </w:rPr>
        <w:t> </w:t>
      </w:r>
      <w:r>
        <w:rPr>
          <w:rFonts w:ascii="宋体" w:hAnsi="宋体" w:cs="宋体" w:eastAsia="宋体" w:hint="default"/>
        </w:rPr>
        <w:t>2014</w:t>
      </w:r>
      <w:r>
        <w:rPr>
          <w:rFonts w:ascii="宋体" w:hAnsi="宋体" w:cs="宋体" w:eastAsia="宋体" w:hint="default"/>
          <w:spacing w:val="4"/>
        </w:rPr>
        <w:t> </w:t>
      </w:r>
      <w:r>
        <w:rPr/>
        <w:t>年 </w:t>
      </w:r>
      <w:r>
        <w:rPr>
          <w:spacing w:val="4"/>
        </w:rPr>
        <w:t>度实现扣除非经常损益后归属于母公司所有者的净利润为 </w:t>
      </w:r>
      <w:r>
        <w:rPr>
          <w:rFonts w:ascii="宋体" w:hAnsi="宋体" w:cs="宋体" w:eastAsia="宋体" w:hint="default"/>
        </w:rPr>
        <w:t>30,681,986.14</w:t>
      </w:r>
      <w:r>
        <w:rPr>
          <w:rFonts w:ascii="宋体" w:hAnsi="宋体" w:cs="宋体" w:eastAsia="宋体" w:hint="default"/>
          <w:spacing w:val="15"/>
        </w:rPr>
        <w:t> </w:t>
      </w:r>
      <w:r>
        <w:rPr>
          <w:spacing w:val="3"/>
        </w:rPr>
        <w:t>元，较亿金环保</w:t>
      </w:r>
    </w:p>
    <w:p>
      <w:pPr>
        <w:pStyle w:val="BodyText"/>
        <w:spacing w:line="240" w:lineRule="auto" w:before="36"/>
        <w:ind w:right="0"/>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9"/>
        </w:rPr>
        <w:t> </w:t>
      </w:r>
      <w:r>
        <w:rPr/>
        <w:t>年承诺的净利润</w:t>
      </w:r>
      <w:r>
        <w:rPr>
          <w:spacing w:val="-59"/>
        </w:rPr>
        <w:t> </w:t>
      </w:r>
      <w:r>
        <w:rPr>
          <w:rFonts w:ascii="宋体" w:hAnsi="宋体" w:cs="宋体" w:eastAsia="宋体" w:hint="default"/>
        </w:rPr>
        <w:t>2,941.19</w:t>
      </w:r>
      <w:r>
        <w:rPr>
          <w:rFonts w:ascii="宋体" w:hAnsi="宋体" w:cs="宋体" w:eastAsia="宋体" w:hint="default"/>
          <w:spacing w:val="-59"/>
        </w:rPr>
        <w:t> </w:t>
      </w:r>
      <w:r>
        <w:rPr/>
        <w:t>万元超出</w:t>
      </w:r>
      <w:r>
        <w:rPr>
          <w:spacing w:val="-59"/>
        </w:rPr>
        <w:t> </w:t>
      </w:r>
      <w:r>
        <w:rPr>
          <w:rFonts w:ascii="宋体" w:hAnsi="宋体" w:cs="宋体" w:eastAsia="宋体" w:hint="default"/>
        </w:rPr>
        <w:t>127.01</w:t>
      </w:r>
      <w:r>
        <w:rPr>
          <w:rFonts w:ascii="宋体" w:hAnsi="宋体" w:cs="宋体" w:eastAsia="宋体" w:hint="default"/>
          <w:spacing w:val="-59"/>
        </w:rPr>
        <w:t> </w:t>
      </w:r>
      <w:r>
        <w:rPr>
          <w:spacing w:val="-6"/>
        </w:rPr>
        <w:t>万元，完成比例为</w:t>
      </w:r>
      <w:r>
        <w:rPr>
          <w:spacing w:val="-59"/>
        </w:rPr>
        <w:t> </w:t>
      </w:r>
      <w:r>
        <w:rPr>
          <w:rFonts w:ascii="宋体" w:hAnsi="宋体" w:cs="宋体" w:eastAsia="宋体" w:hint="default"/>
          <w:spacing w:val="-4"/>
        </w:rPr>
        <w:t>104.31%</w:t>
      </w:r>
      <w:r>
        <w:rPr>
          <w:spacing w:val="-4"/>
        </w:rPr>
        <w:t>。</w:t>
      </w:r>
      <w:r>
        <w:rPr>
          <w:rFonts w:ascii="宋体" w:hAnsi="宋体" w:cs="宋体" w:eastAsia="宋体" w:hint="default"/>
          <w:spacing w:val="-4"/>
        </w:rPr>
        <w:t>2014</w:t>
      </w:r>
      <w:r>
        <w:rPr>
          <w:rFonts w:ascii="宋体" w:hAnsi="宋体" w:cs="宋体" w:eastAsia="宋体" w:hint="default"/>
          <w:spacing w:val="-59"/>
        </w:rPr>
        <w:t> </w:t>
      </w:r>
      <w:r>
        <w:rPr/>
        <w:t>年和</w:t>
      </w:r>
      <w:r>
        <w:rPr>
          <w:spacing w:val="-59"/>
        </w:rPr>
        <w:t> </w:t>
      </w:r>
      <w:r>
        <w:rPr>
          <w:rFonts w:ascii="宋体" w:hAnsi="宋体" w:cs="宋体" w:eastAsia="宋体" w:hint="default"/>
        </w:rPr>
        <w:t>2015</w:t>
      </w:r>
    </w:p>
    <w:p>
      <w:pPr>
        <w:pStyle w:val="BodyText"/>
        <w:spacing w:line="240" w:lineRule="auto" w:before="152"/>
        <w:ind w:left="1134" w:right="0"/>
        <w:jc w:val="both"/>
      </w:pPr>
      <w:r>
        <w:rPr/>
        <w:t>年实现扣除非经常损益后归属于母公司所有者的净利润之和为</w:t>
      </w:r>
      <w:r>
        <w:rPr>
          <w:spacing w:val="-56"/>
        </w:rPr>
        <w:t> </w:t>
      </w:r>
      <w:r>
        <w:rPr>
          <w:rFonts w:ascii="宋体" w:hAnsi="宋体" w:cs="宋体" w:eastAsia="宋体" w:hint="default"/>
        </w:rPr>
        <w:t>6,644.01</w:t>
      </w:r>
      <w:r>
        <w:rPr>
          <w:rFonts w:ascii="宋体" w:hAnsi="宋体" w:cs="宋体" w:eastAsia="宋体" w:hint="default"/>
          <w:spacing w:val="-56"/>
        </w:rPr>
        <w:t> </w:t>
      </w:r>
      <w:r>
        <w:rPr>
          <w:spacing w:val="-10"/>
        </w:rPr>
        <w:t>万元。宋正兴、叶春</w:t>
      </w:r>
    </w:p>
    <w:p>
      <w:pPr>
        <w:pStyle w:val="BodyText"/>
        <w:spacing w:line="357" w:lineRule="auto" w:before="152"/>
        <w:ind w:right="1130"/>
        <w:jc w:val="both"/>
      </w:pPr>
      <w:r>
        <w:rPr/>
        <w:t>娥、宋丽娜及立业投资承诺</w:t>
      </w:r>
      <w:r>
        <w:rPr>
          <w:spacing w:val="-50"/>
        </w:rPr>
        <w:t> </w:t>
      </w:r>
      <w:r>
        <w:rPr>
          <w:rFonts w:ascii="宋体" w:hAnsi="宋体" w:cs="宋体" w:eastAsia="宋体" w:hint="default"/>
        </w:rPr>
        <w:t>2014</w:t>
      </w:r>
      <w:r>
        <w:rPr>
          <w:rFonts w:ascii="宋体" w:hAnsi="宋体" w:cs="宋体" w:eastAsia="宋体" w:hint="default"/>
          <w:spacing w:val="-51"/>
        </w:rPr>
        <w:t> </w:t>
      </w:r>
      <w:r>
        <w:rPr/>
        <w:t>年和</w:t>
      </w:r>
      <w:r>
        <w:rPr>
          <w:spacing w:val="-50"/>
        </w:rPr>
        <w:t> </w:t>
      </w:r>
      <w:r>
        <w:rPr>
          <w:rFonts w:ascii="宋体" w:hAnsi="宋体" w:cs="宋体" w:eastAsia="宋体" w:hint="default"/>
        </w:rPr>
        <w:t>2015</w:t>
      </w:r>
      <w:r>
        <w:rPr>
          <w:rFonts w:ascii="宋体" w:hAnsi="宋体" w:cs="宋体" w:eastAsia="宋体" w:hint="default"/>
          <w:spacing w:val="-51"/>
        </w:rPr>
        <w:t> </w:t>
      </w:r>
      <w:r>
        <w:rPr/>
        <w:t>年实现扣除非经常损益后归属于母公司所有者的 净利润之和不低于</w:t>
      </w:r>
      <w:r>
        <w:rPr>
          <w:spacing w:val="-50"/>
        </w:rPr>
        <w:t> </w:t>
      </w:r>
      <w:r>
        <w:rPr>
          <w:rFonts w:ascii="宋体" w:hAnsi="宋体" w:cs="宋体" w:eastAsia="宋体" w:hint="default"/>
        </w:rPr>
        <w:t>6,400.00</w:t>
      </w:r>
      <w:r>
        <w:rPr>
          <w:rFonts w:ascii="宋体" w:hAnsi="宋体" w:cs="宋体" w:eastAsia="宋体" w:hint="default"/>
          <w:spacing w:val="-51"/>
        </w:rPr>
        <w:t> </w:t>
      </w:r>
      <w:r>
        <w:rPr/>
        <w:t>万元。因此，江苏亿金环保已实现</w:t>
      </w:r>
      <w:r>
        <w:rPr>
          <w:spacing w:val="-50"/>
        </w:rPr>
        <w:t> </w:t>
      </w:r>
      <w:r>
        <w:rPr>
          <w:rFonts w:ascii="宋体" w:hAnsi="宋体" w:cs="宋体" w:eastAsia="宋体" w:hint="default"/>
        </w:rPr>
        <w:t>2014</w:t>
      </w:r>
      <w:r>
        <w:rPr/>
        <w:t>、</w:t>
      </w:r>
      <w:r>
        <w:rPr>
          <w:rFonts w:ascii="宋体" w:hAnsi="宋体" w:cs="宋体" w:eastAsia="宋体" w:hint="default"/>
        </w:rPr>
        <w:t>2015</w:t>
      </w:r>
      <w:r>
        <w:rPr>
          <w:rFonts w:ascii="宋体" w:hAnsi="宋体" w:cs="宋体" w:eastAsia="宋体" w:hint="default"/>
          <w:spacing w:val="-51"/>
        </w:rPr>
        <w:t> </w:t>
      </w:r>
      <w:r>
        <w:rPr/>
        <w:t>年度的相关业绩 承诺。</w:t>
      </w:r>
    </w:p>
    <w:p>
      <w:pPr>
        <w:pStyle w:val="BodyText"/>
        <w:spacing w:line="240" w:lineRule="auto" w:before="154"/>
        <w:ind w:left="1614" w:right="1033"/>
        <w:jc w:val="left"/>
      </w:pPr>
      <w:r>
        <w:rPr>
          <w:spacing w:val="-7"/>
        </w:rPr>
        <w:t>（</w:t>
      </w:r>
      <w:r>
        <w:rPr>
          <w:rFonts w:ascii="宋体" w:hAnsi="宋体" w:cs="宋体" w:eastAsia="宋体" w:hint="default"/>
          <w:spacing w:val="-7"/>
        </w:rPr>
        <w:t>3</w:t>
      </w:r>
      <w:r>
        <w:rPr>
          <w:spacing w:val="-7"/>
        </w:rPr>
        <w:t>）公司于</w:t>
      </w:r>
      <w:r>
        <w:rPr>
          <w:spacing w:val="-67"/>
        </w:rPr>
        <w:t> </w:t>
      </w:r>
      <w:r>
        <w:rPr>
          <w:rFonts w:ascii="宋体" w:hAnsi="宋体" w:cs="宋体" w:eastAsia="宋体" w:hint="default"/>
        </w:rPr>
        <w:t>2016</w:t>
      </w:r>
      <w:r>
        <w:rPr>
          <w:rFonts w:ascii="宋体" w:hAnsi="宋体" w:cs="宋体" w:eastAsia="宋体" w:hint="default"/>
          <w:spacing w:val="-67"/>
        </w:rPr>
        <w:t> </w:t>
      </w:r>
      <w:r>
        <w:rPr/>
        <w:t>年</w:t>
      </w:r>
      <w:r>
        <w:rPr>
          <w:spacing w:val="-67"/>
        </w:rPr>
        <w:t> </w:t>
      </w:r>
      <w:r>
        <w:rPr>
          <w:rFonts w:ascii="宋体" w:hAnsi="宋体" w:cs="宋体" w:eastAsia="宋体" w:hint="default"/>
        </w:rPr>
        <w:t>3</w:t>
      </w:r>
      <w:r>
        <w:rPr>
          <w:rFonts w:ascii="宋体" w:hAnsi="宋体" w:cs="宋体" w:eastAsia="宋体" w:hint="default"/>
          <w:spacing w:val="-67"/>
        </w:rPr>
        <w:t> </w:t>
      </w:r>
      <w:r>
        <w:rPr/>
        <w:t>月</w:t>
      </w:r>
      <w:r>
        <w:rPr>
          <w:spacing w:val="-67"/>
        </w:rPr>
        <w:t> </w:t>
      </w:r>
      <w:r>
        <w:rPr>
          <w:rFonts w:ascii="宋体" w:hAnsi="宋体" w:cs="宋体" w:eastAsia="宋体" w:hint="default"/>
        </w:rPr>
        <w:t>20</w:t>
      </w:r>
      <w:r>
        <w:rPr>
          <w:rFonts w:ascii="宋体" w:hAnsi="宋体" w:cs="宋体" w:eastAsia="宋体" w:hint="default"/>
          <w:spacing w:val="-67"/>
        </w:rPr>
        <w:t> </w:t>
      </w:r>
      <w:r>
        <w:rPr/>
        <w:t>日召开的第三届董事会第七次会议审议通过了《关于江苏亿</w:t>
      </w:r>
    </w:p>
    <w:p>
      <w:pPr>
        <w:pStyle w:val="BodyText"/>
        <w:spacing w:line="240" w:lineRule="auto" w:before="154"/>
        <w:ind w:left="1134" w:right="0"/>
        <w:jc w:val="both"/>
      </w:pPr>
      <w:r>
        <w:rPr/>
        <w:t>金环保科技有限公司</w:t>
      </w:r>
      <w:r>
        <w:rPr>
          <w:spacing w:val="-80"/>
        </w:rPr>
        <w:t> </w:t>
      </w:r>
      <w:r>
        <w:rPr>
          <w:rFonts w:ascii="宋体" w:hAnsi="宋体" w:cs="宋体" w:eastAsia="宋体" w:hint="default"/>
        </w:rPr>
        <w:t>2015</w:t>
      </w:r>
      <w:r>
        <w:rPr>
          <w:rFonts w:ascii="宋体" w:hAnsi="宋体" w:cs="宋体" w:eastAsia="宋体" w:hint="default"/>
          <w:spacing w:val="-81"/>
        </w:rPr>
        <w:t> </w:t>
      </w:r>
      <w:r>
        <w:rPr/>
        <w:t>年度审计报告以及</w:t>
      </w:r>
      <w:r>
        <w:rPr>
          <w:spacing w:val="-80"/>
        </w:rPr>
        <w:t> </w:t>
      </w:r>
      <w:r>
        <w:rPr>
          <w:rFonts w:ascii="宋体" w:hAnsi="宋体" w:cs="宋体" w:eastAsia="宋体" w:hint="default"/>
        </w:rPr>
        <w:t>2015</w:t>
      </w:r>
      <w:r>
        <w:rPr>
          <w:rFonts w:ascii="宋体" w:hAnsi="宋体" w:cs="宋体" w:eastAsia="宋体" w:hint="default"/>
          <w:spacing w:val="-81"/>
        </w:rPr>
        <w:t> </w:t>
      </w:r>
      <w:r>
        <w:rPr/>
        <w:t>年度盈利预测达成情况审核报告的议案》，</w:t>
      </w:r>
    </w:p>
    <w:p>
      <w:pPr>
        <w:spacing w:after="0" w:line="240" w:lineRule="auto"/>
        <w:jc w:val="both"/>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right="1132"/>
        <w:jc w:val="both"/>
      </w:pPr>
      <w:r>
        <w:rPr/>
        <w:t>江苏亿金 </w:t>
      </w:r>
      <w:r>
        <w:rPr>
          <w:rFonts w:ascii="宋体" w:hAnsi="宋体" w:cs="宋体" w:eastAsia="宋体" w:hint="default"/>
        </w:rPr>
        <w:t>2015</w:t>
      </w:r>
      <w:r>
        <w:rPr>
          <w:rFonts w:ascii="宋体" w:hAnsi="宋体" w:cs="宋体" w:eastAsia="宋体" w:hint="default"/>
          <w:spacing w:val="6"/>
        </w:rPr>
        <w:t> </w:t>
      </w:r>
      <w:r>
        <w:rPr/>
        <w:t>年度实际实现扣除非经常损益后归属于母公司所有者的净利润超过承诺净利 润；</w:t>
      </w:r>
      <w:r>
        <w:rPr>
          <w:rFonts w:ascii="宋体" w:hAnsi="宋体" w:cs="宋体" w:eastAsia="宋体" w:hint="default"/>
        </w:rPr>
        <w:t>2015</w:t>
      </w:r>
      <w:r>
        <w:rPr>
          <w:rFonts w:ascii="宋体" w:hAnsi="宋体" w:cs="宋体" w:eastAsia="宋体" w:hint="default"/>
          <w:spacing w:val="-81"/>
        </w:rPr>
        <w:t> </w:t>
      </w:r>
      <w:r>
        <w:rPr/>
        <w:t>年度的业绩承诺已经实现，宋正兴、叶春娥、宋丽娜、立业投资无需对公司进行补 偿。该议案还需提交公司</w:t>
      </w:r>
      <w:r>
        <w:rPr>
          <w:spacing w:val="-60"/>
        </w:rPr>
        <w:t> </w:t>
      </w:r>
      <w:r>
        <w:rPr>
          <w:rFonts w:ascii="宋体" w:hAnsi="宋体" w:cs="宋体" w:eastAsia="宋体" w:hint="default"/>
        </w:rPr>
        <w:t>2015</w:t>
      </w:r>
      <w:r>
        <w:rPr>
          <w:rFonts w:ascii="宋体" w:hAnsi="宋体" w:cs="宋体" w:eastAsia="宋体" w:hint="default"/>
          <w:spacing w:val="-60"/>
        </w:rPr>
        <w:t> </w:t>
      </w:r>
      <w:r>
        <w:rPr/>
        <w:t>年度股东大会审议。</w:t>
      </w:r>
    </w:p>
    <w:p>
      <w:pPr>
        <w:pStyle w:val="Heading3"/>
        <w:spacing w:line="240" w:lineRule="auto" w:before="76"/>
        <w:ind w:left="1495" w:right="1033"/>
        <w:jc w:val="left"/>
        <w:rPr>
          <w:b w:val="0"/>
          <w:bCs w:val="0"/>
        </w:rPr>
      </w:pPr>
      <w:r>
        <w:rPr>
          <w:rFonts w:ascii="宋体" w:hAnsi="宋体" w:cs="宋体" w:eastAsia="宋体" w:hint="default"/>
        </w:rPr>
        <w:t>2</w:t>
      </w:r>
      <w:r>
        <w:rPr/>
        <w:t>、关于西安华西收购事项的业绩承诺事项情况说明</w:t>
      </w:r>
      <w:r>
        <w:rPr>
          <w:b w:val="0"/>
          <w:bCs w:val="0"/>
        </w:rPr>
      </w:r>
    </w:p>
    <w:p>
      <w:pPr>
        <w:pStyle w:val="BodyText"/>
        <w:spacing w:line="357" w:lineRule="auto" w:before="193"/>
        <w:ind w:right="1130" w:firstLine="360"/>
        <w:jc w:val="both"/>
      </w:pPr>
      <w:r>
        <w:rPr>
          <w:rFonts w:ascii="宋体" w:hAnsi="宋体" w:cs="宋体" w:eastAsia="宋体" w:hint="default"/>
        </w:rPr>
        <w:t>2013</w:t>
      </w:r>
      <w:r>
        <w:rPr>
          <w:rFonts w:ascii="宋体" w:hAnsi="宋体" w:cs="宋体" w:eastAsia="宋体" w:hint="default"/>
          <w:spacing w:val="-41"/>
        </w:rPr>
        <w:t> </w:t>
      </w:r>
      <w:r>
        <w:rPr/>
        <w:t>年</w:t>
      </w:r>
      <w:r>
        <w:rPr>
          <w:spacing w:val="-41"/>
        </w:rPr>
        <w:t> </w:t>
      </w:r>
      <w:r>
        <w:rPr>
          <w:rFonts w:ascii="宋体" w:hAnsi="宋体" w:cs="宋体" w:eastAsia="宋体" w:hint="default"/>
        </w:rPr>
        <w:t>1</w:t>
      </w:r>
      <w:r>
        <w:rPr>
          <w:rFonts w:ascii="宋体" w:hAnsi="宋体" w:cs="宋体" w:eastAsia="宋体" w:hint="default"/>
          <w:spacing w:val="-40"/>
        </w:rPr>
        <w:t> </w:t>
      </w:r>
      <w:r>
        <w:rPr/>
        <w:t>月</w:t>
      </w:r>
      <w:r>
        <w:rPr>
          <w:spacing w:val="-41"/>
        </w:rPr>
        <w:t> </w:t>
      </w:r>
      <w:r>
        <w:rPr>
          <w:rFonts w:ascii="宋体" w:hAnsi="宋体" w:cs="宋体" w:eastAsia="宋体" w:hint="default"/>
        </w:rPr>
        <w:t>8</w:t>
      </w:r>
      <w:r>
        <w:rPr>
          <w:rFonts w:ascii="宋体" w:hAnsi="宋体" w:cs="宋体" w:eastAsia="宋体" w:hint="default"/>
          <w:spacing w:val="-41"/>
        </w:rPr>
        <w:t> </w:t>
      </w:r>
      <w:r>
        <w:rPr/>
        <w:t>日公司与西安华西信息智能工程有限公司、深圳市西秦商贸有限公司签署 的《股权转让协议》中有关“三、业绩承诺与补偿 ”条款约定西安华西 </w:t>
      </w:r>
      <w:r>
        <w:rPr>
          <w:rFonts w:ascii="宋体" w:hAnsi="宋体" w:cs="宋体" w:eastAsia="宋体" w:hint="default"/>
        </w:rPr>
        <w:t>2014</w:t>
      </w:r>
      <w:r>
        <w:rPr>
          <w:rFonts w:ascii="宋体" w:hAnsi="宋体" w:cs="宋体" w:eastAsia="宋体" w:hint="default"/>
          <w:spacing w:val="-82"/>
        </w:rPr>
        <w:t> </w:t>
      </w:r>
      <w:r>
        <w:rPr/>
        <w:t>年经审计的净 利润不低于 </w:t>
      </w:r>
      <w:r>
        <w:rPr>
          <w:rFonts w:ascii="宋体" w:hAnsi="宋体" w:cs="宋体" w:eastAsia="宋体" w:hint="default"/>
        </w:rPr>
        <w:t>1,728</w:t>
      </w:r>
      <w:r>
        <w:rPr>
          <w:rFonts w:ascii="宋体" w:hAnsi="宋体" w:cs="宋体" w:eastAsia="宋体" w:hint="default"/>
          <w:spacing w:val="-91"/>
        </w:rPr>
        <w:t> </w:t>
      </w:r>
      <w:r>
        <w:rPr>
          <w:spacing w:val="-7"/>
        </w:rPr>
        <w:t>万元净利润指税后净利润（以扣除非经常性损益前后较低值为准），经信永</w:t>
      </w:r>
    </w:p>
    <w:p>
      <w:pPr>
        <w:pStyle w:val="BodyText"/>
        <w:spacing w:line="240" w:lineRule="auto" w:before="36"/>
        <w:ind w:left="1134" w:right="0"/>
        <w:jc w:val="both"/>
      </w:pPr>
      <w:r>
        <w:rPr/>
        <w:t>中和会计师事务所（特殊普通合伙）于</w:t>
      </w:r>
      <w:r>
        <w:rPr>
          <w:spacing w:val="-45"/>
        </w:rPr>
        <w:t> </w:t>
      </w:r>
      <w:r>
        <w:rPr>
          <w:rFonts w:ascii="宋体" w:hAnsi="宋体" w:cs="宋体" w:eastAsia="宋体" w:hint="default"/>
        </w:rPr>
        <w:t>2015</w:t>
      </w:r>
      <w:r>
        <w:rPr>
          <w:rFonts w:ascii="宋体" w:hAnsi="宋体" w:cs="宋体" w:eastAsia="宋体" w:hint="default"/>
          <w:spacing w:val="-47"/>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22</w:t>
      </w:r>
      <w:r>
        <w:rPr>
          <w:rFonts w:ascii="宋体" w:hAnsi="宋体" w:cs="宋体" w:eastAsia="宋体" w:hint="default"/>
          <w:spacing w:val="-47"/>
        </w:rPr>
        <w:t> </w:t>
      </w:r>
      <w:r>
        <w:rPr/>
        <w:t>日出具的《</w:t>
      </w:r>
      <w:r>
        <w:rPr>
          <w:rFonts w:ascii="宋体" w:hAnsi="宋体" w:cs="宋体" w:eastAsia="宋体" w:hint="default"/>
        </w:rPr>
        <w:t>2014</w:t>
      </w:r>
      <w:r>
        <w:rPr>
          <w:rFonts w:ascii="宋体" w:hAnsi="宋体" w:cs="宋体" w:eastAsia="宋体" w:hint="default"/>
          <w:spacing w:val="-46"/>
        </w:rPr>
        <w:t> </w:t>
      </w:r>
      <w:r>
        <w:rPr/>
        <w:t>年度审计报告</w:t>
      </w:r>
      <w:r>
        <w:rPr>
          <w:spacing w:val="-120"/>
        </w:rPr>
        <w:t>》</w:t>
      </w:r>
      <w:r>
        <w:rPr/>
        <w:t>，西</w:t>
      </w:r>
    </w:p>
    <w:p>
      <w:pPr>
        <w:pStyle w:val="BodyText"/>
        <w:spacing w:line="240" w:lineRule="auto" w:before="154"/>
        <w:ind w:left="1134" w:right="0"/>
        <w:jc w:val="both"/>
      </w:pPr>
      <w:r>
        <w:rPr>
          <w:spacing w:val="21"/>
        </w:rPr>
        <w:t>安华西</w:t>
      </w:r>
      <w:r>
        <w:rPr>
          <w:spacing w:val="35"/>
        </w:rPr>
        <w:t> </w:t>
      </w:r>
      <w:r>
        <w:rPr>
          <w:rFonts w:ascii="宋体" w:hAnsi="宋体" w:cs="宋体" w:eastAsia="宋体" w:hint="default"/>
        </w:rPr>
        <w:t>2014</w:t>
      </w:r>
      <w:r>
        <w:rPr>
          <w:rFonts w:ascii="宋体" w:hAnsi="宋体" w:cs="宋体" w:eastAsia="宋体" w:hint="default"/>
          <w:spacing w:val="35"/>
        </w:rPr>
        <w:t> </w:t>
      </w:r>
      <w:r>
        <w:rPr>
          <w:spacing w:val="27"/>
        </w:rPr>
        <w:t>年度实现净利润</w:t>
      </w:r>
      <w:r>
        <w:rPr>
          <w:spacing w:val="35"/>
        </w:rPr>
        <w:t> </w:t>
      </w:r>
      <w:r>
        <w:rPr>
          <w:rFonts w:ascii="宋体" w:hAnsi="宋体" w:cs="宋体" w:eastAsia="宋体" w:hint="default"/>
        </w:rPr>
        <w:t>17,393,614.00</w:t>
      </w:r>
      <w:r>
        <w:rPr>
          <w:rFonts w:ascii="宋体" w:hAnsi="宋体" w:cs="宋体" w:eastAsia="宋体" w:hint="default"/>
          <w:spacing w:val="35"/>
        </w:rPr>
        <w:t> </w:t>
      </w:r>
      <w:r>
        <w:rPr>
          <w:spacing w:val="29"/>
        </w:rPr>
        <w:t>元，扣除非经常性损益后的净利</w:t>
      </w:r>
      <w:r>
        <w:rPr>
          <w:spacing w:val="-87"/>
        </w:rPr>
        <w:t> </w:t>
      </w:r>
      <w:r>
        <w:rPr/>
        <w:t>润</w:t>
      </w:r>
      <w:r>
        <w:rPr>
          <w:spacing w:val="-87"/>
        </w:rPr>
        <w:t> </w:t>
      </w:r>
      <w:r>
        <w:rPr/>
        <w:t>为</w:t>
      </w:r>
    </w:p>
    <w:p>
      <w:pPr>
        <w:pStyle w:val="BodyText"/>
        <w:spacing w:line="357" w:lineRule="auto" w:before="154"/>
        <w:ind w:right="1109"/>
        <w:jc w:val="both"/>
      </w:pPr>
      <w:r>
        <w:rPr>
          <w:rFonts w:ascii="宋体" w:hAnsi="宋体" w:cs="宋体" w:eastAsia="宋体" w:hint="default"/>
        </w:rPr>
        <w:t>16,831,338.66</w:t>
      </w:r>
      <w:r>
        <w:rPr>
          <w:rFonts w:ascii="宋体" w:hAnsi="宋体" w:cs="宋体" w:eastAsia="宋体" w:hint="default"/>
          <w:spacing w:val="-60"/>
        </w:rPr>
        <w:t> </w:t>
      </w:r>
      <w:r>
        <w:rPr/>
        <w:t>元。比</w:t>
      </w:r>
      <w:r>
        <w:rPr>
          <w:spacing w:val="-60"/>
        </w:rPr>
        <w:t> </w:t>
      </w:r>
      <w:r>
        <w:rPr>
          <w:rFonts w:ascii="宋体" w:hAnsi="宋体" w:cs="宋体" w:eastAsia="宋体" w:hint="default"/>
        </w:rPr>
        <w:t>2014</w:t>
      </w:r>
      <w:r>
        <w:rPr>
          <w:rFonts w:ascii="宋体" w:hAnsi="宋体" w:cs="宋体" w:eastAsia="宋体" w:hint="default"/>
          <w:spacing w:val="-60"/>
        </w:rPr>
        <w:t> </w:t>
      </w:r>
      <w:r>
        <w:rPr/>
        <w:t>年的业绩承诺值低</w:t>
      </w:r>
      <w:r>
        <w:rPr>
          <w:spacing w:val="-60"/>
        </w:rPr>
        <w:t> </w:t>
      </w:r>
      <w:r>
        <w:rPr>
          <w:rFonts w:ascii="宋体" w:hAnsi="宋体" w:cs="宋体" w:eastAsia="宋体" w:hint="default"/>
        </w:rPr>
        <w:t>448,661.34</w:t>
      </w:r>
      <w:r>
        <w:rPr>
          <w:rFonts w:ascii="宋体" w:hAnsi="宋体" w:cs="宋体" w:eastAsia="宋体" w:hint="default"/>
          <w:spacing w:val="-60"/>
        </w:rPr>
        <w:t> </w:t>
      </w:r>
      <w:r>
        <w:rPr/>
        <w:t>元，未达到</w:t>
      </w:r>
      <w:r>
        <w:rPr>
          <w:spacing w:val="-60"/>
        </w:rPr>
        <w:t> </w:t>
      </w:r>
      <w:r>
        <w:rPr>
          <w:rFonts w:ascii="宋体" w:hAnsi="宋体" w:cs="宋体" w:eastAsia="宋体" w:hint="default"/>
        </w:rPr>
        <w:t>2014</w:t>
      </w:r>
      <w:r>
        <w:rPr>
          <w:rFonts w:ascii="宋体" w:hAnsi="宋体" w:cs="宋体" w:eastAsia="宋体" w:hint="default"/>
          <w:spacing w:val="-60"/>
        </w:rPr>
        <w:t> </w:t>
      </w:r>
      <w:r>
        <w:rPr/>
        <w:t>年度承诺业绩。 根据协议约定的补偿相关条款 “若未实现 </w:t>
      </w:r>
      <w:r>
        <w:rPr>
          <w:rFonts w:ascii="宋体" w:hAnsi="宋体" w:cs="宋体" w:eastAsia="宋体" w:hint="default"/>
        </w:rPr>
        <w:t>2014</w:t>
      </w:r>
      <w:r>
        <w:rPr>
          <w:rFonts w:ascii="宋体" w:hAnsi="宋体" w:cs="宋体" w:eastAsia="宋体" w:hint="default"/>
          <w:spacing w:val="-82"/>
        </w:rPr>
        <w:t> </w:t>
      </w:r>
      <w:r>
        <w:rPr/>
        <w:t>年业绩承诺，标的公司实际控制人高峰夫妇 则需向股权收购方支付差额（承诺净利润与当年实际净利润之间的差）部分的等额现金作为 补偿；补偿款应由高峰夫妇自审计机构对标的公司年度财务报表出具正式的《审计报告》之 日起 </w:t>
      </w:r>
      <w:r>
        <w:rPr>
          <w:rFonts w:ascii="宋体" w:hAnsi="宋体" w:cs="宋体" w:eastAsia="宋体" w:hint="default"/>
        </w:rPr>
        <w:t>15</w:t>
      </w:r>
      <w:r>
        <w:rPr>
          <w:rFonts w:ascii="宋体" w:hAnsi="宋体" w:cs="宋体" w:eastAsia="宋体" w:hint="default"/>
          <w:spacing w:val="4"/>
        </w:rPr>
        <w:t> </w:t>
      </w:r>
      <w:r>
        <w:rPr/>
        <w:t>日内一次性支付给股权收购方；逾期未支付的，高峰夫妇应将其持有的标的公司股 权按净资产的价格转让等额补偿款对应的股权给股权收购方，股权收购方也可直接从质押股 </w:t>
      </w:r>
      <w:r>
        <w:rPr>
          <w:spacing w:val="-7"/>
        </w:rPr>
        <w:t>权中行使补偿款对应股权的质权”，业绩承诺方高峰、郭倩夫妻已于</w:t>
      </w:r>
      <w:r>
        <w:rPr>
          <w:spacing w:val="-58"/>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29</w:t>
      </w:r>
      <w:r>
        <w:rPr>
          <w:rFonts w:ascii="宋体" w:hAnsi="宋体" w:cs="宋体" w:eastAsia="宋体" w:hint="default"/>
          <w:spacing w:val="-59"/>
        </w:rPr>
        <w:t> </w:t>
      </w:r>
      <w:r>
        <w:rPr/>
        <w:t>日向公司</w:t>
      </w:r>
    </w:p>
    <w:p>
      <w:pPr>
        <w:pStyle w:val="BodyText"/>
        <w:spacing w:line="388" w:lineRule="auto" w:before="37"/>
        <w:ind w:right="3313"/>
        <w:jc w:val="left"/>
      </w:pPr>
      <w:r>
        <w:rPr/>
        <w:t>支付</w:t>
      </w:r>
      <w:r>
        <w:rPr>
          <w:spacing w:val="-60"/>
        </w:rPr>
        <w:t> </w:t>
      </w:r>
      <w:r>
        <w:rPr>
          <w:rFonts w:ascii="宋体" w:hAnsi="宋体" w:cs="宋体" w:eastAsia="宋体" w:hint="default"/>
        </w:rPr>
        <w:t>2014</w:t>
      </w:r>
      <w:r>
        <w:rPr>
          <w:rFonts w:ascii="宋体" w:hAnsi="宋体" w:cs="宋体" w:eastAsia="宋体" w:hint="default"/>
          <w:spacing w:val="-60"/>
        </w:rPr>
        <w:t> </w:t>
      </w:r>
      <w:r>
        <w:rPr/>
        <w:t>年度业绩承诺差额款</w:t>
      </w:r>
      <w:r>
        <w:rPr>
          <w:rFonts w:ascii="宋体" w:hAnsi="宋体" w:cs="宋体" w:eastAsia="宋体" w:hint="default"/>
          <w:b/>
          <w:bCs/>
        </w:rPr>
        <w:t>。</w:t>
      </w:r>
      <w:r>
        <w:rPr>
          <w:rFonts w:ascii="宋体" w:hAnsi="宋体" w:cs="宋体" w:eastAsia="宋体" w:hint="default"/>
          <w:b/>
          <w:bCs/>
          <w:w w:val="99"/>
        </w:rPr>
        <w:t> </w:t>
      </w:r>
      <w:r>
        <w:rPr/>
        <w:t>公司股东、交易对手方对公司或相关资产年度经营业绩作出的承诺情况</w:t>
      </w:r>
    </w:p>
    <w:p>
      <w:pPr>
        <w:spacing w:line="588" w:lineRule="auto" w:before="44"/>
        <w:ind w:left="1134" w:right="4446" w:firstLine="0"/>
        <w:jc w:val="left"/>
        <w:rPr>
          <w:rFonts w:ascii="宋体" w:hAnsi="宋体" w:cs="宋体" w:eastAsia="宋体" w:hint="default"/>
          <w:sz w:val="24"/>
          <w:szCs w:val="24"/>
        </w:rPr>
      </w:pPr>
      <w:r>
        <w:rPr>
          <w:rFonts w:ascii="宋体" w:hAnsi="宋体" w:cs="宋体" w:eastAsia="宋体" w:hint="default"/>
          <w:sz w:val="24"/>
          <w:szCs w:val="24"/>
        </w:rPr>
        <w:t>□适用 √不适用 </w:t>
      </w:r>
      <w:bookmarkStart w:name="三、控股股东及其关联方对上市公司的非经营性占用资金情况" w:id="64"/>
      <w:bookmarkEnd w:id="64"/>
      <w:r>
        <w:rPr>
          <w:rFonts w:ascii="宋体" w:hAnsi="宋体" w:cs="宋体" w:eastAsia="宋体" w:hint="default"/>
          <w:sz w:val="24"/>
          <w:szCs w:val="24"/>
        </w:rPr>
      </w:r>
      <w:r>
        <w:rPr>
          <w:rFonts w:ascii="宋体" w:hAnsi="宋体" w:cs="宋体" w:eastAsia="宋体" w:hint="default"/>
          <w:b/>
          <w:bCs/>
          <w:w w:val="95"/>
          <w:sz w:val="24"/>
          <w:szCs w:val="24"/>
        </w:rPr>
        <w:t>三、控股股东及其关联方对上市公司的非经营性占用资金情况</w:t>
      </w:r>
      <w:r>
        <w:rPr>
          <w:rFonts w:ascii="宋体" w:hAnsi="宋体" w:cs="宋体" w:eastAsia="宋体" w:hint="default"/>
          <w:sz w:val="24"/>
          <w:szCs w:val="24"/>
        </w:rPr>
      </w:r>
    </w:p>
    <w:p>
      <w:pPr>
        <w:pStyle w:val="BodyText"/>
        <w:tabs>
          <w:tab w:pos="2214" w:val="left" w:leader="none"/>
        </w:tabs>
        <w:spacing w:line="388" w:lineRule="auto" w:before="106"/>
        <w:ind w:left="1614" w:right="1132" w:hanging="480"/>
        <w:jc w:val="left"/>
      </w:pPr>
      <w:r>
        <w:rPr/>
        <w:t>□ 适用</w:t>
        <w:tab/>
        <w:t>√ 不适用 报告期内，公司不存在控股股东及其关联方对上市公司的非经营性占用资金的情况。具</w:t>
      </w:r>
    </w:p>
    <w:p>
      <w:pPr>
        <w:pStyle w:val="BodyText"/>
        <w:spacing w:line="240" w:lineRule="auto" w:before="5"/>
        <w:ind w:left="1134" w:right="0"/>
        <w:jc w:val="both"/>
      </w:pPr>
      <w:r>
        <w:rPr/>
        <w:t>体内容详见公司于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日在巨潮资讯网公告的《四川依米康环境科技股份有限公</w:t>
      </w:r>
    </w:p>
    <w:p>
      <w:pPr>
        <w:spacing w:line="588" w:lineRule="auto" w:before="154"/>
        <w:ind w:left="1133" w:right="1995" w:firstLine="0"/>
        <w:jc w:val="left"/>
        <w:rPr>
          <w:rFonts w:ascii="宋体" w:hAnsi="宋体" w:cs="宋体" w:eastAsia="宋体" w:hint="default"/>
          <w:sz w:val="24"/>
          <w:szCs w:val="24"/>
        </w:rPr>
      </w:pPr>
      <w:r>
        <w:rPr>
          <w:rFonts w:ascii="宋体" w:hAnsi="宋体" w:cs="宋体" w:eastAsia="宋体" w:hint="default"/>
          <w:sz w:val="24"/>
          <w:szCs w:val="24"/>
        </w:rPr>
        <w:t>司 </w:t>
      </w:r>
      <w:r>
        <w:rPr>
          <w:rFonts w:ascii="宋体" w:hAnsi="宋体" w:cs="宋体" w:eastAsia="宋体" w:hint="default"/>
          <w:sz w:val="24"/>
          <w:szCs w:val="24"/>
        </w:rPr>
        <w:t>2015</w:t>
      </w:r>
      <w:r>
        <w:rPr>
          <w:rFonts w:ascii="宋体" w:hAnsi="宋体" w:cs="宋体" w:eastAsia="宋体" w:hint="default"/>
          <w:spacing w:val="-95"/>
          <w:sz w:val="24"/>
          <w:szCs w:val="24"/>
        </w:rPr>
        <w:t> </w:t>
      </w:r>
      <w:r>
        <w:rPr>
          <w:rFonts w:ascii="宋体" w:hAnsi="宋体" w:cs="宋体" w:eastAsia="宋体" w:hint="default"/>
          <w:spacing w:val="-9"/>
          <w:sz w:val="24"/>
          <w:szCs w:val="24"/>
        </w:rPr>
        <w:t>年度控股股东及其关联方资金占用情况的专项说明》（</w:t>
      </w:r>
      <w:r>
        <w:rPr>
          <w:rFonts w:ascii="宋体" w:hAnsi="宋体" w:cs="宋体" w:eastAsia="宋体" w:hint="default"/>
          <w:spacing w:val="-9"/>
          <w:sz w:val="24"/>
          <w:szCs w:val="24"/>
        </w:rPr>
        <w:t>XYZH/2016CDA40072</w:t>
      </w:r>
      <w:r>
        <w:rPr>
          <w:rFonts w:ascii="宋体" w:hAnsi="宋体" w:cs="宋体" w:eastAsia="宋体" w:hint="default"/>
          <w:spacing w:val="-9"/>
          <w:sz w:val="24"/>
          <w:szCs w:val="24"/>
        </w:rPr>
        <w:t>）。</w:t>
      </w:r>
      <w:r>
        <w:rPr>
          <w:rFonts w:ascii="宋体" w:hAnsi="宋体" w:cs="宋体" w:eastAsia="宋体" w:hint="default"/>
          <w:spacing w:val="-120"/>
          <w:sz w:val="24"/>
          <w:szCs w:val="24"/>
        </w:rPr>
        <w:t> </w:t>
      </w:r>
      <w:bookmarkStart w:name="四、董事会对最近一期“非标准审计报告”相关情况的说明" w:id="65"/>
      <w:bookmarkEnd w:id="65"/>
      <w:r>
        <w:rPr>
          <w:rFonts w:ascii="宋体" w:hAnsi="宋体" w:cs="宋体" w:eastAsia="宋体" w:hint="default"/>
          <w:spacing w:val="-120"/>
          <w:sz w:val="24"/>
          <w:szCs w:val="24"/>
        </w:rPr>
      </w:r>
      <w:r>
        <w:rPr>
          <w:rFonts w:ascii="宋体" w:hAnsi="宋体" w:cs="宋体" w:eastAsia="宋体" w:hint="default"/>
          <w:b/>
          <w:bCs/>
          <w:sz w:val="24"/>
          <w:szCs w:val="24"/>
        </w:rPr>
        <w:t>四、董事会对最近一期“非标准审计报告”相关情况的说明</w:t>
      </w:r>
      <w:r>
        <w:rPr>
          <w:rFonts w:ascii="宋体" w:hAnsi="宋体" w:cs="宋体" w:eastAsia="宋体" w:hint="default"/>
          <w:sz w:val="24"/>
          <w:szCs w:val="24"/>
        </w:rPr>
      </w:r>
    </w:p>
    <w:p>
      <w:pPr>
        <w:pStyle w:val="BodyText"/>
        <w:spacing w:line="240" w:lineRule="auto" w:before="107"/>
        <w:ind w:right="0"/>
        <w:jc w:val="both"/>
      </w:pPr>
      <w:r>
        <w:rPr/>
        <w:t>□ 适用 √ 不适用</w:t>
      </w:r>
    </w:p>
    <w:p>
      <w:pPr>
        <w:spacing w:after="0" w:line="240" w:lineRule="auto"/>
        <w:jc w:val="both"/>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3"/>
        <w:spacing w:line="357" w:lineRule="auto" w:before="26"/>
        <w:ind w:left="1133" w:right="1421"/>
        <w:jc w:val="left"/>
        <w:rPr>
          <w:b w:val="0"/>
          <w:bCs w:val="0"/>
        </w:rPr>
      </w:pPr>
      <w:bookmarkStart w:name="五、董事会、监事会、独立董事（如有）对会计师事务所本报告期“非标准审计报告”的说" w:id="66"/>
      <w:bookmarkEnd w:id="66"/>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11"/>
        <w:rPr>
          <w:rFonts w:ascii="宋体" w:hAnsi="宋体" w:cs="宋体" w:eastAsia="宋体" w:hint="default"/>
          <w:b/>
          <w:bCs/>
          <w:sz w:val="25"/>
          <w:szCs w:val="25"/>
        </w:rPr>
      </w:pPr>
    </w:p>
    <w:p>
      <w:pPr>
        <w:spacing w:line="585" w:lineRule="auto" w:before="0"/>
        <w:ind w:left="1255" w:right="2113" w:hanging="122"/>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六、董事会关于报告期会计政策、会计估计变更或重大会计差错更正的说明" w:id="67"/>
      <w:bookmarkEnd w:id="67"/>
      <w:r>
        <w:rPr>
          <w:rFonts w:ascii="宋体" w:hAnsi="宋体" w:cs="宋体" w:eastAsia="宋体" w:hint="default"/>
          <w:sz w:val="24"/>
          <w:szCs w:val="24"/>
        </w:rPr>
      </w:r>
      <w:r>
        <w:rPr>
          <w:rFonts w:ascii="宋体" w:hAnsi="宋体" w:cs="宋体" w:eastAsia="宋体" w:hint="default"/>
          <w:b/>
          <w:bCs/>
          <w:w w:val="95"/>
          <w:sz w:val="24"/>
          <w:szCs w:val="24"/>
        </w:rPr>
        <w:t>六、董事会关于报告期会计政策、会计估计变更或重大会计差错更正的说明</w:t>
      </w:r>
      <w:r>
        <w:rPr>
          <w:rFonts w:ascii="宋体" w:hAnsi="宋体" w:cs="宋体" w:eastAsia="宋体" w:hint="default"/>
          <w:sz w:val="24"/>
          <w:szCs w:val="24"/>
        </w:rPr>
      </w:r>
    </w:p>
    <w:p>
      <w:pPr>
        <w:spacing w:line="525" w:lineRule="auto" w:before="109"/>
        <w:ind w:left="1134" w:right="331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七、与上年度财务报告相比，合并报表范围发生变化的情况说明" w:id="68"/>
      <w:bookmarkEnd w:id="68"/>
      <w:r>
        <w:rPr>
          <w:rFonts w:ascii="宋体" w:hAnsi="宋体" w:cs="宋体" w:eastAsia="宋体" w:hint="default"/>
          <w:sz w:val="24"/>
          <w:szCs w:val="24"/>
        </w:rPr>
      </w:r>
      <w:r>
        <w:rPr>
          <w:rFonts w:ascii="宋体" w:hAnsi="宋体" w:cs="宋体" w:eastAsia="宋体" w:hint="default"/>
          <w:b/>
          <w:bCs/>
          <w:w w:val="95"/>
          <w:sz w:val="24"/>
          <w:szCs w:val="24"/>
        </w:rPr>
        <w:t>七、与上年度财务报告相比，合并报表范围发生变化的情况说明</w:t>
      </w:r>
      <w:r>
        <w:rPr>
          <w:rFonts w:ascii="宋体" w:hAnsi="宋体" w:cs="宋体" w:eastAsia="宋体" w:hint="default"/>
          <w:sz w:val="24"/>
          <w:szCs w:val="24"/>
        </w:rPr>
      </w:r>
    </w:p>
    <w:p>
      <w:pPr>
        <w:pStyle w:val="BodyText"/>
        <w:spacing w:line="328" w:lineRule="auto" w:before="13"/>
        <w:ind w:left="1614" w:right="1033" w:hanging="480"/>
        <w:jc w:val="left"/>
      </w:pPr>
      <w:r>
        <w:rPr/>
        <w:t>√适用 □ 不适用 报告期内，公司完成发行股份购买江苏亿金环保的重大资产重组，江苏亿金环保成为公</w:t>
      </w:r>
    </w:p>
    <w:p>
      <w:pPr>
        <w:pStyle w:val="BodyText"/>
        <w:spacing w:line="357" w:lineRule="auto" w:before="65"/>
        <w:ind w:right="1116"/>
        <w:jc w:val="left"/>
      </w:pPr>
      <w:r>
        <w:rPr>
          <w:spacing w:val="-5"/>
        </w:rPr>
        <w:t>司控股子公司，与上年度的财务报告相比自</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月起将江苏亿金环保的全部财务报表均 纳入合并范围。</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spacing w:line="530" w:lineRule="auto" w:before="0"/>
        <w:ind w:left="1133" w:right="5472" w:firstLine="0"/>
        <w:jc w:val="left"/>
        <w:rPr>
          <w:rFonts w:ascii="宋体" w:hAnsi="宋体" w:cs="宋体" w:eastAsia="宋体" w:hint="default"/>
          <w:sz w:val="24"/>
          <w:szCs w:val="24"/>
        </w:rPr>
      </w:pPr>
      <w:r>
        <w:rPr/>
        <w:pict>
          <v:shape style="position:absolute;margin-left:56.459999pt;margin-top:57.955639pt;width:479.2pt;height:176.9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sz w:val="21"/>
                          </w:rPr>
                          <w:t>64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sz w:val="21"/>
                          </w:rPr>
                          <w:t>9</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李夕甫、王莉</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境外会计师事务所报酬（万元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如</w:t>
                        </w:r>
                        <w:r>
                          <w:rPr>
                            <w:rFonts w:ascii="宋体" w:hAnsi="宋体" w:cs="宋体" w:eastAsia="宋体" w:hint="default"/>
                            <w:sz w:val="21"/>
                            <w:szCs w:val="21"/>
                          </w:rPr>
                          <w:t>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sz w:val="21"/>
                          </w:rPr>
                          <w:t>0</w:t>
                        </w:r>
                      </w:p>
                    </w:tc>
                  </w:tr>
                  <w:tr>
                    <w:trPr>
                      <w:trHeight w:val="71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88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6"/>
                          <w:ind w:left="22" w:right="-46"/>
                          <w:jc w:val="left"/>
                          <w:rPr>
                            <w:rFonts w:ascii="宋体" w:hAnsi="宋体" w:cs="宋体" w:eastAsia="宋体" w:hint="default"/>
                            <w:sz w:val="21"/>
                            <w:szCs w:val="21"/>
                          </w:rPr>
                        </w:pPr>
                        <w:r>
                          <w:rPr>
                            <w:rFonts w:ascii="宋体" w:hAnsi="宋体" w:cs="宋体" w:eastAsia="宋体" w:hint="default"/>
                            <w:spacing w:val="-6"/>
                            <w:sz w:val="21"/>
                            <w:szCs w:val="21"/>
                          </w:rPr>
                          <w:t>境外会计师事务所注册会计师姓名（如有）</w:t>
                        </w:r>
                        <w:r>
                          <w:rPr>
                            <w:rFonts w:ascii="宋体" w:hAnsi="宋体" w:cs="宋体" w:eastAsia="宋体" w:hint="default"/>
                            <w:sz w:val="21"/>
                            <w:szCs w:val="21"/>
                          </w:rPr>
                        </w:r>
                      </w:p>
                    </w:tc>
                    <w:tc>
                      <w:tcPr>
                        <w:tcW w:w="568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bookmarkStart w:name="八、聘任、解聘会计师事务所情况" w:id="69"/>
      <w:bookmarkEnd w:id="69"/>
      <w:r>
        <w:rPr/>
      </w:r>
      <w:r>
        <w:rPr>
          <w:rFonts w:ascii="宋体" w:hAnsi="宋体" w:cs="宋体" w:eastAsia="宋体" w:hint="default"/>
          <w:b/>
          <w:bCs/>
          <w:w w:val="95"/>
          <w:sz w:val="24"/>
          <w:szCs w:val="24"/>
        </w:rPr>
        <w:t>八、聘任、解聘会计师事务所情况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4"/>
          <w:szCs w:val="24"/>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392" w:lineRule="exact"/>
        <w:ind w:left="50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81.3pt;height:19.650pt;mso-position-horizontal-relative:char;mso-position-vertical-relative:line" coordorigin="0,0" coordsize="5626,393">
            <v:group style="position:absolute;left:0;top:0;width:5626;height:393" coordorigin="0,0" coordsize="5626,393">
              <v:shape style="position:absolute;left:0;top:0;width:5626;height:393" coordorigin="0,0" coordsize="5626,393" path="m0,392l5626,392,5626,0,0,0,0,392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3"/>
        <w:spacing w:line="240" w:lineRule="auto" w:before="26"/>
        <w:ind w:right="1033"/>
        <w:jc w:val="left"/>
        <w:rPr>
          <w:b w:val="0"/>
          <w:bCs w:val="0"/>
        </w:rPr>
      </w:pPr>
      <w:r>
        <w:rPr/>
        <w:t>是否改聘会计师事务所</w:t>
      </w:r>
      <w:r>
        <w:rPr>
          <w:b w:val="0"/>
          <w:bCs w:val="0"/>
        </w:rPr>
      </w:r>
    </w:p>
    <w:p>
      <w:pPr>
        <w:spacing w:line="388" w:lineRule="auto" w:before="194"/>
        <w:ind w:left="1134" w:right="4446" w:firstLine="0"/>
        <w:jc w:val="left"/>
        <w:rPr>
          <w:rFonts w:ascii="宋体" w:hAnsi="宋体" w:cs="宋体" w:eastAsia="宋体" w:hint="default"/>
          <w:sz w:val="24"/>
          <w:szCs w:val="24"/>
        </w:rPr>
      </w:pPr>
      <w:r>
        <w:rPr>
          <w:rFonts w:ascii="宋体" w:hAnsi="宋体" w:cs="宋体" w:eastAsia="宋体" w:hint="default"/>
          <w:sz w:val="24"/>
          <w:szCs w:val="24"/>
        </w:rPr>
        <w:t>□ 是 √否 </w:t>
      </w:r>
      <w:r>
        <w:rPr>
          <w:rFonts w:ascii="宋体" w:hAnsi="宋体" w:cs="宋体" w:eastAsia="宋体" w:hint="default"/>
          <w:b/>
          <w:bCs/>
          <w:w w:val="95"/>
          <w:sz w:val="24"/>
          <w:szCs w:val="24"/>
        </w:rPr>
        <w:t>聘请内部控制审计会计师事务所、财务顾问或保荐人情况</w:t>
      </w:r>
      <w:r>
        <w:rPr>
          <w:rFonts w:ascii="宋体" w:hAnsi="宋体" w:cs="宋体" w:eastAsia="宋体" w:hint="default"/>
          <w:sz w:val="24"/>
          <w:szCs w:val="24"/>
        </w:rPr>
      </w:r>
    </w:p>
    <w:p>
      <w:pPr>
        <w:pStyle w:val="BodyText"/>
        <w:spacing w:line="240" w:lineRule="auto" w:before="5"/>
        <w:ind w:right="1033"/>
        <w:jc w:val="left"/>
      </w:pPr>
      <w:r>
        <w:rPr/>
        <w:t>□适用√不适用</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3"/>
        <w:spacing w:line="240" w:lineRule="auto" w:before="26"/>
        <w:ind w:left="1255" w:right="1033"/>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10"/>
        <w:rPr>
          <w:rFonts w:ascii="宋体" w:hAnsi="宋体" w:cs="宋体" w:eastAsia="宋体" w:hint="default"/>
          <w:b/>
          <w:bCs/>
          <w:sz w:val="28"/>
          <w:szCs w:val="28"/>
        </w:rPr>
      </w:pPr>
    </w:p>
    <w:p>
      <w:pPr>
        <w:spacing w:line="528" w:lineRule="auto" w:before="0"/>
        <w:ind w:left="1255" w:right="8113" w:hanging="122"/>
        <w:jc w:val="left"/>
        <w:rPr>
          <w:rFonts w:ascii="宋体" w:hAnsi="宋体" w:cs="宋体" w:eastAsia="宋体" w:hint="default"/>
          <w:sz w:val="24"/>
          <w:szCs w:val="24"/>
        </w:rPr>
      </w:pPr>
      <w:r>
        <w:rPr>
          <w:rFonts w:ascii="宋体" w:hAnsi="宋体" w:cs="宋体" w:eastAsia="宋体" w:hint="default"/>
          <w:sz w:val="24"/>
          <w:szCs w:val="24"/>
        </w:rPr>
        <w:t>□ 适用 √不适用 </w:t>
      </w:r>
      <w:bookmarkStart w:name="十、破产重整相关事项" w:id="71"/>
      <w:bookmarkEnd w:id="71"/>
      <w:r>
        <w:rPr>
          <w:rFonts w:ascii="宋体" w:hAnsi="宋体" w:cs="宋体" w:eastAsia="宋体" w:hint="default"/>
          <w:sz w:val="24"/>
          <w:szCs w:val="24"/>
        </w:rPr>
      </w:r>
      <w:r>
        <w:rPr>
          <w:rFonts w:ascii="宋体" w:hAnsi="宋体" w:cs="宋体" w:eastAsia="宋体" w:hint="default"/>
          <w:b/>
          <w:bCs/>
          <w:w w:val="95"/>
          <w:sz w:val="24"/>
          <w:szCs w:val="24"/>
        </w:rPr>
        <w:t>十、破产重整相关事项</w:t>
      </w:r>
      <w:r>
        <w:rPr>
          <w:rFonts w:ascii="宋体" w:hAnsi="宋体" w:cs="宋体" w:eastAsia="宋体" w:hint="default"/>
          <w:sz w:val="24"/>
          <w:szCs w:val="24"/>
        </w:rPr>
      </w:r>
    </w:p>
    <w:p>
      <w:pPr>
        <w:spacing w:line="528" w:lineRule="auto" w:before="88"/>
        <w:ind w:left="1134" w:right="6486" w:firstLine="0"/>
        <w:jc w:val="left"/>
        <w:rPr>
          <w:rFonts w:ascii="宋体" w:hAnsi="宋体" w:cs="宋体" w:eastAsia="宋体" w:hint="default"/>
          <w:sz w:val="24"/>
          <w:szCs w:val="24"/>
        </w:rPr>
      </w:pPr>
      <w:r>
        <w:rPr>
          <w:rFonts w:ascii="宋体" w:hAnsi="宋体" w:cs="宋体" w:eastAsia="宋体" w:hint="default"/>
          <w:sz w:val="24"/>
          <w:szCs w:val="24"/>
        </w:rPr>
        <w:t>□ 适用 √不适用 </w:t>
      </w:r>
      <w:bookmarkStart w:name="十一、重大诉讼、仲裁事项" w:id="72"/>
      <w:bookmarkEnd w:id="72"/>
      <w:r>
        <w:rPr>
          <w:rFonts w:ascii="宋体" w:hAnsi="宋体" w:cs="宋体" w:eastAsia="宋体" w:hint="default"/>
          <w:sz w:val="24"/>
          <w:szCs w:val="24"/>
        </w:rPr>
      </w:r>
      <w:r>
        <w:rPr>
          <w:rFonts w:ascii="宋体" w:hAnsi="宋体" w:cs="宋体" w:eastAsia="宋体" w:hint="default"/>
          <w:b/>
          <w:bCs/>
          <w:w w:val="95"/>
          <w:sz w:val="24"/>
          <w:szCs w:val="24"/>
        </w:rPr>
        <w:t>十一、重大诉讼、仲裁事项</w:t>
      </w:r>
      <w:r>
        <w:rPr>
          <w:rFonts w:ascii="宋体" w:hAnsi="宋体" w:cs="宋体" w:eastAsia="宋体" w:hint="default"/>
          <w:sz w:val="24"/>
          <w:szCs w:val="24"/>
        </w:rPr>
      </w:r>
    </w:p>
    <w:p>
      <w:pPr>
        <w:pStyle w:val="BodyText"/>
        <w:spacing w:line="388" w:lineRule="auto" w:before="167"/>
        <w:ind w:left="1134" w:right="6672"/>
        <w:jc w:val="left"/>
      </w:pPr>
      <w:r>
        <w:rPr/>
        <w:t>□ 适用 √不适用 本报告期公司无重大诉讼、仲裁事项。</w:t>
      </w:r>
    </w:p>
    <w:p>
      <w:pPr>
        <w:spacing w:line="240" w:lineRule="auto" w:before="4"/>
        <w:rPr>
          <w:rFonts w:ascii="宋体" w:hAnsi="宋体" w:cs="宋体" w:eastAsia="宋体" w:hint="default"/>
          <w:sz w:val="23"/>
          <w:szCs w:val="23"/>
        </w:rPr>
      </w:pPr>
    </w:p>
    <w:p>
      <w:pPr>
        <w:pStyle w:val="Heading3"/>
        <w:spacing w:line="240" w:lineRule="auto"/>
        <w:ind w:right="1033"/>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9"/>
        <w:rPr>
          <w:rFonts w:ascii="宋体" w:hAnsi="宋体" w:cs="宋体" w:eastAsia="宋体" w:hint="default"/>
          <w:b/>
          <w:bCs/>
          <w:sz w:val="34"/>
          <w:szCs w:val="34"/>
        </w:rPr>
      </w:pPr>
    </w:p>
    <w:p>
      <w:pPr>
        <w:pStyle w:val="BodyText"/>
        <w:tabs>
          <w:tab w:pos="2094" w:val="left" w:leader="none"/>
        </w:tabs>
        <w:spacing w:line="374" w:lineRule="auto"/>
        <w:ind w:right="1138"/>
        <w:jc w:val="left"/>
      </w:pPr>
      <w:r>
        <w:rPr/>
        <w:t>√适用</w:t>
        <w:tab/>
        <w:t>□ 不适用 报告期内，除公司实际控制人因违规减持公司股票受到中国证监会行政处罚外，不存在其他</w:t>
      </w:r>
      <w:r>
        <w:rPr>
          <w:spacing w:val="-116"/>
        </w:rPr>
        <w:t> </w:t>
      </w:r>
      <w:r>
        <w:rPr>
          <w:spacing w:val="-116"/>
        </w:rPr>
      </w:r>
      <w:r>
        <w:rPr/>
        <w:t>处罚事项。具体情况如下：</w:t>
      </w:r>
    </w:p>
    <w:tbl>
      <w:tblPr>
        <w:tblW w:w="0" w:type="auto"/>
        <w:jc w:val="left"/>
        <w:tblInd w:w="1129" w:type="dxa"/>
        <w:tblLayout w:type="fixed"/>
        <w:tblCellMar>
          <w:top w:w="0" w:type="dxa"/>
          <w:left w:w="0" w:type="dxa"/>
          <w:bottom w:w="0" w:type="dxa"/>
          <w:right w:w="0" w:type="dxa"/>
        </w:tblCellMar>
        <w:tblLook w:val="01E0"/>
      </w:tblPr>
      <w:tblGrid>
        <w:gridCol w:w="993"/>
        <w:gridCol w:w="709"/>
        <w:gridCol w:w="992"/>
        <w:gridCol w:w="1134"/>
        <w:gridCol w:w="1417"/>
        <w:gridCol w:w="1559"/>
        <w:gridCol w:w="2768"/>
      </w:tblGrid>
      <w:tr>
        <w:trPr>
          <w:trHeight w:val="709"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86" w:right="122" w:hanging="263"/>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w:t>
            </w:r>
            <w:r>
              <w:rPr>
                <w:rFonts w:ascii="宋体" w:hAnsi="宋体" w:cs="宋体" w:eastAsia="宋体" w:hint="default"/>
                <w:sz w:val="21"/>
                <w:szCs w:val="21"/>
              </w:rPr>
              <w:t>姓 名</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55" w:right="36" w:hanging="420"/>
              <w:jc w:val="left"/>
              <w:rPr>
                <w:rFonts w:ascii="宋体" w:hAnsi="宋体" w:cs="宋体" w:eastAsia="宋体" w:hint="default"/>
                <w:sz w:val="21"/>
                <w:szCs w:val="21"/>
              </w:rPr>
            </w:pPr>
            <w:r>
              <w:rPr>
                <w:rFonts w:ascii="宋体" w:hAnsi="宋体" w:cs="宋体" w:eastAsia="宋体" w:hint="default"/>
                <w:sz w:val="21"/>
                <w:szCs w:val="21"/>
              </w:rPr>
              <w:t>调查处罚类 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结论（如有）</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1655" w:hRule="exact"/>
        </w:trPr>
        <w:tc>
          <w:tcPr>
            <w:tcW w:w="993"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73" w:lineRule="auto"/>
              <w:ind w:left="22" w:right="120"/>
              <w:jc w:val="left"/>
              <w:rPr>
                <w:rFonts w:ascii="宋体" w:hAnsi="宋体" w:cs="宋体" w:eastAsia="宋体" w:hint="default"/>
                <w:sz w:val="21"/>
                <w:szCs w:val="21"/>
              </w:rPr>
            </w:pPr>
            <w:r>
              <w:rPr>
                <w:rFonts w:ascii="宋体" w:hAnsi="宋体" w:cs="宋体" w:eastAsia="宋体" w:hint="default"/>
                <w:sz w:val="21"/>
                <w:szCs w:val="21"/>
              </w:rPr>
              <w:t>孙屹峥、 张菀</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83" w:lineRule="auto"/>
              <w:ind w:left="23" w:right="43"/>
              <w:jc w:val="left"/>
              <w:rPr>
                <w:rFonts w:ascii="宋体" w:hAnsi="宋体" w:cs="宋体" w:eastAsia="宋体" w:hint="default"/>
                <w:sz w:val="21"/>
                <w:szCs w:val="21"/>
              </w:rPr>
            </w:pPr>
            <w:r>
              <w:rPr>
                <w:rFonts w:ascii="宋体" w:hAnsi="宋体" w:cs="宋体" w:eastAsia="宋体" w:hint="default"/>
                <w:sz w:val="21"/>
                <w:szCs w:val="21"/>
              </w:rPr>
              <w:t>实际控 制人 实际控 制人</w:t>
            </w:r>
          </w:p>
        </w:tc>
        <w:tc>
          <w:tcPr>
            <w:tcW w:w="992"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违规减持 公司股票</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73" w:lineRule="auto"/>
              <w:ind w:left="22" w:right="51"/>
              <w:jc w:val="both"/>
              <w:rPr>
                <w:rFonts w:ascii="宋体" w:hAnsi="宋体" w:cs="宋体" w:eastAsia="宋体" w:hint="default"/>
                <w:sz w:val="21"/>
                <w:szCs w:val="21"/>
              </w:rPr>
            </w:pPr>
            <w:r>
              <w:rPr>
                <w:rFonts w:ascii="宋体" w:hAnsi="宋体" w:cs="宋体" w:eastAsia="宋体" w:hint="default"/>
                <w:sz w:val="21"/>
                <w:szCs w:val="21"/>
              </w:rPr>
              <w:t>被中国证监 会立案调查 或行政处罚</w:t>
            </w:r>
          </w:p>
        </w:tc>
        <w:tc>
          <w:tcPr>
            <w:tcW w:w="1417"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22" w:right="23"/>
              <w:jc w:val="left"/>
              <w:rPr>
                <w:rFonts w:ascii="宋体" w:hAnsi="宋体" w:cs="宋体" w:eastAsia="宋体" w:hint="default"/>
                <w:sz w:val="21"/>
                <w:szCs w:val="21"/>
              </w:rPr>
            </w:pPr>
            <w:r>
              <w:rPr>
                <w:rFonts w:ascii="宋体" w:hAnsi="宋体" w:cs="宋体" w:eastAsia="宋体" w:hint="default"/>
                <w:sz w:val="21"/>
                <w:szCs w:val="21"/>
              </w:rPr>
              <w:t>《行政处罚事 </w:t>
            </w:r>
            <w:r>
              <w:rPr>
                <w:rFonts w:ascii="宋体" w:hAnsi="宋体" w:cs="宋体" w:eastAsia="宋体" w:hint="default"/>
                <w:spacing w:val="-16"/>
                <w:sz w:val="21"/>
                <w:szCs w:val="21"/>
              </w:rPr>
              <w:t>先告知书》（处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罚字【</w:t>
            </w:r>
            <w:r>
              <w:rPr>
                <w:rFonts w:ascii="宋体" w:hAnsi="宋体" w:cs="宋体" w:eastAsia="宋体" w:hint="default"/>
                <w:sz w:val="21"/>
                <w:szCs w:val="21"/>
              </w:rPr>
              <w:t>2015</w:t>
            </w:r>
            <w:r>
              <w:rPr>
                <w:rFonts w:ascii="宋体" w:hAnsi="宋体" w:cs="宋体" w:eastAsia="宋体" w:hint="default"/>
                <w:sz w:val="21"/>
                <w:szCs w:val="21"/>
              </w:rPr>
              <w:t>】 </w:t>
            </w:r>
            <w:r>
              <w:rPr>
                <w:rFonts w:ascii="宋体" w:hAnsi="宋体" w:cs="宋体" w:eastAsia="宋体" w:hint="default"/>
                <w:sz w:val="21"/>
                <w:szCs w:val="21"/>
              </w:rPr>
              <w:t>54</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7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30"/>
              <w:ind w:left="22" w:right="22"/>
              <w:jc w:val="left"/>
              <w:rPr>
                <w:rFonts w:ascii="宋体" w:hAnsi="宋体" w:cs="宋体" w:eastAsia="宋体" w:hint="default"/>
                <w:sz w:val="21"/>
                <w:szCs w:val="21"/>
              </w:rPr>
            </w:pPr>
            <w:r>
              <w:rPr>
                <w:rFonts w:ascii="宋体" w:hAnsi="宋体" w:cs="宋体" w:eastAsia="宋体" w:hint="default"/>
                <w:spacing w:val="-2"/>
                <w:sz w:val="21"/>
                <w:szCs w:val="21"/>
              </w:rPr>
              <w:t>巨潮资讯网披露《关于公司控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股股东及实际控制人收到中 国证券监督管理委员会调查 </w:t>
            </w:r>
            <w:r>
              <w:rPr>
                <w:rFonts w:ascii="宋体" w:hAnsi="宋体" w:cs="宋体" w:eastAsia="宋体" w:hint="default"/>
                <w:spacing w:val="-9"/>
                <w:sz w:val="21"/>
                <w:szCs w:val="21"/>
              </w:rPr>
              <w:t>通知书的公告》（公告编号：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2015067</w:t>
            </w:r>
            <w:r>
              <w:rPr>
                <w:rFonts w:ascii="宋体" w:hAnsi="宋体" w:cs="宋体" w:eastAsia="宋体" w:hint="default"/>
                <w:sz w:val="21"/>
                <w:szCs w:val="21"/>
              </w:rPr>
              <w:t>）</w:t>
            </w:r>
          </w:p>
        </w:tc>
      </w:tr>
      <w:tr>
        <w:trPr>
          <w:trHeight w:val="1650" w:hRule="exact"/>
        </w:trPr>
        <w:tc>
          <w:tcPr>
            <w:tcW w:w="993" w:type="dxa"/>
            <w:vMerge/>
            <w:tcBorders>
              <w:left w:val="single" w:sz="4" w:space="0" w:color="000000"/>
              <w:bottom w:val="single" w:sz="4" w:space="0" w:color="000000"/>
              <w:right w:val="single" w:sz="4" w:space="0" w:color="000000"/>
            </w:tcBorders>
            <w:shd w:val="clear" w:color="auto" w:fill="CCE8CF"/>
          </w:tcPr>
          <w:p>
            <w:pPr/>
          </w:p>
        </w:tc>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shd w:val="clear" w:color="auto" w:fill="CCE8CF"/>
          </w:tcPr>
          <w:p>
            <w:pPr/>
          </w:p>
        </w:tc>
        <w:tc>
          <w:tcPr>
            <w:tcW w:w="1134"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shd w:val="clear" w:color="auto" w:fill="CCE8CF"/>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04</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7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2"/>
                <w:sz w:val="21"/>
                <w:szCs w:val="21"/>
              </w:rPr>
              <w:t>巨潮资讯网披露《关于公司控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股股东及实际控制人收到中 国证券监督管理委员会行政 </w:t>
            </w:r>
            <w:r>
              <w:rPr>
                <w:rFonts w:ascii="宋体" w:hAnsi="宋体" w:cs="宋体" w:eastAsia="宋体" w:hint="default"/>
                <w:spacing w:val="-9"/>
                <w:sz w:val="21"/>
                <w:szCs w:val="21"/>
              </w:rPr>
              <w:t>处罚决定书》（公告编号：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2015092</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pStyle w:val="Heading3"/>
        <w:spacing w:line="240" w:lineRule="auto" w:before="190"/>
        <w:ind w:right="1033"/>
        <w:jc w:val="left"/>
        <w:rPr>
          <w:b w:val="0"/>
          <w:bCs w:val="0"/>
        </w:rPr>
      </w:pPr>
      <w:r>
        <w:rPr/>
        <w:t>整改情况说明</w:t>
      </w:r>
      <w:r>
        <w:rPr>
          <w:b w:val="0"/>
          <w:bCs w:val="0"/>
        </w:rPr>
      </w:r>
    </w:p>
    <w:p>
      <w:pPr>
        <w:pStyle w:val="BodyText"/>
        <w:spacing w:line="374" w:lineRule="auto" w:before="193"/>
        <w:ind w:left="1134" w:right="1033"/>
        <w:jc w:val="left"/>
      </w:pPr>
      <w:r>
        <w:rPr/>
        <w:t>√ 适用 □ 不适用 公司实际控制人孙屹峥先生、张菀女士在公司分别任职董事长、董事总经理职务，报告期内 因违规减持公司股票，受到中国证监会的行政处罚。具体情况如下：</w:t>
      </w:r>
    </w:p>
    <w:tbl>
      <w:tblPr>
        <w:tblW w:w="0" w:type="auto"/>
        <w:jc w:val="left"/>
        <w:tblInd w:w="1126" w:type="dxa"/>
        <w:tblLayout w:type="fixed"/>
        <w:tblCellMar>
          <w:top w:w="0" w:type="dxa"/>
          <w:left w:w="0" w:type="dxa"/>
          <w:bottom w:w="0" w:type="dxa"/>
          <w:right w:w="0" w:type="dxa"/>
        </w:tblCellMar>
        <w:tblLook w:val="01E0"/>
      </w:tblPr>
      <w:tblGrid>
        <w:gridCol w:w="994"/>
        <w:gridCol w:w="991"/>
        <w:gridCol w:w="851"/>
        <w:gridCol w:w="993"/>
        <w:gridCol w:w="2410"/>
        <w:gridCol w:w="1276"/>
        <w:gridCol w:w="2058"/>
      </w:tblGrid>
      <w:tr>
        <w:trPr>
          <w:trHeight w:val="427" w:hRule="exact"/>
        </w:trPr>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14"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sz w:val="21"/>
                <w:szCs w:val="21"/>
              </w:rPr>
              <w:t>/</w:t>
            </w:r>
            <w:r>
              <w:rPr>
                <w:rFonts w:ascii="宋体" w:hAnsi="宋体" w:cs="宋体" w:eastAsia="宋体" w:hint="default"/>
                <w:b/>
                <w:bCs/>
                <w:sz w:val="21"/>
                <w:szCs w:val="21"/>
              </w:rPr>
              <w:t>姓名</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277"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206" w:right="0"/>
              <w:jc w:val="left"/>
              <w:rPr>
                <w:rFonts w:ascii="宋体" w:hAnsi="宋体" w:cs="宋体" w:eastAsia="宋体" w:hint="default"/>
                <w:sz w:val="21"/>
                <w:szCs w:val="21"/>
              </w:rPr>
            </w:pPr>
            <w:r>
              <w:rPr>
                <w:rFonts w:ascii="宋体" w:hAnsi="宋体" w:cs="宋体" w:eastAsia="宋体" w:hint="default"/>
                <w:b/>
                <w:bCs/>
                <w:sz w:val="21"/>
                <w:szCs w:val="21"/>
              </w:rPr>
              <w:t>原因</w:t>
            </w:r>
            <w:r>
              <w:rPr>
                <w:rFonts w:ascii="宋体" w:hAnsi="宋体" w:cs="宋体" w:eastAsia="宋体" w:hint="default"/>
                <w:sz w:val="21"/>
                <w:szCs w:val="21"/>
              </w:rPr>
            </w:r>
          </w:p>
        </w:tc>
        <w:tc>
          <w:tcPr>
            <w:tcW w:w="9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67" w:right="0"/>
              <w:jc w:val="left"/>
              <w:rPr>
                <w:rFonts w:ascii="宋体" w:hAnsi="宋体" w:cs="宋体" w:eastAsia="宋体" w:hint="default"/>
                <w:sz w:val="21"/>
                <w:szCs w:val="21"/>
              </w:rPr>
            </w:pPr>
            <w:r>
              <w:rPr>
                <w:rFonts w:ascii="宋体" w:hAnsi="宋体" w:cs="宋体" w:eastAsia="宋体" w:hint="default"/>
                <w:b/>
                <w:bCs/>
                <w:sz w:val="21"/>
                <w:szCs w:val="21"/>
              </w:rPr>
              <w:t>调查处罚</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563" w:right="0"/>
              <w:jc w:val="left"/>
              <w:rPr>
                <w:rFonts w:ascii="宋体" w:hAnsi="宋体" w:cs="宋体" w:eastAsia="宋体" w:hint="default"/>
                <w:sz w:val="21"/>
                <w:szCs w:val="21"/>
              </w:rPr>
            </w:pPr>
            <w:r>
              <w:rPr>
                <w:rFonts w:ascii="宋体" w:hAnsi="宋体" w:cs="宋体" w:eastAsia="宋体" w:hint="default"/>
                <w:b/>
                <w:bCs/>
                <w:sz w:val="21"/>
                <w:szCs w:val="21"/>
              </w:rPr>
              <w:t>结论（如有）</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208"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c>
          <w:tcPr>
            <w:tcW w:w="20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598" w:right="0"/>
              <w:jc w:val="left"/>
              <w:rPr>
                <w:rFonts w:ascii="宋体" w:hAnsi="宋体" w:cs="宋体" w:eastAsia="宋体" w:hint="default"/>
                <w:sz w:val="21"/>
                <w:szCs w:val="21"/>
              </w:rPr>
            </w:pPr>
            <w:r>
              <w:rPr>
                <w:rFonts w:ascii="宋体" w:hAnsi="宋体" w:cs="宋体" w:eastAsia="宋体" w:hint="default"/>
                <w:b/>
                <w:bCs/>
                <w:sz w:val="21"/>
                <w:szCs w:val="21"/>
              </w:rPr>
              <w:t>披露索引</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362.796997pt;margin-top:544.839966pt;width:69.150pt;height:17.6pt;mso-position-horizontal-relative:page;mso-position-vertical-relative:page;z-index:-1060576" type="#_x0000_t202" filled="false" stroked="false">
            <v:textbox inset="0,0,0,0">
              <w:txbxContent>
                <w:p>
                  <w:pPr>
                    <w:spacing w:line="26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1126" w:type="dxa"/>
        <w:tblLayout w:type="fixed"/>
        <w:tblCellMar>
          <w:top w:w="0" w:type="dxa"/>
          <w:left w:w="0" w:type="dxa"/>
          <w:bottom w:w="0" w:type="dxa"/>
          <w:right w:w="0" w:type="dxa"/>
        </w:tblCellMar>
        <w:tblLook w:val="01E0"/>
      </w:tblPr>
      <w:tblGrid>
        <w:gridCol w:w="994"/>
        <w:gridCol w:w="991"/>
        <w:gridCol w:w="851"/>
        <w:gridCol w:w="993"/>
        <w:gridCol w:w="2410"/>
        <w:gridCol w:w="1276"/>
        <w:gridCol w:w="2058"/>
      </w:tblGrid>
      <w:tr>
        <w:trPr>
          <w:trHeight w:val="388" w:hRule="exact"/>
        </w:trPr>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05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6" w:hRule="exact"/>
        </w:trPr>
        <w:tc>
          <w:tcPr>
            <w:tcW w:w="957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、处罚情况</w:t>
            </w:r>
          </w:p>
        </w:tc>
      </w:tr>
      <w:tr>
        <w:trPr>
          <w:trHeight w:val="1988" w:hRule="exact"/>
        </w:trPr>
        <w:tc>
          <w:tcPr>
            <w:tcW w:w="994" w:type="dxa"/>
            <w:vMerge w:val="restart"/>
            <w:tcBorders>
              <w:top w:val="single" w:sz="6" w:space="0" w:color="000000"/>
              <w:left w:val="single" w:sz="6" w:space="0" w:color="000000"/>
              <w:right w:val="single" w:sz="6" w:space="0" w:color="000000"/>
            </w:tcBorders>
          </w:tcPr>
          <w:p>
            <w:pPr>
              <w:pStyle w:val="TableParagraph"/>
              <w:spacing w:line="273" w:lineRule="auto" w:before="36"/>
              <w:ind w:left="2" w:right="2"/>
              <w:jc w:val="left"/>
              <w:rPr>
                <w:rFonts w:ascii="宋体" w:hAnsi="宋体" w:cs="宋体" w:eastAsia="宋体" w:hint="default"/>
                <w:sz w:val="21"/>
                <w:szCs w:val="21"/>
              </w:rPr>
            </w:pPr>
            <w:r>
              <w:rPr>
                <w:rFonts w:ascii="宋体" w:hAnsi="宋体" w:cs="宋体" w:eastAsia="宋体" w:hint="default"/>
                <w:spacing w:val="-16"/>
                <w:sz w:val="21"/>
                <w:szCs w:val="21"/>
              </w:rPr>
              <w:t>孙屹峥、张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菀</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违规减持</w:t>
            </w:r>
          </w:p>
        </w:tc>
        <w:tc>
          <w:tcPr>
            <w:tcW w:w="851" w:type="dxa"/>
            <w:vMerge w:val="restart"/>
            <w:tcBorders>
              <w:top w:val="single" w:sz="6" w:space="0" w:color="000000"/>
              <w:left w:val="single" w:sz="6" w:space="0" w:color="000000"/>
              <w:right w:val="single" w:sz="6" w:space="0" w:color="000000"/>
            </w:tcBorders>
          </w:tcPr>
          <w:p>
            <w:pPr>
              <w:pStyle w:val="TableParagraph"/>
              <w:spacing w:line="273" w:lineRule="auto" w:before="36"/>
              <w:ind w:left="2" w:right="203"/>
              <w:jc w:val="both"/>
              <w:rPr>
                <w:rFonts w:ascii="宋体" w:hAnsi="宋体" w:cs="宋体" w:eastAsia="宋体" w:hint="default"/>
                <w:sz w:val="21"/>
                <w:szCs w:val="21"/>
              </w:rPr>
            </w:pPr>
            <w:r>
              <w:rPr>
                <w:rFonts w:ascii="宋体" w:hAnsi="宋体" w:cs="宋体" w:eastAsia="宋体" w:hint="default"/>
                <w:sz w:val="21"/>
                <w:szCs w:val="21"/>
              </w:rPr>
              <w:t>超比例 减持未 及时披 露及在 限制转 让期限 内减持 依米康 股份的 行为</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35"/>
              <w:jc w:val="both"/>
              <w:rPr>
                <w:rFonts w:ascii="宋体" w:hAnsi="宋体" w:cs="宋体" w:eastAsia="宋体" w:hint="default"/>
                <w:sz w:val="21"/>
                <w:szCs w:val="21"/>
              </w:rPr>
            </w:pPr>
            <w:r>
              <w:rPr>
                <w:rFonts w:ascii="宋体" w:hAnsi="宋体" w:cs="宋体" w:eastAsia="宋体" w:hint="default"/>
                <w:sz w:val="21"/>
                <w:szCs w:val="21"/>
              </w:rPr>
              <w:t>《中国证 券监督管 理委员会 调查通知 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《行政处罚事先告知书》</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（处罚字【</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54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28</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
              <w:jc w:val="left"/>
              <w:rPr>
                <w:rFonts w:ascii="宋体" w:hAnsi="宋体" w:cs="宋体" w:eastAsia="宋体" w:hint="default"/>
                <w:sz w:val="21"/>
                <w:szCs w:val="21"/>
              </w:rPr>
            </w:pPr>
            <w:r>
              <w:rPr>
                <w:rFonts w:ascii="宋体" w:hAnsi="宋体" w:cs="宋体" w:eastAsia="宋体" w:hint="default"/>
                <w:spacing w:val="-7"/>
                <w:sz w:val="21"/>
                <w:szCs w:val="21"/>
              </w:rPr>
              <w:t>巨潮资讯网披露《关于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公司控股股东及实际 控制人收到中国证券 监督管理委员会调查 </w:t>
            </w:r>
            <w:r>
              <w:rPr>
                <w:rFonts w:ascii="宋体" w:hAnsi="宋体" w:cs="宋体" w:eastAsia="宋体" w:hint="default"/>
                <w:spacing w:val="-7"/>
                <w:sz w:val="21"/>
                <w:szCs w:val="21"/>
              </w:rPr>
              <w:t>通知书的公告》（公告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编号：</w:t>
            </w:r>
            <w:r>
              <w:rPr>
                <w:rFonts w:ascii="宋体" w:hAnsi="宋体" w:cs="宋体" w:eastAsia="宋体" w:hint="default"/>
                <w:sz w:val="21"/>
                <w:szCs w:val="21"/>
              </w:rPr>
              <w:t>2015067</w:t>
            </w:r>
            <w:r>
              <w:rPr>
                <w:rFonts w:ascii="宋体" w:hAnsi="宋体" w:cs="宋体" w:eastAsia="宋体" w:hint="default"/>
                <w:sz w:val="21"/>
                <w:szCs w:val="21"/>
              </w:rPr>
              <w:t>）</w:t>
            </w:r>
          </w:p>
        </w:tc>
      </w:tr>
      <w:tr>
        <w:trPr>
          <w:trHeight w:val="5852" w:hRule="exact"/>
        </w:trPr>
        <w:tc>
          <w:tcPr>
            <w:tcW w:w="994"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35"/>
              <w:jc w:val="both"/>
              <w:rPr>
                <w:rFonts w:ascii="宋体" w:hAnsi="宋体" w:cs="宋体" w:eastAsia="宋体" w:hint="default"/>
                <w:sz w:val="21"/>
                <w:szCs w:val="21"/>
              </w:rPr>
            </w:pPr>
            <w:r>
              <w:rPr>
                <w:rFonts w:ascii="宋体" w:hAnsi="宋体" w:cs="宋体" w:eastAsia="宋体" w:hint="default"/>
                <w:sz w:val="21"/>
                <w:szCs w:val="21"/>
              </w:rPr>
              <w:t>《中国证 券监督管 理委员会 行政处罚 决定书》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
              <w:jc w:val="both"/>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、责令孙屹峥、张菀改正</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6"/>
                <w:sz w:val="21"/>
                <w:szCs w:val="21"/>
              </w:rPr>
              <w:t>违法行为，在收到处罚决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3"/>
                <w:sz w:val="21"/>
                <w:szCs w:val="21"/>
              </w:rPr>
              <w:t>定书之日起</w:t>
            </w:r>
            <w:r>
              <w:rPr>
                <w:rFonts w:ascii="宋体" w:hAnsi="宋体" w:cs="宋体" w:eastAsia="宋体" w:hint="default"/>
                <w:spacing w:val="-84"/>
                <w:sz w:val="21"/>
                <w:szCs w:val="21"/>
              </w:rPr>
              <w:t> </w:t>
            </w:r>
            <w:r>
              <w:rPr>
                <w:rFonts w:ascii="宋体" w:hAnsi="宋体" w:cs="宋体" w:eastAsia="宋体" w:hint="default"/>
                <w:spacing w:val="14"/>
                <w:sz w:val="21"/>
                <w:szCs w:val="21"/>
              </w:rPr>
              <w:t>3</w:t>
            </w:r>
            <w:r>
              <w:rPr>
                <w:rFonts w:ascii="宋体" w:hAnsi="宋体" w:cs="宋体" w:eastAsia="宋体" w:hint="default"/>
                <w:spacing w:val="14"/>
                <w:sz w:val="21"/>
                <w:szCs w:val="21"/>
              </w:rPr>
              <w:t>日内对超比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例减持情况进行报告和公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告，并就超比例减持行为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公开致歉。</w:t>
            </w:r>
          </w:p>
          <w:p>
            <w:pPr>
              <w:pStyle w:val="TableParagraph"/>
              <w:spacing w:line="273" w:lineRule="auto" w:before="47"/>
              <w:ind w:left="2" w:right="-31"/>
              <w:jc w:val="both"/>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、对孙屹峥、张菀超比例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6"/>
                <w:sz w:val="21"/>
                <w:szCs w:val="21"/>
              </w:rPr>
              <w:t>减持未及时披露及在限制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转</w:t>
            </w:r>
            <w:r>
              <w:rPr>
                <w:rFonts w:ascii="宋体" w:hAnsi="宋体" w:cs="宋体" w:eastAsia="宋体" w:hint="default"/>
                <w:spacing w:val="-73"/>
                <w:sz w:val="21"/>
                <w:szCs w:val="21"/>
              </w:rPr>
              <w:t> </w:t>
            </w:r>
            <w:r>
              <w:rPr>
                <w:rFonts w:ascii="宋体" w:hAnsi="宋体" w:cs="宋体" w:eastAsia="宋体" w:hint="default"/>
                <w:sz w:val="21"/>
                <w:szCs w:val="21"/>
              </w:rPr>
              <w:t>让</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内</w:t>
            </w:r>
            <w:r>
              <w:rPr>
                <w:rFonts w:ascii="宋体" w:hAnsi="宋体" w:cs="宋体" w:eastAsia="宋体" w:hint="default"/>
                <w:spacing w:val="-74"/>
                <w:sz w:val="21"/>
                <w:szCs w:val="21"/>
              </w:rPr>
              <w:t> </w:t>
            </w:r>
            <w:r>
              <w:rPr>
                <w:rFonts w:ascii="宋体" w:hAnsi="宋体" w:cs="宋体" w:eastAsia="宋体" w:hint="default"/>
                <w:sz w:val="21"/>
                <w:szCs w:val="21"/>
              </w:rPr>
              <w:t>减</w:t>
            </w:r>
            <w:r>
              <w:rPr>
                <w:rFonts w:ascii="宋体" w:hAnsi="宋体" w:cs="宋体" w:eastAsia="宋体" w:hint="default"/>
                <w:spacing w:val="-73"/>
                <w:sz w:val="21"/>
                <w:szCs w:val="21"/>
              </w:rPr>
              <w:t> </w:t>
            </w:r>
            <w:r>
              <w:rPr>
                <w:rFonts w:ascii="宋体" w:hAnsi="宋体" w:cs="宋体" w:eastAsia="宋体" w:hint="default"/>
                <w:sz w:val="21"/>
                <w:szCs w:val="21"/>
              </w:rPr>
              <w:t>持</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pacing w:val="16"/>
                <w:sz w:val="21"/>
                <w:szCs w:val="21"/>
              </w:rPr>
              <w:t>依米</w:t>
            </w:r>
            <w:r>
              <w:rPr>
                <w:rFonts w:ascii="宋体" w:hAnsi="宋体" w:cs="宋体" w:eastAsia="宋体" w:hint="default"/>
                <w:spacing w:val="-73"/>
                <w:sz w:val="21"/>
                <w:szCs w:val="21"/>
              </w:rPr>
              <w:t> </w:t>
            </w:r>
            <w:r>
              <w:rPr>
                <w:rFonts w:ascii="宋体" w:hAnsi="宋体" w:cs="宋体" w:eastAsia="宋体" w:hint="default"/>
                <w:spacing w:val="6"/>
                <w:sz w:val="21"/>
                <w:szCs w:val="21"/>
              </w:rPr>
              <w:t>康”的转让行为分别予以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警告。</w:t>
            </w:r>
          </w:p>
          <w:p>
            <w:pPr>
              <w:pStyle w:val="TableParagraph"/>
              <w:spacing w:line="273" w:lineRule="auto" w:before="46"/>
              <w:ind w:left="2" w:right="-31"/>
              <w:jc w:val="both"/>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、对孙屹峥、张菀超比例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6"/>
                <w:sz w:val="21"/>
                <w:szCs w:val="21"/>
              </w:rPr>
              <w:t>减持未及时披露行为处以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40</w:t>
            </w:r>
            <w:r>
              <w:rPr>
                <w:rFonts w:ascii="宋体" w:hAnsi="宋体" w:cs="宋体" w:eastAsia="宋体" w:hint="default"/>
                <w:spacing w:val="5"/>
                <w:sz w:val="21"/>
                <w:szCs w:val="21"/>
              </w:rPr>
              <w:t>万元罚款，对孙屹峥、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6"/>
                <w:sz w:val="21"/>
                <w:szCs w:val="21"/>
              </w:rPr>
              <w:t>张菀在限制转让期限内的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减</w:t>
            </w:r>
            <w:r>
              <w:rPr>
                <w:rFonts w:ascii="宋体" w:hAnsi="宋体" w:cs="宋体" w:eastAsia="宋体" w:hint="default"/>
                <w:spacing w:val="-73"/>
                <w:sz w:val="21"/>
                <w:szCs w:val="21"/>
              </w:rPr>
              <w:t> </w:t>
            </w:r>
            <w:r>
              <w:rPr>
                <w:rFonts w:ascii="宋体" w:hAnsi="宋体" w:cs="宋体" w:eastAsia="宋体" w:hint="default"/>
                <w:sz w:val="21"/>
                <w:szCs w:val="21"/>
              </w:rPr>
              <w:t>持</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处</w:t>
            </w:r>
            <w:r>
              <w:rPr>
                <w:rFonts w:ascii="宋体" w:hAnsi="宋体" w:cs="宋体" w:eastAsia="宋体" w:hint="default"/>
                <w:spacing w:val="-74"/>
                <w:sz w:val="21"/>
                <w:szCs w:val="21"/>
              </w:rPr>
              <w:t> </w:t>
            </w:r>
            <w:r>
              <w:rPr>
                <w:rFonts w:ascii="宋体" w:hAnsi="宋体" w:cs="宋体" w:eastAsia="宋体" w:hint="default"/>
                <w:sz w:val="21"/>
                <w:szCs w:val="21"/>
              </w:rPr>
              <w:t>以</w:t>
            </w:r>
            <w:r>
              <w:rPr>
                <w:rFonts w:ascii="宋体" w:hAnsi="宋体" w:cs="宋体" w:eastAsia="宋体" w:hint="default"/>
                <w:spacing w:val="-72"/>
                <w:sz w:val="21"/>
                <w:szCs w:val="21"/>
              </w:rPr>
              <w:t> </w:t>
            </w:r>
            <w:r>
              <w:rPr>
                <w:rFonts w:ascii="宋体" w:hAnsi="宋体" w:cs="宋体" w:eastAsia="宋体" w:hint="default"/>
                <w:sz w:val="21"/>
                <w:szCs w:val="21"/>
              </w:rPr>
              <w:t>50</w:t>
            </w:r>
            <w:r>
              <w:rPr>
                <w:rFonts w:ascii="宋体" w:hAnsi="宋体" w:cs="宋体" w:eastAsia="宋体" w:hint="default"/>
                <w:spacing w:val="-72"/>
                <w:sz w:val="21"/>
                <w:szCs w:val="21"/>
              </w:rPr>
              <w:t> </w:t>
            </w:r>
            <w:r>
              <w:rPr>
                <w:rFonts w:ascii="宋体" w:hAnsi="宋体" w:cs="宋体" w:eastAsia="宋体" w:hint="default"/>
                <w:spacing w:val="21"/>
                <w:sz w:val="21"/>
                <w:szCs w:val="21"/>
              </w:rPr>
              <w:t>万元罚</w:t>
            </w:r>
            <w:r>
              <w:rPr>
                <w:rFonts w:ascii="宋体" w:hAnsi="宋体" w:cs="宋体" w:eastAsia="宋体" w:hint="default"/>
                <w:spacing w:val="-73"/>
                <w:sz w:val="21"/>
                <w:szCs w:val="21"/>
              </w:rPr>
              <w:t> </w:t>
            </w:r>
            <w:r>
              <w:rPr>
                <w:rFonts w:ascii="宋体" w:hAnsi="宋体" w:cs="宋体" w:eastAsia="宋体" w:hint="default"/>
                <w:sz w:val="21"/>
                <w:szCs w:val="21"/>
              </w:rPr>
              <w:t>款，合计罚款</w:t>
            </w:r>
            <w:r>
              <w:rPr>
                <w:rFonts w:ascii="宋体" w:hAnsi="宋体" w:cs="宋体" w:eastAsia="宋体" w:hint="default"/>
                <w:sz w:val="21"/>
                <w:szCs w:val="21"/>
              </w:rPr>
              <w:t>90</w:t>
            </w:r>
            <w:r>
              <w:rPr>
                <w:rFonts w:ascii="宋体" w:hAnsi="宋体" w:cs="宋体" w:eastAsia="宋体" w:hint="default"/>
                <w:sz w:val="21"/>
                <w:szCs w:val="21"/>
              </w:rPr>
              <w:t>万元。</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4</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
              <w:jc w:val="left"/>
              <w:rPr>
                <w:rFonts w:ascii="宋体" w:hAnsi="宋体" w:cs="宋体" w:eastAsia="宋体" w:hint="default"/>
                <w:sz w:val="21"/>
                <w:szCs w:val="21"/>
              </w:rPr>
            </w:pPr>
            <w:r>
              <w:rPr>
                <w:rFonts w:ascii="宋体" w:hAnsi="宋体" w:cs="宋体" w:eastAsia="宋体" w:hint="default"/>
                <w:spacing w:val="-7"/>
                <w:sz w:val="21"/>
                <w:szCs w:val="21"/>
              </w:rPr>
              <w:t>巨潮资讯网披露《关于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公司控股股东及实际 控制人收到中国证券 监督管理委员会行政 </w:t>
            </w:r>
            <w:r>
              <w:rPr>
                <w:rFonts w:ascii="宋体" w:hAnsi="宋体" w:cs="宋体" w:eastAsia="宋体" w:hint="default"/>
                <w:spacing w:val="-7"/>
                <w:sz w:val="21"/>
                <w:szCs w:val="21"/>
              </w:rPr>
              <w:t>处罚决定书》（公告编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号：</w:t>
            </w:r>
            <w:r>
              <w:rPr>
                <w:rFonts w:ascii="宋体" w:hAnsi="宋体" w:cs="宋体" w:eastAsia="宋体" w:hint="default"/>
                <w:sz w:val="21"/>
                <w:szCs w:val="21"/>
              </w:rPr>
              <w:t>2015092</w:t>
            </w:r>
            <w:r>
              <w:rPr>
                <w:rFonts w:ascii="宋体" w:hAnsi="宋体" w:cs="宋体" w:eastAsia="宋体" w:hint="default"/>
                <w:sz w:val="21"/>
                <w:szCs w:val="21"/>
              </w:rPr>
              <w:t>）</w:t>
            </w:r>
          </w:p>
        </w:tc>
      </w:tr>
      <w:tr>
        <w:trPr>
          <w:trHeight w:val="427" w:hRule="exact"/>
        </w:trPr>
        <w:tc>
          <w:tcPr>
            <w:tcW w:w="957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、整改情况</w:t>
            </w:r>
          </w:p>
        </w:tc>
      </w:tr>
      <w:tr>
        <w:trPr>
          <w:trHeight w:val="739" w:hRule="exact"/>
        </w:trPr>
        <w:tc>
          <w:tcPr>
            <w:tcW w:w="994" w:type="dxa"/>
            <w:vMerge w:val="restart"/>
            <w:tcBorders>
              <w:top w:val="single" w:sz="6" w:space="0" w:color="000000"/>
              <w:left w:val="single" w:sz="6" w:space="0" w:color="000000"/>
              <w:right w:val="single" w:sz="6" w:space="0" w:color="000000"/>
            </w:tcBorders>
          </w:tcPr>
          <w:p>
            <w:pPr>
              <w:pStyle w:val="TableParagraph"/>
              <w:spacing w:line="273" w:lineRule="auto" w:before="36"/>
              <w:ind w:left="2" w:right="2"/>
              <w:jc w:val="left"/>
              <w:rPr>
                <w:rFonts w:ascii="宋体" w:hAnsi="宋体" w:cs="宋体" w:eastAsia="宋体" w:hint="default"/>
                <w:sz w:val="21"/>
                <w:szCs w:val="21"/>
              </w:rPr>
            </w:pPr>
            <w:r>
              <w:rPr>
                <w:rFonts w:ascii="宋体" w:hAnsi="宋体" w:cs="宋体" w:eastAsia="宋体" w:hint="default"/>
                <w:spacing w:val="-16"/>
                <w:sz w:val="21"/>
                <w:szCs w:val="21"/>
              </w:rPr>
              <w:t>孙屹峥、张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菀</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违规减持</w:t>
            </w:r>
          </w:p>
        </w:tc>
        <w:tc>
          <w:tcPr>
            <w:tcW w:w="851" w:type="dxa"/>
            <w:vMerge w:val="restart"/>
            <w:tcBorders>
              <w:top w:val="single" w:sz="6" w:space="0" w:color="000000"/>
              <w:left w:val="single" w:sz="6" w:space="0" w:color="000000"/>
              <w:right w:val="single" w:sz="6" w:space="0" w:color="000000"/>
            </w:tcBorders>
          </w:tcPr>
          <w:p>
            <w:pPr>
              <w:pStyle w:val="TableParagraph"/>
              <w:spacing w:line="273" w:lineRule="auto" w:before="36"/>
              <w:ind w:left="2" w:right="-27"/>
              <w:jc w:val="both"/>
              <w:rPr>
                <w:rFonts w:ascii="宋体" w:hAnsi="宋体" w:cs="宋体" w:eastAsia="宋体" w:hint="default"/>
                <w:sz w:val="21"/>
                <w:szCs w:val="21"/>
              </w:rPr>
            </w:pPr>
            <w:r>
              <w:rPr>
                <w:rFonts w:ascii="宋体" w:hAnsi="宋体" w:cs="宋体" w:eastAsia="宋体" w:hint="default"/>
                <w:spacing w:val="-3"/>
                <w:sz w:val="21"/>
                <w:szCs w:val="21"/>
              </w:rPr>
              <w:t>执行《中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9"/>
                <w:sz w:val="21"/>
                <w:szCs w:val="21"/>
              </w:rPr>
              <w:t>国证</w:t>
            </w:r>
            <w:r>
              <w:rPr>
                <w:rFonts w:ascii="宋体" w:hAnsi="宋体" w:cs="宋体" w:eastAsia="宋体" w:hint="default"/>
                <w:spacing w:val="-6"/>
                <w:sz w:val="21"/>
                <w:szCs w:val="21"/>
              </w:rPr>
              <w:t> </w:t>
            </w:r>
            <w:r>
              <w:rPr>
                <w:rFonts w:ascii="宋体" w:hAnsi="宋体" w:cs="宋体" w:eastAsia="宋体" w:hint="default"/>
                <w:sz w:val="21"/>
                <w:szCs w:val="21"/>
              </w:rPr>
              <w:t>券</w:t>
            </w:r>
            <w:r>
              <w:rPr>
                <w:rFonts w:ascii="宋体" w:hAnsi="宋体" w:cs="宋体" w:eastAsia="宋体" w:hint="default"/>
                <w:sz w:val="21"/>
                <w:szCs w:val="21"/>
              </w:rPr>
              <w:t> </w:t>
            </w:r>
            <w:r>
              <w:rPr>
                <w:rFonts w:ascii="宋体" w:hAnsi="宋体" w:cs="宋体" w:eastAsia="宋体" w:hint="default"/>
                <w:spacing w:val="49"/>
                <w:sz w:val="21"/>
                <w:szCs w:val="21"/>
              </w:rPr>
              <w:t>监督</w:t>
            </w:r>
            <w:r>
              <w:rPr>
                <w:rFonts w:ascii="宋体" w:hAnsi="宋体" w:cs="宋体" w:eastAsia="宋体" w:hint="default"/>
                <w:spacing w:val="-6"/>
                <w:sz w:val="21"/>
                <w:szCs w:val="21"/>
              </w:rPr>
              <w:t> </w:t>
            </w:r>
            <w:r>
              <w:rPr>
                <w:rFonts w:ascii="宋体" w:hAnsi="宋体" w:cs="宋体" w:eastAsia="宋体" w:hint="default"/>
                <w:sz w:val="21"/>
                <w:szCs w:val="21"/>
              </w:rPr>
              <w:t>管</w:t>
            </w:r>
            <w:r>
              <w:rPr>
                <w:rFonts w:ascii="宋体" w:hAnsi="宋体" w:cs="宋体" w:eastAsia="宋体" w:hint="default"/>
                <w:sz w:val="21"/>
                <w:szCs w:val="21"/>
              </w:rPr>
              <w:t> </w:t>
            </w:r>
            <w:r>
              <w:rPr>
                <w:rFonts w:ascii="宋体" w:hAnsi="宋体" w:cs="宋体" w:eastAsia="宋体" w:hint="default"/>
                <w:spacing w:val="49"/>
                <w:sz w:val="21"/>
                <w:szCs w:val="21"/>
              </w:rPr>
              <w:t>理委</w:t>
            </w:r>
            <w:r>
              <w:rPr>
                <w:rFonts w:ascii="宋体" w:hAnsi="宋体" w:cs="宋体" w:eastAsia="宋体" w:hint="default"/>
                <w:spacing w:val="-6"/>
                <w:sz w:val="21"/>
                <w:szCs w:val="21"/>
              </w:rPr>
              <w:t> </w:t>
            </w:r>
            <w:r>
              <w:rPr>
                <w:rFonts w:ascii="宋体" w:hAnsi="宋体" w:cs="宋体" w:eastAsia="宋体" w:hint="default"/>
                <w:sz w:val="21"/>
                <w:szCs w:val="21"/>
              </w:rPr>
              <w:t>员</w:t>
            </w:r>
            <w:r>
              <w:rPr>
                <w:rFonts w:ascii="宋体" w:hAnsi="宋体" w:cs="宋体" w:eastAsia="宋体" w:hint="default"/>
                <w:sz w:val="21"/>
                <w:szCs w:val="21"/>
              </w:rPr>
              <w:t> </w:t>
            </w:r>
            <w:r>
              <w:rPr>
                <w:rFonts w:ascii="宋体" w:hAnsi="宋体" w:cs="宋体" w:eastAsia="宋体" w:hint="default"/>
                <w:spacing w:val="49"/>
                <w:sz w:val="21"/>
                <w:szCs w:val="21"/>
              </w:rPr>
              <w:t>会行</w:t>
            </w:r>
            <w:r>
              <w:rPr>
                <w:rFonts w:ascii="宋体" w:hAnsi="宋体" w:cs="宋体" w:eastAsia="宋体" w:hint="default"/>
                <w:spacing w:val="-6"/>
                <w:sz w:val="21"/>
                <w:szCs w:val="21"/>
              </w:rPr>
              <w:t> </w:t>
            </w:r>
            <w:r>
              <w:rPr>
                <w:rFonts w:ascii="宋体" w:hAnsi="宋体" w:cs="宋体" w:eastAsia="宋体" w:hint="default"/>
                <w:sz w:val="21"/>
                <w:szCs w:val="21"/>
              </w:rPr>
              <w:t>政</w:t>
            </w:r>
            <w:r>
              <w:rPr>
                <w:rFonts w:ascii="宋体" w:hAnsi="宋体" w:cs="宋体" w:eastAsia="宋体" w:hint="default"/>
                <w:sz w:val="21"/>
                <w:szCs w:val="21"/>
              </w:rPr>
              <w:t> </w:t>
            </w:r>
            <w:r>
              <w:rPr>
                <w:rFonts w:ascii="宋体" w:hAnsi="宋体" w:cs="宋体" w:eastAsia="宋体" w:hint="default"/>
                <w:spacing w:val="49"/>
                <w:sz w:val="21"/>
                <w:szCs w:val="21"/>
              </w:rPr>
              <w:t>处罚</w:t>
            </w:r>
            <w:r>
              <w:rPr>
                <w:rFonts w:ascii="宋体" w:hAnsi="宋体" w:cs="宋体" w:eastAsia="宋体" w:hint="default"/>
                <w:spacing w:val="-6"/>
                <w:sz w:val="21"/>
                <w:szCs w:val="21"/>
              </w:rPr>
              <w:t> </w:t>
            </w:r>
            <w:r>
              <w:rPr>
                <w:rFonts w:ascii="宋体" w:hAnsi="宋体" w:cs="宋体" w:eastAsia="宋体" w:hint="default"/>
                <w:sz w:val="21"/>
                <w:szCs w:val="21"/>
              </w:rPr>
              <w:t>决</w:t>
            </w:r>
            <w:r>
              <w:rPr>
                <w:rFonts w:ascii="宋体" w:hAnsi="宋体" w:cs="宋体" w:eastAsia="宋体" w:hint="default"/>
                <w:sz w:val="21"/>
                <w:szCs w:val="21"/>
              </w:rPr>
              <w:t> </w:t>
            </w:r>
            <w:r>
              <w:rPr>
                <w:rFonts w:ascii="宋体" w:hAnsi="宋体" w:cs="宋体" w:eastAsia="宋体" w:hint="default"/>
                <w:spacing w:val="-3"/>
                <w:sz w:val="21"/>
                <w:szCs w:val="21"/>
              </w:rPr>
              <w:t>定书》约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9"/>
                <w:sz w:val="21"/>
                <w:szCs w:val="21"/>
              </w:rPr>
              <w:t>定的</w:t>
            </w:r>
            <w:r>
              <w:rPr>
                <w:rFonts w:ascii="宋体" w:hAnsi="宋体" w:cs="宋体" w:eastAsia="宋体" w:hint="default"/>
                <w:spacing w:val="-6"/>
                <w:sz w:val="21"/>
                <w:szCs w:val="21"/>
              </w:rPr>
              <w:t> </w:t>
            </w:r>
            <w:r>
              <w:rPr>
                <w:rFonts w:ascii="宋体" w:hAnsi="宋体" w:cs="宋体" w:eastAsia="宋体" w:hint="default"/>
                <w:sz w:val="21"/>
                <w:szCs w:val="21"/>
              </w:rPr>
              <w:t>以</w:t>
            </w:r>
            <w:r>
              <w:rPr>
                <w:rFonts w:ascii="宋体" w:hAnsi="宋体" w:cs="宋体" w:eastAsia="宋体" w:hint="default"/>
                <w:sz w:val="21"/>
                <w:szCs w:val="21"/>
              </w:rPr>
              <w:t> 上</w:t>
            </w:r>
            <w:r>
              <w:rPr>
                <w:rFonts w:ascii="宋体" w:hAnsi="宋体" w:cs="宋体" w:eastAsia="宋体" w:hint="default"/>
                <w:spacing w:val="-74"/>
                <w:sz w:val="21"/>
                <w:szCs w:val="21"/>
              </w:rPr>
              <w:t> </w:t>
            </w:r>
            <w:r>
              <w:rPr>
                <w:rFonts w:ascii="宋体" w:hAnsi="宋体" w:cs="宋体" w:eastAsia="宋体" w:hint="default"/>
                <w:sz w:val="21"/>
                <w:szCs w:val="21"/>
              </w:rPr>
              <w:t>3</w:t>
            </w:r>
            <w:r>
              <w:rPr>
                <w:rFonts w:ascii="宋体" w:hAnsi="宋体" w:cs="宋体" w:eastAsia="宋体" w:hint="default"/>
                <w:spacing w:val="-74"/>
                <w:sz w:val="21"/>
                <w:szCs w:val="21"/>
              </w:rPr>
              <w:t> </w:t>
            </w:r>
            <w:r>
              <w:rPr>
                <w:rFonts w:ascii="宋体" w:hAnsi="宋体" w:cs="宋体" w:eastAsia="宋体" w:hint="default"/>
                <w:spacing w:val="15"/>
                <w:sz w:val="21"/>
                <w:szCs w:val="21"/>
              </w:rPr>
              <w:t>项处</w:t>
            </w:r>
            <w:r>
              <w:rPr>
                <w:rFonts w:ascii="宋体" w:hAnsi="宋体" w:cs="宋体" w:eastAsia="宋体" w:hint="default"/>
                <w:spacing w:val="-74"/>
                <w:sz w:val="21"/>
                <w:szCs w:val="21"/>
              </w:rPr>
              <w:t> </w:t>
            </w:r>
            <w:r>
              <w:rPr>
                <w:rFonts w:ascii="宋体" w:hAnsi="宋体" w:cs="宋体" w:eastAsia="宋体" w:hint="default"/>
                <w:sz w:val="21"/>
                <w:szCs w:val="21"/>
              </w:rPr>
              <w:t>罚决定</w:t>
            </w:r>
          </w:p>
        </w:tc>
        <w:tc>
          <w:tcPr>
            <w:tcW w:w="993"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、已于向公司全体股东和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广大投资者发布《致歉函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4</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40" w:lineRule="auto" w:before="9"/>
              <w:ind w:right="0"/>
              <w:jc w:val="left"/>
              <w:rPr>
                <w:rFonts w:ascii="宋体" w:hAnsi="宋体" w:cs="宋体" w:eastAsia="宋体" w:hint="default"/>
                <w:sz w:val="27"/>
                <w:szCs w:val="27"/>
              </w:rPr>
            </w:pPr>
          </w:p>
          <w:p>
            <w:pPr>
              <w:pStyle w:val="TableParagraph"/>
              <w:spacing w:line="351" w:lineRule="exact"/>
              <w:ind w:left="2" w:right="-48"/>
              <w:jc w:val="left"/>
              <w:rPr>
                <w:rFonts w:ascii="宋体" w:hAnsi="宋体" w:cs="宋体" w:eastAsia="宋体" w:hint="default"/>
                <w:sz w:val="20"/>
                <w:szCs w:val="20"/>
              </w:rPr>
            </w:pPr>
            <w:r>
              <w:rPr>
                <w:rFonts w:ascii="宋体" w:hAnsi="宋体" w:cs="宋体" w:eastAsia="宋体" w:hint="default"/>
                <w:position w:val="-6"/>
                <w:sz w:val="20"/>
                <w:szCs w:val="20"/>
              </w:rPr>
              <w:pict>
                <v:group style="width:62.85pt;height:17.6pt;mso-position-horizontal-relative:char;mso-position-vertical-relative:line" coordorigin="0,0" coordsize="1257,352">
                  <v:group style="position:absolute;left:0;top:0;width:1257;height:352" coordorigin="0,0" coordsize="1257,352">
                    <v:shape style="position:absolute;left:0;top:0;width:1257;height:352" coordorigin="0,0" coordsize="1257,352" path="m0,352l1257,352,1257,0,0,0,0,352xe" filled="true" fillcolor="#ffffff" stroked="false">
                      <v:path arrowok="t"/>
                      <v:fill type="solid"/>
                    </v:shape>
                  </v:group>
                </v:group>
              </w:pict>
            </w:r>
            <w:r>
              <w:rPr>
                <w:rFonts w:ascii="宋体" w:hAnsi="宋体" w:cs="宋体" w:eastAsia="宋体" w:hint="default"/>
                <w:position w:val="-6"/>
                <w:sz w:val="20"/>
                <w:szCs w:val="20"/>
              </w:rPr>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49"/>
              <w:jc w:val="left"/>
              <w:rPr>
                <w:rFonts w:ascii="宋体" w:hAnsi="宋体" w:cs="宋体" w:eastAsia="宋体" w:hint="default"/>
                <w:sz w:val="21"/>
                <w:szCs w:val="21"/>
              </w:rPr>
            </w:pPr>
            <w:r>
              <w:rPr>
                <w:rFonts w:ascii="宋体" w:hAnsi="宋体" w:cs="宋体" w:eastAsia="宋体" w:hint="default"/>
                <w:sz w:val="21"/>
                <w:szCs w:val="21"/>
              </w:rPr>
              <w:t>巨潮资讯网公司的相 关公告</w:t>
            </w:r>
          </w:p>
        </w:tc>
      </w:tr>
      <w:tr>
        <w:trPr>
          <w:trHeight w:val="2496" w:hRule="exact"/>
        </w:trPr>
        <w:tc>
          <w:tcPr>
            <w:tcW w:w="994"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、孙屹峥已于</w:t>
            </w:r>
            <w:r>
              <w:rPr>
                <w:rFonts w:ascii="宋体" w:hAnsi="宋体" w:cs="宋体" w:eastAsia="宋体" w:hint="default"/>
                <w:spacing w:val="-2"/>
                <w:sz w:val="21"/>
                <w:szCs w:val="21"/>
              </w:rPr>
              <w:t>2015</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w:t>
            </w:r>
          </w:p>
          <w:p>
            <w:pPr>
              <w:pStyle w:val="TableParagraph"/>
              <w:spacing w:line="273" w:lineRule="auto" w:before="37"/>
              <w:ind w:left="2" w:right="3"/>
              <w:jc w:val="left"/>
              <w:rPr>
                <w:rFonts w:ascii="宋体" w:hAnsi="宋体" w:cs="宋体" w:eastAsia="宋体" w:hint="default"/>
                <w:sz w:val="21"/>
                <w:szCs w:val="21"/>
              </w:rPr>
            </w:pPr>
            <w:r>
              <w:rPr>
                <w:rFonts w:ascii="宋体" w:hAnsi="宋体" w:cs="宋体" w:eastAsia="宋体" w:hint="default"/>
                <w:spacing w:val="5"/>
                <w:sz w:val="21"/>
                <w:szCs w:val="21"/>
              </w:rPr>
              <w:t>12</w:t>
            </w:r>
            <w:r>
              <w:rPr>
                <w:rFonts w:ascii="宋体" w:hAnsi="宋体" w:cs="宋体" w:eastAsia="宋体" w:hint="default"/>
                <w:spacing w:val="5"/>
                <w:sz w:val="21"/>
                <w:szCs w:val="21"/>
              </w:rPr>
              <w:t>日向处罚决定书指定账</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户缴纳罚款合计</w:t>
            </w:r>
            <w:r>
              <w:rPr>
                <w:rFonts w:ascii="宋体" w:hAnsi="宋体" w:cs="宋体" w:eastAsia="宋体" w:hint="default"/>
                <w:sz w:val="21"/>
                <w:szCs w:val="21"/>
              </w:rPr>
              <w:t>90</w:t>
            </w:r>
            <w:r>
              <w:rPr>
                <w:rFonts w:ascii="宋体" w:hAnsi="宋体" w:cs="宋体" w:eastAsia="宋体" w:hint="default"/>
                <w:sz w:val="21"/>
                <w:szCs w:val="21"/>
              </w:rPr>
              <w:t>万元</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p>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日</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149"/>
              <w:jc w:val="left"/>
              <w:rPr>
                <w:rFonts w:ascii="宋体" w:hAnsi="宋体" w:cs="宋体" w:eastAsia="宋体" w:hint="default"/>
                <w:sz w:val="21"/>
                <w:szCs w:val="21"/>
              </w:rPr>
            </w:pPr>
            <w:r>
              <w:rPr>
                <w:rFonts w:ascii="宋体" w:hAnsi="宋体" w:cs="宋体" w:eastAsia="宋体" w:hint="default"/>
                <w:sz w:val="21"/>
                <w:szCs w:val="21"/>
              </w:rPr>
              <w:t>转账记录报送监管机 构</w:t>
            </w:r>
          </w:p>
        </w:tc>
      </w:tr>
    </w:tbl>
    <w:p>
      <w:pPr>
        <w:spacing w:line="240" w:lineRule="auto" w:before="0"/>
        <w:rPr>
          <w:rFonts w:ascii="宋体" w:hAnsi="宋体" w:cs="宋体" w:eastAsia="宋体" w:hint="default"/>
          <w:sz w:val="20"/>
          <w:szCs w:val="20"/>
        </w:rPr>
      </w:pPr>
    </w:p>
    <w:p>
      <w:pPr>
        <w:pStyle w:val="Heading3"/>
        <w:spacing w:line="240" w:lineRule="auto" w:before="172"/>
        <w:ind w:right="1033"/>
        <w:jc w:val="left"/>
        <w:rPr>
          <w:b w:val="0"/>
          <w:bCs w:val="0"/>
        </w:rPr>
      </w:pPr>
      <w:r>
        <w:rPr/>
        <w:t>董事、监事、高级管理人员、持股</w:t>
      </w:r>
      <w:r>
        <w:rPr>
          <w:spacing w:val="-86"/>
        </w:rPr>
        <w:t> </w:t>
      </w:r>
      <w:r>
        <w:rPr>
          <w:rFonts w:ascii="宋体" w:hAnsi="宋体" w:cs="宋体" w:eastAsia="宋体" w:hint="default"/>
        </w:rPr>
        <w:t>5%</w:t>
      </w:r>
      <w:r>
        <w:rPr/>
        <w:t>以上的股东违规买卖公司股票情况</w:t>
      </w:r>
      <w:r>
        <w:rPr>
          <w:b w:val="0"/>
          <w:bCs w:val="0"/>
        </w:rPr>
      </w:r>
    </w:p>
    <w:p>
      <w:pPr>
        <w:pStyle w:val="BodyText"/>
        <w:spacing w:line="240" w:lineRule="auto" w:before="193"/>
        <w:ind w:left="1254" w:right="1033"/>
        <w:jc w:val="left"/>
      </w:pPr>
      <w:r>
        <w:rPr/>
        <w:t>√适用 □ 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19"/>
        <w:gridCol w:w="1559"/>
        <w:gridCol w:w="1559"/>
        <w:gridCol w:w="1276"/>
        <w:gridCol w:w="3759"/>
      </w:tblGrid>
      <w:tr>
        <w:trPr>
          <w:trHeight w:val="133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6" w:right="47" w:hanging="1"/>
              <w:jc w:val="center"/>
              <w:rPr>
                <w:rFonts w:ascii="宋体" w:hAnsi="宋体" w:cs="宋体" w:eastAsia="宋体" w:hint="default"/>
                <w:sz w:val="21"/>
                <w:szCs w:val="21"/>
              </w:rPr>
            </w:pPr>
            <w:r>
              <w:rPr>
                <w:rFonts w:ascii="宋体" w:hAnsi="宋体" w:cs="宋体" w:eastAsia="宋体" w:hint="default"/>
                <w:sz w:val="21"/>
                <w:szCs w:val="21"/>
              </w:rPr>
              <w:t>董事、监事、 高级管理人 员、持股</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 上的股东名称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43" w:right="38" w:hanging="106"/>
              <w:jc w:val="left"/>
              <w:rPr>
                <w:rFonts w:ascii="宋体" w:hAnsi="宋体" w:cs="宋体" w:eastAsia="宋体" w:hint="default"/>
                <w:sz w:val="21"/>
                <w:szCs w:val="21"/>
              </w:rPr>
            </w:pPr>
            <w:r>
              <w:rPr>
                <w:rFonts w:ascii="宋体" w:hAnsi="宋体" w:cs="宋体" w:eastAsia="宋体" w:hint="default"/>
                <w:sz w:val="21"/>
                <w:szCs w:val="21"/>
              </w:rPr>
              <w:t>违规买卖公司股 票的具体情况</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44" w:right="39" w:hanging="106"/>
              <w:jc w:val="left"/>
              <w:rPr>
                <w:rFonts w:ascii="宋体" w:hAnsi="宋体" w:cs="宋体" w:eastAsia="宋体" w:hint="default"/>
                <w:sz w:val="21"/>
                <w:szCs w:val="21"/>
              </w:rPr>
            </w:pPr>
            <w:r>
              <w:rPr>
                <w:rFonts w:ascii="宋体" w:hAnsi="宋体" w:cs="宋体" w:eastAsia="宋体" w:hint="default"/>
                <w:sz w:val="21"/>
                <w:szCs w:val="21"/>
              </w:rPr>
              <w:t>涉嫌违规所得收 益收回的时间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 w:firstLine="85"/>
              <w:jc w:val="both"/>
              <w:rPr>
                <w:rFonts w:ascii="宋体" w:hAnsi="宋体" w:cs="宋体" w:eastAsia="宋体" w:hint="default"/>
                <w:sz w:val="21"/>
                <w:szCs w:val="21"/>
              </w:rPr>
            </w:pPr>
            <w:r>
              <w:rPr>
                <w:rFonts w:ascii="宋体" w:hAnsi="宋体" w:cs="宋体" w:eastAsia="宋体" w:hint="default"/>
                <w:sz w:val="21"/>
                <w:szCs w:val="21"/>
              </w:rPr>
              <w:t>涉嫌违规所 得收益收回 的金额（元）</w:t>
            </w:r>
          </w:p>
        </w:tc>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24" w:right="0"/>
              <w:jc w:val="left"/>
              <w:rPr>
                <w:rFonts w:ascii="宋体" w:hAnsi="宋体" w:cs="宋体" w:eastAsia="宋体" w:hint="default"/>
                <w:sz w:val="21"/>
                <w:szCs w:val="21"/>
              </w:rPr>
            </w:pPr>
            <w:r>
              <w:rPr>
                <w:rFonts w:ascii="宋体" w:hAnsi="宋体" w:cs="宋体" w:eastAsia="宋体" w:hint="default"/>
                <w:sz w:val="21"/>
                <w:szCs w:val="21"/>
              </w:rPr>
              <w:t>董事会采取的问责措施</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4"/>
              <w:jc w:val="left"/>
              <w:rPr>
                <w:rFonts w:ascii="宋体" w:hAnsi="宋体" w:cs="宋体" w:eastAsia="宋体" w:hint="default"/>
                <w:sz w:val="21"/>
                <w:szCs w:val="21"/>
              </w:rPr>
            </w:pPr>
            <w:r>
              <w:rPr>
                <w:rFonts w:ascii="宋体" w:hAnsi="宋体" w:cs="宋体" w:eastAsia="宋体" w:hint="default"/>
                <w:sz w:val="21"/>
                <w:szCs w:val="21"/>
              </w:rPr>
              <w:t>孙屹峥超比例减 持</w:t>
            </w:r>
            <w:r>
              <w:rPr>
                <w:rFonts w:ascii="宋体" w:hAnsi="宋体" w:cs="宋体" w:eastAsia="宋体" w:hint="default"/>
                <w:spacing w:val="-53"/>
                <w:sz w:val="21"/>
                <w:szCs w:val="21"/>
              </w:rPr>
              <w:t> </w:t>
            </w:r>
            <w:r>
              <w:rPr>
                <w:rFonts w:ascii="宋体" w:hAnsi="宋体" w:cs="宋体" w:eastAsia="宋体" w:hint="default"/>
                <w:sz w:val="21"/>
                <w:szCs w:val="21"/>
              </w:rPr>
              <w:t>201,218</w:t>
            </w:r>
            <w:r>
              <w:rPr>
                <w:rFonts w:ascii="宋体" w:hAnsi="宋体" w:cs="宋体" w:eastAsia="宋体" w:hint="default"/>
                <w:spacing w:val="-53"/>
                <w:sz w:val="21"/>
                <w:szCs w:val="21"/>
              </w:rPr>
              <w:t> </w:t>
            </w:r>
            <w:r>
              <w:rPr>
                <w:rFonts w:ascii="宋体" w:hAnsi="宋体" w:cs="宋体" w:eastAsia="宋体" w:hint="default"/>
                <w:sz w:val="21"/>
                <w:szCs w:val="21"/>
              </w:rPr>
              <w:t>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3759" w:type="dxa"/>
            <w:vMerge w:val="restart"/>
            <w:tcBorders>
              <w:top w:val="single" w:sz="4" w:space="0" w:color="000000"/>
              <w:left w:val="single" w:sz="4" w:space="0" w:color="000000"/>
              <w:right w:val="single" w:sz="4" w:space="0" w:color="000000"/>
            </w:tcBorders>
          </w:tcPr>
          <w:p>
            <w:pPr>
              <w:pStyle w:val="TableParagraph"/>
              <w:spacing w:line="290" w:lineRule="auto" w:before="26"/>
              <w:ind w:left="23" w:right="21"/>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督促当事人配合监管调查，并提供相关</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资料； </w:t>
            </w:r>
            <w:r>
              <w:rPr>
                <w:rFonts w:ascii="宋体" w:hAnsi="宋体" w:cs="宋体" w:eastAsia="宋体" w:hint="default"/>
                <w:sz w:val="21"/>
                <w:szCs w:val="21"/>
              </w:rPr>
              <w:t>2.</w:t>
            </w:r>
            <w:r>
              <w:rPr>
                <w:rFonts w:ascii="宋体" w:hAnsi="宋体" w:cs="宋体" w:eastAsia="宋体" w:hint="default"/>
                <w:sz w:val="21"/>
                <w:szCs w:val="21"/>
              </w:rPr>
              <w:t>督促当事人认真学习相关法律法规及 规范性文件，提高守法意识； </w:t>
            </w:r>
            <w:r>
              <w:rPr>
                <w:rFonts w:ascii="宋体" w:hAnsi="宋体" w:cs="宋体" w:eastAsia="宋体" w:hint="default"/>
                <w:spacing w:val="-6"/>
                <w:sz w:val="21"/>
                <w:szCs w:val="21"/>
              </w:rPr>
              <w:t>3.</w:t>
            </w:r>
            <w:r>
              <w:rPr>
                <w:rFonts w:ascii="宋体" w:hAnsi="宋体" w:cs="宋体" w:eastAsia="宋体" w:hint="default"/>
                <w:spacing w:val="-6"/>
                <w:sz w:val="21"/>
                <w:szCs w:val="21"/>
              </w:rPr>
              <w:t>督促当事人向全体股东发《致歉函》；</w:t>
            </w:r>
          </w:p>
          <w:p>
            <w:pPr>
              <w:pStyle w:val="TableParagraph"/>
              <w:spacing w:line="273" w:lineRule="auto" w:before="32"/>
              <w:ind w:left="23" w:right="48"/>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督促</w:t>
            </w:r>
            <w:r>
              <w:rPr>
                <w:rFonts w:ascii="宋体" w:hAnsi="宋体" w:cs="宋体" w:eastAsia="宋体" w:hint="default"/>
                <w:spacing w:val="-3"/>
                <w:sz w:val="21"/>
                <w:szCs w:val="21"/>
              </w:rPr>
              <w:t> </w:t>
            </w:r>
            <w:r>
              <w:rPr>
                <w:rFonts w:ascii="宋体" w:hAnsi="宋体" w:cs="宋体" w:eastAsia="宋体" w:hint="default"/>
                <w:sz w:val="21"/>
                <w:szCs w:val="21"/>
              </w:rPr>
              <w:t>当事人按证监会处罚决定书的约</w:t>
            </w:r>
            <w:r>
              <w:rPr>
                <w:rFonts w:ascii="宋体" w:hAnsi="宋体" w:cs="宋体" w:eastAsia="宋体" w:hint="default"/>
                <w:sz w:val="21"/>
                <w:szCs w:val="21"/>
              </w:rPr>
              <w:t> 定缴纳罚款。</w:t>
            </w:r>
          </w:p>
        </w:tc>
      </w:tr>
      <w:tr>
        <w:trPr>
          <w:trHeight w:val="16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张菀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202"/>
              <w:ind w:left="22" w:right="84"/>
              <w:jc w:val="left"/>
              <w:rPr>
                <w:rFonts w:ascii="宋体" w:hAnsi="宋体" w:cs="宋体" w:eastAsia="宋体" w:hint="default"/>
                <w:sz w:val="24"/>
                <w:szCs w:val="24"/>
              </w:rPr>
            </w:pPr>
            <w:r>
              <w:rPr>
                <w:rFonts w:ascii="宋体" w:hAnsi="宋体" w:cs="宋体" w:eastAsia="宋体" w:hint="default"/>
                <w:sz w:val="24"/>
                <w:szCs w:val="24"/>
              </w:rPr>
              <w:t>张菀超比例减 持</w:t>
            </w:r>
            <w:r>
              <w:rPr>
                <w:rFonts w:ascii="宋体" w:hAnsi="宋体" w:cs="宋体" w:eastAsia="宋体" w:hint="default"/>
                <w:spacing w:val="-60"/>
                <w:sz w:val="24"/>
                <w:szCs w:val="24"/>
              </w:rPr>
              <w:t> </w:t>
            </w:r>
            <w:r>
              <w:rPr>
                <w:rFonts w:ascii="宋体" w:hAnsi="宋体" w:cs="宋体" w:eastAsia="宋体" w:hint="default"/>
                <w:sz w:val="24"/>
                <w:szCs w:val="24"/>
              </w:rPr>
              <w:t>200,000</w:t>
            </w:r>
            <w:r>
              <w:rPr>
                <w:rFonts w:ascii="宋体" w:hAnsi="宋体" w:cs="宋体" w:eastAsia="宋体" w:hint="default"/>
                <w:spacing w:val="-60"/>
                <w:sz w:val="24"/>
                <w:szCs w:val="24"/>
              </w:rPr>
              <w:t> </w:t>
            </w:r>
            <w:r>
              <w:rPr>
                <w:rFonts w:ascii="宋体" w:hAnsi="宋体" w:cs="宋体" w:eastAsia="宋体" w:hint="default"/>
                <w:sz w:val="24"/>
                <w:szCs w:val="24"/>
              </w:rPr>
              <w:t>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27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3759"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9"/>
        <w:ind w:right="1033"/>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10"/>
        <w:rPr>
          <w:rFonts w:ascii="宋体" w:hAnsi="宋体" w:cs="宋体" w:eastAsia="宋体" w:hint="default"/>
          <w:b/>
          <w:bCs/>
          <w:sz w:val="34"/>
          <w:szCs w:val="34"/>
        </w:rPr>
      </w:pPr>
    </w:p>
    <w:p>
      <w:pPr>
        <w:spacing w:line="585" w:lineRule="auto" w:before="0"/>
        <w:ind w:left="1134" w:right="2113" w:firstLine="0"/>
        <w:jc w:val="left"/>
        <w:rPr>
          <w:rFonts w:ascii="宋体" w:hAnsi="宋体" w:cs="宋体" w:eastAsia="宋体" w:hint="default"/>
          <w:sz w:val="24"/>
          <w:szCs w:val="24"/>
        </w:rPr>
      </w:pPr>
      <w:r>
        <w:rPr>
          <w:rFonts w:ascii="宋体" w:hAnsi="宋体" w:cs="宋体" w:eastAsia="宋体" w:hint="default"/>
          <w:sz w:val="24"/>
          <w:szCs w:val="24"/>
        </w:rPr>
        <w:t>□ 适用 √不适用 </w:t>
      </w:r>
      <w:bookmarkStart w:name="十四、公司股权激励计划、员工持股计划或其他员工激励措施的实施情况" w:id="75"/>
      <w:bookmarkEnd w:id="75"/>
      <w:r>
        <w:rPr>
          <w:rFonts w:ascii="宋体" w:hAnsi="宋体" w:cs="宋体" w:eastAsia="宋体" w:hint="default"/>
          <w:sz w:val="24"/>
          <w:szCs w:val="24"/>
        </w:rPr>
      </w:r>
      <w:r>
        <w:rPr>
          <w:rFonts w:ascii="宋体" w:hAnsi="宋体" w:cs="宋体" w:eastAsia="宋体" w:hint="default"/>
          <w:b/>
          <w:bCs/>
          <w:w w:val="95"/>
          <w:sz w:val="24"/>
          <w:szCs w:val="24"/>
        </w:rPr>
        <w:t>十四、公司股权激励计划、员工持股计划或其他员工激励措施的实施情况</w:t>
      </w:r>
      <w:r>
        <w:rPr>
          <w:rFonts w:ascii="宋体" w:hAnsi="宋体" w:cs="宋体" w:eastAsia="宋体" w:hint="default"/>
          <w:sz w:val="24"/>
          <w:szCs w:val="24"/>
        </w:rPr>
      </w:r>
    </w:p>
    <w:p>
      <w:pPr>
        <w:pStyle w:val="BodyText"/>
        <w:spacing w:line="386" w:lineRule="auto" w:before="110"/>
        <w:ind w:left="1614" w:right="1122" w:hanging="480"/>
        <w:jc w:val="left"/>
      </w:pPr>
      <w:r>
        <w:rPr/>
        <w:t>√适用 □ 不适用 </w:t>
      </w:r>
      <w:r>
        <w:rPr>
          <w:spacing w:val="-5"/>
        </w:rPr>
        <w:t>四川依米康环境科技股份有限公司（以下简称“公司”）分别于</w:t>
      </w:r>
      <w:r>
        <w:rPr>
          <w:rFonts w:ascii="宋体" w:hAnsi="宋体" w:cs="宋体" w:eastAsia="宋体" w:hint="default"/>
          <w:spacing w:val="-5"/>
        </w:rPr>
        <w:t>2015</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7</w:t>
      </w:r>
      <w:r>
        <w:rPr>
          <w:spacing w:val="-5"/>
        </w:rPr>
        <w:t>日召开第二届</w:t>
      </w:r>
    </w:p>
    <w:p>
      <w:pPr>
        <w:pStyle w:val="BodyText"/>
        <w:spacing w:line="357" w:lineRule="auto" w:before="7"/>
        <w:ind w:right="1049"/>
        <w:jc w:val="left"/>
      </w:pPr>
      <w:r>
        <w:rPr>
          <w:spacing w:val="-2"/>
        </w:rPr>
        <w:t>董事会第二十六次会议和第二届监事会第十九次会议、</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日召开</w:t>
      </w:r>
      <w:r>
        <w:rPr>
          <w:rFonts w:ascii="宋体" w:hAnsi="宋体" w:cs="宋体" w:eastAsia="宋体" w:hint="default"/>
          <w:spacing w:val="-2"/>
        </w:rPr>
        <w:t>2015</w:t>
      </w:r>
      <w:r>
        <w:rPr>
          <w:spacing w:val="-2"/>
        </w:rPr>
        <w:t>年度第一次临</w:t>
      </w:r>
      <w:r>
        <w:rPr>
          <w:spacing w:val="-110"/>
        </w:rPr>
        <w:t> </w:t>
      </w:r>
      <w:r>
        <w:rPr>
          <w:spacing w:val="-5"/>
        </w:rPr>
        <w:t>时股东大会，审议通过了《关于＜四川依米康环境科技股份有限公司第一期员工持股计划（草</w:t>
      </w:r>
      <w:r>
        <w:rPr/>
        <w:t> 案）＞及其摘要的议案》及相关议案，同意公司实施第一期员工持股计划。具体内容详见公 司于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8</w:t>
      </w:r>
      <w:r>
        <w:rPr/>
        <w:t>日、</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24</w:t>
      </w:r>
      <w:r>
        <w:rPr/>
        <w:t>日刊登在巨潮资讯网上的相关公告（公告编号：</w:t>
      </w:r>
      <w:r>
        <w:rPr>
          <w:rFonts w:ascii="宋体" w:hAnsi="宋体" w:cs="宋体" w:eastAsia="宋体" w:hint="default"/>
        </w:rPr>
        <w:t>2015-050</w:t>
      </w:r>
      <w:r>
        <w:rPr/>
        <w:t>， </w:t>
      </w:r>
      <w:r>
        <w:rPr>
          <w:rFonts w:ascii="宋体" w:hAnsi="宋体" w:cs="宋体" w:eastAsia="宋体" w:hint="default"/>
          <w:spacing w:val="-7"/>
        </w:rPr>
        <w:t>2015-051</w:t>
      </w:r>
      <w:r>
        <w:rPr>
          <w:spacing w:val="-7"/>
        </w:rPr>
        <w:t>、</w:t>
      </w:r>
      <w:r>
        <w:rPr>
          <w:rFonts w:ascii="宋体" w:hAnsi="宋体" w:cs="宋体" w:eastAsia="宋体" w:hint="default"/>
          <w:spacing w:val="-7"/>
        </w:rPr>
        <w:t>2015-057</w:t>
      </w:r>
      <w:r>
        <w:rPr>
          <w:spacing w:val="-7"/>
        </w:rPr>
        <w:t>）。</w:t>
      </w:r>
    </w:p>
    <w:p>
      <w:pPr>
        <w:pStyle w:val="BodyText"/>
        <w:spacing w:line="357" w:lineRule="auto" w:before="74"/>
        <w:ind w:right="1128" w:firstLine="480"/>
        <w:jc w:val="both"/>
      </w:pPr>
      <w:r>
        <w:rPr/>
        <w:t>公司分别于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23</w:t>
      </w:r>
      <w:r>
        <w:rPr/>
        <w:t>日召开第三届董事会第三次会议和第三届监事会第三次会议、 </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11</w:t>
      </w:r>
      <w:r>
        <w:rPr/>
        <w:t>日召开</w:t>
      </w:r>
      <w:r>
        <w:rPr>
          <w:rFonts w:ascii="宋体" w:hAnsi="宋体" w:cs="宋体" w:eastAsia="宋体" w:hint="default"/>
        </w:rPr>
        <w:t>2015</w:t>
      </w:r>
      <w:r>
        <w:rPr/>
        <w:t>年第三次临时股东大会，审议通过《关于对公司第一期员工持股计</w:t>
      </w:r>
      <w:r>
        <w:rPr>
          <w:spacing w:val="-111"/>
        </w:rPr>
        <w:t> </w:t>
      </w:r>
      <w:r>
        <w:rPr>
          <w:spacing w:val="-111"/>
        </w:rPr>
      </w:r>
      <w:r>
        <w:rPr>
          <w:spacing w:val="-5"/>
        </w:rPr>
        <w:t>划进行调整的议案》，同意对员工持股计划中关于标的股票购买时限的相关规定进行调整。具</w:t>
      </w:r>
      <w:r>
        <w:rPr>
          <w:spacing w:val="-116"/>
        </w:rPr>
        <w:t> </w:t>
      </w:r>
      <w:r>
        <w:rPr>
          <w:spacing w:val="-116"/>
        </w:rPr>
      </w:r>
      <w:r>
        <w:rPr/>
        <w:t>体内容详见公司于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24</w:t>
      </w:r>
      <w:r>
        <w:rPr/>
        <w:t>日、</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11</w:t>
      </w:r>
      <w:r>
        <w:rPr/>
        <w:t>日刊登在巨潮资讯网上的相关公告（公告</w:t>
      </w:r>
      <w:r>
        <w:rPr>
          <w:spacing w:val="-99"/>
        </w:rPr>
        <w:t> </w:t>
      </w:r>
      <w:r>
        <w:rPr>
          <w:spacing w:val="-99"/>
        </w:rPr>
      </w:r>
      <w:r>
        <w:rPr>
          <w:spacing w:val="-7"/>
        </w:rPr>
        <w:t>编号：</w:t>
      </w:r>
      <w:r>
        <w:rPr>
          <w:rFonts w:ascii="宋体" w:hAnsi="宋体" w:cs="宋体" w:eastAsia="宋体" w:hint="default"/>
          <w:spacing w:val="-7"/>
        </w:rPr>
        <w:t>2015-098</w:t>
      </w:r>
      <w:r>
        <w:rPr>
          <w:spacing w:val="-7"/>
        </w:rPr>
        <w:t>、</w:t>
      </w:r>
      <w:r>
        <w:rPr>
          <w:rFonts w:ascii="宋体" w:hAnsi="宋体" w:cs="宋体" w:eastAsia="宋体" w:hint="default"/>
          <w:spacing w:val="-7"/>
        </w:rPr>
        <w:t>2015099</w:t>
      </w:r>
      <w:r>
        <w:rPr>
          <w:spacing w:val="-7"/>
        </w:rPr>
        <w:t>、</w:t>
      </w:r>
      <w:r>
        <w:rPr>
          <w:rFonts w:ascii="宋体" w:hAnsi="宋体" w:cs="宋体" w:eastAsia="宋体" w:hint="default"/>
          <w:spacing w:val="-7"/>
        </w:rPr>
        <w:t>2015-100</w:t>
      </w:r>
      <w:r>
        <w:rPr>
          <w:spacing w:val="-7"/>
        </w:rPr>
        <w:t>，</w:t>
      </w:r>
      <w:r>
        <w:rPr>
          <w:rFonts w:ascii="宋体" w:hAnsi="宋体" w:cs="宋体" w:eastAsia="宋体" w:hint="default"/>
          <w:spacing w:val="-7"/>
        </w:rPr>
        <w:t>2015-107</w:t>
      </w:r>
      <w:r>
        <w:rPr>
          <w:spacing w:val="-7"/>
        </w:rPr>
        <w:t>）。</w:t>
      </w:r>
      <w:r>
        <w:rPr/>
      </w:r>
    </w:p>
    <w:p>
      <w:pPr>
        <w:pStyle w:val="BodyText"/>
        <w:spacing w:line="357" w:lineRule="auto" w:before="76"/>
        <w:ind w:left="1134" w:right="1130" w:firstLine="480"/>
        <w:jc w:val="both"/>
      </w:pPr>
      <w:r>
        <w:rPr>
          <w:spacing w:val="-3"/>
        </w:rPr>
        <w:t>本员工持股计划委托广发证券资产管理（广东）有限公司管理成立“广发恒众·依米康</w:t>
      </w:r>
      <w:r>
        <w:rPr>
          <w:rFonts w:ascii="宋体" w:hAnsi="宋体" w:cs="宋体" w:eastAsia="宋体" w:hint="default"/>
          <w:spacing w:val="-3"/>
        </w:rPr>
        <w:t>1</w:t>
      </w:r>
      <w:r>
        <w:rPr>
          <w:rFonts w:ascii="宋体" w:hAnsi="宋体" w:cs="宋体" w:eastAsia="宋体" w:hint="default"/>
        </w:rPr>
        <w:t> </w:t>
      </w:r>
      <w:r>
        <w:rPr/>
        <w:t>号集合资产管理计划”进行管理。</w:t>
      </w:r>
    </w:p>
    <w:p>
      <w:pPr>
        <w:pStyle w:val="BodyText"/>
        <w:spacing w:line="240" w:lineRule="auto" w:before="74"/>
        <w:ind w:left="1614" w:right="1033"/>
        <w:jc w:val="left"/>
      </w:pPr>
      <w:r>
        <w:rPr/>
        <w:t>公司已严格按照相关法律、法规的规定履行了信息披露义务，并对员工持股计划实施进</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right="1130"/>
        <w:jc w:val="both"/>
      </w:pPr>
      <w:r>
        <w:rPr>
          <w:spacing w:val="-2"/>
        </w:rPr>
        <w:t>程予以及时披露，具体内容详见公司于</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8</w:t>
      </w:r>
      <w:r>
        <w:rPr>
          <w:spacing w:val="-2"/>
        </w:rPr>
        <w:t>日、</w:t>
      </w:r>
      <w:r>
        <w:rPr>
          <w:rFonts w:ascii="宋体" w:hAnsi="宋体" w:cs="宋体" w:eastAsia="宋体" w:hint="default"/>
          <w:spacing w:val="-2"/>
        </w:rPr>
        <w:t>9</w:t>
      </w:r>
      <w:r>
        <w:rPr>
          <w:spacing w:val="-2"/>
        </w:rPr>
        <w:t>月</w:t>
      </w:r>
      <w:r>
        <w:rPr>
          <w:rFonts w:ascii="宋体" w:hAnsi="宋体" w:cs="宋体" w:eastAsia="宋体" w:hint="default"/>
          <w:spacing w:val="-2"/>
        </w:rPr>
        <w:t>8</w:t>
      </w:r>
      <w:r>
        <w:rPr>
          <w:spacing w:val="-2"/>
        </w:rPr>
        <w:t>日、</w:t>
      </w:r>
      <w:r>
        <w:rPr>
          <w:rFonts w:ascii="宋体" w:hAnsi="宋体" w:cs="宋体" w:eastAsia="宋体" w:hint="default"/>
          <w:spacing w:val="-2"/>
        </w:rPr>
        <w:t>10</w:t>
      </w:r>
      <w:r>
        <w:rPr>
          <w:spacing w:val="-2"/>
        </w:rPr>
        <w:t>月</w:t>
      </w:r>
      <w:r>
        <w:rPr>
          <w:rFonts w:ascii="宋体" w:hAnsi="宋体" w:cs="宋体" w:eastAsia="宋体" w:hint="default"/>
          <w:spacing w:val="-2"/>
        </w:rPr>
        <w:t>8</w:t>
      </w:r>
      <w:r>
        <w:rPr>
          <w:spacing w:val="-2"/>
        </w:rPr>
        <w:t>日、</w:t>
      </w:r>
      <w:r>
        <w:rPr>
          <w:rFonts w:ascii="宋体" w:hAnsi="宋体" w:cs="宋体" w:eastAsia="宋体" w:hint="default"/>
          <w:spacing w:val="-2"/>
        </w:rPr>
        <w:t>11</w:t>
      </w:r>
      <w:r>
        <w:rPr>
          <w:spacing w:val="-2"/>
        </w:rPr>
        <w:t>月</w:t>
      </w:r>
      <w:r>
        <w:rPr>
          <w:rFonts w:ascii="宋体" w:hAnsi="宋体" w:cs="宋体" w:eastAsia="宋体" w:hint="default"/>
          <w:spacing w:val="-2"/>
        </w:rPr>
        <w:t>10</w:t>
      </w:r>
      <w:r>
        <w:rPr>
          <w:spacing w:val="-2"/>
        </w:rPr>
        <w:t>日、</w:t>
      </w:r>
      <w:r>
        <w:rPr>
          <w:rFonts w:ascii="宋体" w:hAnsi="宋体" w:cs="宋体" w:eastAsia="宋体" w:hint="default"/>
          <w:spacing w:val="-2"/>
        </w:rPr>
        <w:t>12</w:t>
      </w:r>
      <w:r>
        <w:rPr>
          <w:spacing w:val="-2"/>
        </w:rPr>
        <w:t>月</w:t>
      </w:r>
      <w:r>
        <w:rPr>
          <w:rFonts w:ascii="宋体" w:hAnsi="宋体" w:cs="宋体" w:eastAsia="宋体" w:hint="default"/>
          <w:spacing w:val="-2"/>
        </w:rPr>
        <w:t>10</w:t>
      </w:r>
      <w:r>
        <w:rPr>
          <w:rFonts w:ascii="宋体" w:hAnsi="宋体" w:cs="宋体" w:eastAsia="宋体" w:hint="default"/>
          <w:spacing w:val="-104"/>
        </w:rPr>
        <w:t> </w:t>
      </w:r>
      <w:r>
        <w:rPr>
          <w:spacing w:val="5"/>
        </w:rPr>
        <w:t>日和</w:t>
      </w:r>
      <w:r>
        <w:rPr>
          <w:rFonts w:ascii="宋体" w:hAnsi="宋体" w:cs="宋体" w:eastAsia="宋体" w:hint="default"/>
          <w:spacing w:val="5"/>
        </w:rPr>
        <w:t>2016</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8</w:t>
      </w:r>
      <w:r>
        <w:rPr>
          <w:spacing w:val="5"/>
        </w:rPr>
        <w:t>日、</w:t>
      </w:r>
      <w:r>
        <w:rPr>
          <w:rFonts w:ascii="宋体" w:hAnsi="宋体" w:cs="宋体" w:eastAsia="宋体" w:hint="default"/>
          <w:spacing w:val="5"/>
        </w:rPr>
        <w:t>2</w:t>
      </w:r>
      <w:r>
        <w:rPr>
          <w:spacing w:val="5"/>
        </w:rPr>
        <w:t>月</w:t>
      </w:r>
      <w:r>
        <w:rPr>
          <w:rFonts w:ascii="宋体" w:hAnsi="宋体" w:cs="宋体" w:eastAsia="宋体" w:hint="default"/>
          <w:spacing w:val="5"/>
        </w:rPr>
        <w:t>1</w:t>
      </w:r>
      <w:r>
        <w:rPr>
          <w:spacing w:val="5"/>
        </w:rPr>
        <w:t>日刊登在巨潮资讯网上披露的相关公告（公告编号：</w:t>
      </w:r>
      <w:r>
        <w:rPr>
          <w:rFonts w:ascii="宋体" w:hAnsi="宋体" w:cs="宋体" w:eastAsia="宋体" w:hint="default"/>
          <w:spacing w:val="5"/>
        </w:rPr>
        <w:t>2015-070</w:t>
      </w:r>
      <w:r>
        <w:rPr>
          <w:spacing w:val="5"/>
        </w:rPr>
        <w:t>、</w:t>
      </w:r>
      <w:r>
        <w:rPr>
          <w:spacing w:val="-93"/>
        </w:rPr>
        <w:t> </w:t>
      </w:r>
      <w:r>
        <w:rPr>
          <w:rFonts w:ascii="宋体" w:hAnsi="宋体" w:cs="宋体" w:eastAsia="宋体" w:hint="default"/>
          <w:spacing w:val="-3"/>
        </w:rPr>
        <w:t>2015-088</w:t>
      </w:r>
      <w:r>
        <w:rPr>
          <w:spacing w:val="-3"/>
        </w:rPr>
        <w:t>、</w:t>
      </w:r>
      <w:r>
        <w:rPr>
          <w:rFonts w:ascii="宋体" w:hAnsi="宋体" w:cs="宋体" w:eastAsia="宋体" w:hint="default"/>
          <w:spacing w:val="-3"/>
        </w:rPr>
        <w:t>2015-090</w:t>
      </w:r>
      <w:r>
        <w:rPr>
          <w:spacing w:val="-3"/>
        </w:rPr>
        <w:t>、</w:t>
      </w:r>
      <w:r>
        <w:rPr>
          <w:rFonts w:ascii="宋体" w:hAnsi="宋体" w:cs="宋体" w:eastAsia="宋体" w:hint="default"/>
          <w:spacing w:val="-3"/>
        </w:rPr>
        <w:t>2015-097</w:t>
      </w:r>
      <w:r>
        <w:rPr>
          <w:spacing w:val="-3"/>
        </w:rPr>
        <w:t>、</w:t>
      </w:r>
      <w:r>
        <w:rPr>
          <w:rFonts w:ascii="宋体" w:hAnsi="宋体" w:cs="宋体" w:eastAsia="宋体" w:hint="default"/>
          <w:spacing w:val="-3"/>
        </w:rPr>
        <w:t>2015-106</w:t>
      </w:r>
      <w:r>
        <w:rPr>
          <w:spacing w:val="-3"/>
        </w:rPr>
        <w:t>、</w:t>
      </w:r>
      <w:r>
        <w:rPr>
          <w:rFonts w:ascii="宋体" w:hAnsi="宋体" w:cs="宋体" w:eastAsia="宋体" w:hint="default"/>
          <w:spacing w:val="-3"/>
        </w:rPr>
        <w:t>2016-001</w:t>
      </w:r>
      <w:r>
        <w:rPr>
          <w:spacing w:val="-3"/>
        </w:rPr>
        <w:t>、</w:t>
      </w:r>
      <w:r>
        <w:rPr>
          <w:rFonts w:ascii="宋体" w:hAnsi="宋体" w:cs="宋体" w:eastAsia="宋体" w:hint="default"/>
          <w:spacing w:val="-3"/>
        </w:rPr>
        <w:t>2016-006</w:t>
      </w:r>
      <w:r>
        <w:rPr>
          <w:spacing w:val="-3"/>
        </w:rPr>
        <w:t>）。</w:t>
      </w:r>
    </w:p>
    <w:p>
      <w:pPr>
        <w:pStyle w:val="BodyText"/>
        <w:spacing w:line="357" w:lineRule="auto" w:before="75"/>
        <w:ind w:right="1049" w:firstLine="480"/>
        <w:jc w:val="both"/>
      </w:pPr>
      <w:r>
        <w:rPr>
          <w:spacing w:val="3"/>
        </w:rPr>
        <w:t>依米康一期员工持股计划于</w:t>
      </w:r>
      <w:r>
        <w:rPr>
          <w:rFonts w:ascii="宋体" w:hAnsi="宋体" w:cs="宋体" w:eastAsia="宋体" w:hint="default"/>
          <w:spacing w:val="3"/>
        </w:rPr>
        <w:t>2015</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8</w:t>
      </w:r>
      <w:r>
        <w:rPr>
          <w:spacing w:val="3"/>
        </w:rPr>
        <w:t>日至</w:t>
      </w:r>
      <w:r>
        <w:rPr>
          <w:rFonts w:ascii="宋体" w:hAnsi="宋体" w:cs="宋体" w:eastAsia="宋体" w:hint="default"/>
          <w:spacing w:val="3"/>
        </w:rPr>
        <w:t>2016</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29</w:t>
      </w:r>
      <w:r>
        <w:rPr>
          <w:spacing w:val="3"/>
        </w:rPr>
        <w:t>日期间通过二级市场以竞价方</w:t>
      </w:r>
      <w:r>
        <w:rPr/>
        <w:t> 式</w:t>
      </w:r>
      <w:r>
        <w:rPr>
          <w:spacing w:val="-76"/>
        </w:rPr>
        <w:t> </w:t>
      </w:r>
      <w:r>
        <w:rPr/>
        <w:t>累</w:t>
      </w:r>
      <w:r>
        <w:rPr>
          <w:spacing w:val="-76"/>
        </w:rPr>
        <w:t> </w:t>
      </w:r>
      <w:r>
        <w:rPr/>
        <w:t>计</w:t>
      </w:r>
      <w:r>
        <w:rPr>
          <w:spacing w:val="-76"/>
        </w:rPr>
        <w:t> </w:t>
      </w:r>
      <w:r>
        <w:rPr/>
        <w:t>买</w:t>
      </w:r>
      <w:r>
        <w:rPr>
          <w:spacing w:val="-78"/>
        </w:rPr>
        <w:t> </w:t>
      </w:r>
      <w:r>
        <w:rPr/>
        <w:t>入</w:t>
      </w:r>
      <w:r>
        <w:rPr>
          <w:spacing w:val="-76"/>
        </w:rPr>
        <w:t> </w:t>
      </w:r>
      <w:r>
        <w:rPr/>
        <w:t>本</w:t>
      </w:r>
      <w:r>
        <w:rPr>
          <w:spacing w:val="-76"/>
        </w:rPr>
        <w:t> </w:t>
      </w:r>
      <w:r>
        <w:rPr/>
        <w:t>公</w:t>
      </w:r>
      <w:r>
        <w:rPr>
          <w:spacing w:val="-76"/>
        </w:rPr>
        <w:t> </w:t>
      </w:r>
      <w:r>
        <w:rPr/>
        <w:t>司</w:t>
      </w:r>
      <w:r>
        <w:rPr>
          <w:spacing w:val="-78"/>
        </w:rPr>
        <w:t> </w:t>
      </w:r>
      <w:r>
        <w:rPr/>
        <w:t>股</w:t>
      </w:r>
      <w:r>
        <w:rPr>
          <w:spacing w:val="-76"/>
        </w:rPr>
        <w:t> </w:t>
      </w:r>
      <w:r>
        <w:rPr/>
        <w:t>票</w:t>
      </w:r>
      <w:r>
        <w:rPr>
          <w:spacing w:val="-74"/>
        </w:rPr>
        <w:t> </w:t>
      </w:r>
      <w:r>
        <w:rPr>
          <w:rFonts w:ascii="宋体" w:hAnsi="宋体" w:cs="宋体" w:eastAsia="宋体" w:hint="default"/>
        </w:rPr>
        <w:t>2,810,126</w:t>
      </w:r>
      <w:r>
        <w:rPr>
          <w:rFonts w:ascii="宋体" w:hAnsi="宋体" w:cs="宋体" w:eastAsia="宋体" w:hint="default"/>
          <w:spacing w:val="-76"/>
        </w:rPr>
        <w:t> </w:t>
      </w:r>
      <w:r>
        <w:rPr/>
        <w:t>股</w:t>
      </w:r>
      <w:r>
        <w:rPr>
          <w:spacing w:val="-76"/>
        </w:rPr>
        <w:t> </w:t>
      </w:r>
      <w:r>
        <w:rPr/>
        <w:t>，</w:t>
      </w:r>
      <w:r>
        <w:rPr>
          <w:spacing w:val="-78"/>
        </w:rPr>
        <w:t> </w:t>
      </w:r>
      <w:r>
        <w:rPr/>
        <w:t>占</w:t>
      </w:r>
      <w:r>
        <w:rPr>
          <w:spacing w:val="-76"/>
        </w:rPr>
        <w:t> </w:t>
      </w:r>
      <w:r>
        <w:rPr/>
        <w:t>本</w:t>
      </w:r>
      <w:r>
        <w:rPr>
          <w:spacing w:val="-76"/>
        </w:rPr>
        <w:t> </w:t>
      </w:r>
      <w:r>
        <w:rPr/>
        <w:t>公</w:t>
      </w:r>
      <w:r>
        <w:rPr>
          <w:spacing w:val="-76"/>
        </w:rPr>
        <w:t> </w:t>
      </w:r>
      <w:r>
        <w:rPr/>
        <w:t>司</w:t>
      </w:r>
      <w:r>
        <w:rPr>
          <w:spacing w:val="-78"/>
        </w:rPr>
        <w:t> </w:t>
      </w:r>
      <w:r>
        <w:rPr/>
        <w:t>总</w:t>
      </w:r>
      <w:r>
        <w:rPr>
          <w:spacing w:val="-76"/>
        </w:rPr>
        <w:t> </w:t>
      </w:r>
      <w:r>
        <w:rPr/>
        <w:t>股</w:t>
      </w:r>
      <w:r>
        <w:rPr>
          <w:spacing w:val="-76"/>
        </w:rPr>
        <w:t> </w:t>
      </w:r>
      <w:r>
        <w:rPr/>
        <w:t>本</w:t>
      </w:r>
      <w:r>
        <w:rPr>
          <w:spacing w:val="-76"/>
        </w:rPr>
        <w:t> </w:t>
      </w:r>
      <w:r>
        <w:rPr/>
        <w:t>的</w:t>
      </w:r>
      <w:r>
        <w:rPr>
          <w:spacing w:val="-75"/>
        </w:rPr>
        <w:t> </w:t>
      </w:r>
      <w:r>
        <w:rPr>
          <w:rFonts w:ascii="宋体" w:hAnsi="宋体" w:cs="宋体" w:eastAsia="宋体" w:hint="default"/>
        </w:rPr>
        <w:t>1.5969%</w:t>
      </w:r>
      <w:r>
        <w:rPr>
          <w:rFonts w:ascii="宋体" w:hAnsi="宋体" w:cs="宋体" w:eastAsia="宋体" w:hint="default"/>
          <w:spacing w:val="-76"/>
        </w:rPr>
        <w:t> </w:t>
      </w:r>
      <w:r>
        <w:rPr/>
        <w:t>，</w:t>
      </w:r>
      <w:r>
        <w:rPr>
          <w:spacing w:val="-76"/>
        </w:rPr>
        <w:t> </w:t>
      </w:r>
      <w:r>
        <w:rPr/>
        <w:t>成</w:t>
      </w:r>
      <w:r>
        <w:rPr>
          <w:spacing w:val="-76"/>
        </w:rPr>
        <w:t> </w:t>
      </w:r>
      <w:r>
        <w:rPr/>
        <w:t>交</w:t>
      </w:r>
      <w:r>
        <w:rPr>
          <w:spacing w:val="-76"/>
        </w:rPr>
        <w:t> </w:t>
      </w:r>
      <w:r>
        <w:rPr/>
        <w:t>累</w:t>
      </w:r>
      <w:r>
        <w:rPr>
          <w:spacing w:val="-76"/>
        </w:rPr>
        <w:t> </w:t>
      </w:r>
      <w:r>
        <w:rPr/>
        <w:t>计</w:t>
      </w:r>
      <w:r>
        <w:rPr>
          <w:spacing w:val="-78"/>
        </w:rPr>
        <w:t> </w:t>
      </w:r>
      <w:r>
        <w:rPr/>
        <w:t>金</w:t>
      </w:r>
      <w:r>
        <w:rPr>
          <w:spacing w:val="-75"/>
        </w:rPr>
        <w:t> </w:t>
      </w:r>
      <w:r>
        <w:rPr/>
        <w:t>额</w:t>
      </w:r>
      <w:r>
        <w:rPr/>
        <w:t> </w:t>
      </w:r>
      <w:r>
        <w:rPr>
          <w:rFonts w:ascii="宋体" w:hAnsi="宋体" w:cs="宋体" w:eastAsia="宋体" w:hint="default"/>
          <w:spacing w:val="-2"/>
        </w:rPr>
        <w:t>65,735,162.39</w:t>
      </w:r>
      <w:r>
        <w:rPr>
          <w:spacing w:val="-2"/>
        </w:rPr>
        <w:t>元，成交均价为</w:t>
      </w:r>
      <w:r>
        <w:rPr>
          <w:rFonts w:ascii="宋体" w:hAnsi="宋体" w:cs="宋体" w:eastAsia="宋体" w:hint="default"/>
          <w:spacing w:val="-2"/>
        </w:rPr>
        <w:t>23.3922</w:t>
      </w:r>
      <w:r>
        <w:rPr>
          <w:spacing w:val="-2"/>
        </w:rPr>
        <w:t>元</w:t>
      </w:r>
      <w:r>
        <w:rPr>
          <w:rFonts w:ascii="宋体" w:hAnsi="宋体" w:cs="宋体" w:eastAsia="宋体" w:hint="default"/>
          <w:spacing w:val="-2"/>
        </w:rPr>
        <w:t>/</w:t>
      </w:r>
      <w:r>
        <w:rPr>
          <w:spacing w:val="-2"/>
        </w:rPr>
        <w:t>股。截至本年报披露日，公司第一期员工持股计划</w:t>
      </w:r>
      <w:r>
        <w:rPr>
          <w:spacing w:val="-102"/>
        </w:rPr>
        <w:t> </w:t>
      </w:r>
      <w:r>
        <w:rPr>
          <w:spacing w:val="-102"/>
        </w:rPr>
      </w:r>
      <w:r>
        <w:rPr/>
        <w:t>已完成股票购买，该计划所购买的股票锁定期为</w:t>
      </w:r>
      <w:r>
        <w:rPr>
          <w:rFonts w:ascii="宋体" w:hAnsi="宋体" w:cs="宋体" w:eastAsia="宋体" w:hint="default"/>
        </w:rPr>
        <w:t>12</w:t>
      </w:r>
      <w:r>
        <w:rPr/>
        <w:t>个月，自</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31</w:t>
      </w:r>
      <w:r>
        <w:rPr/>
        <w:t>日。</w:t>
      </w:r>
    </w:p>
    <w:p>
      <w:pPr>
        <w:spacing w:line="240" w:lineRule="auto" w:before="10"/>
        <w:rPr>
          <w:rFonts w:ascii="宋体" w:hAnsi="宋体" w:cs="宋体" w:eastAsia="宋体" w:hint="default"/>
          <w:sz w:val="19"/>
          <w:szCs w:val="19"/>
        </w:rPr>
      </w:pPr>
    </w:p>
    <w:p>
      <w:pPr>
        <w:pStyle w:val="Heading3"/>
        <w:spacing w:line="528" w:lineRule="auto"/>
        <w:ind w:left="1133" w:right="6486"/>
        <w:jc w:val="left"/>
        <w:rPr>
          <w:b w:val="0"/>
          <w:bCs w:val="0"/>
        </w:rPr>
      </w:pPr>
      <w:bookmarkStart w:name="十五、重大关联交易" w:id="76"/>
      <w:bookmarkEnd w:id="76"/>
      <w:r>
        <w:rPr>
          <w:b w:val="0"/>
          <w:bCs w:val="0"/>
        </w:rPr>
      </w:r>
      <w:r>
        <w:rPr/>
        <w:t>十五、重大关联交易</w:t>
      </w:r>
      <w:r>
        <w:rPr>
          <w:w w:val="99"/>
        </w:rPr>
        <w:t> </w:t>
      </w:r>
      <w:bookmarkStart w:name="1、与日常经营相关的关联交易" w:id="77"/>
      <w:bookmarkEnd w:id="77"/>
      <w:r>
        <w:rPr>
          <w:w w:val="99"/>
        </w:rPr>
      </w:r>
      <w:r>
        <w:rPr>
          <w:rFonts w:ascii="宋体" w:hAnsi="宋体" w:cs="宋体" w:eastAsia="宋体" w:hint="default"/>
          <w:w w:val="95"/>
        </w:rPr>
        <w:t>1</w:t>
      </w:r>
      <w:r>
        <w:rPr>
          <w:w w:val="95"/>
        </w:rPr>
        <w:t>、与日常经营相关的关联交易</w:t>
      </w:r>
      <w:r>
        <w:rPr>
          <w:b w:val="0"/>
          <w:bCs w:val="0"/>
        </w:rPr>
      </w:r>
    </w:p>
    <w:p>
      <w:pPr>
        <w:pStyle w:val="BodyText"/>
        <w:spacing w:line="388" w:lineRule="auto" w:before="167"/>
        <w:ind w:left="1134" w:right="5712"/>
        <w:jc w:val="left"/>
      </w:pPr>
      <w:r>
        <w:rPr/>
        <w:t>□ 适用 √ 不适用 公司报告期未发生与日常经营相关的关联交易。</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bookmarkStart w:name="2、资产或股权收购、出售发生的关联交易" w:id="78"/>
      <w:bookmarkEnd w:id="78"/>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11"/>
        <w:rPr>
          <w:rFonts w:ascii="宋体" w:hAnsi="宋体" w:cs="宋体" w:eastAsia="宋体" w:hint="default"/>
          <w:b/>
          <w:bCs/>
          <w:sz w:val="28"/>
          <w:szCs w:val="28"/>
        </w:rPr>
      </w:pPr>
    </w:p>
    <w:p>
      <w:pPr>
        <w:pStyle w:val="BodyText"/>
        <w:spacing w:line="468" w:lineRule="auto"/>
        <w:ind w:right="4993"/>
        <w:jc w:val="left"/>
      </w:pPr>
      <w:bookmarkStart w:name="□ 适用 √不适用" w:id="79"/>
      <w:bookmarkEnd w:id="79"/>
      <w:r>
        <w:rPr/>
      </w:r>
      <w:r>
        <w:rPr/>
        <w:t>□ 适用 √不适用 公司报告期未发生资产或股权收购、出售的关联交易。</w:t>
      </w:r>
    </w:p>
    <w:p>
      <w:pPr>
        <w:pStyle w:val="Heading3"/>
        <w:spacing w:line="240" w:lineRule="auto" w:before="148"/>
        <w:ind w:left="1133" w:right="0"/>
        <w:jc w:val="both"/>
        <w:rPr>
          <w:b w:val="0"/>
          <w:bCs w:val="0"/>
        </w:rPr>
      </w:pPr>
      <w:bookmarkStart w:name="3、共同对外投资的关联交易" w:id="80"/>
      <w:bookmarkEnd w:id="80"/>
      <w:r>
        <w:rPr>
          <w:b w:val="0"/>
          <w:bCs w:val="0"/>
        </w:rPr>
      </w:r>
      <w:r>
        <w:rPr>
          <w:rFonts w:ascii="宋体" w:hAnsi="宋体" w:cs="宋体" w:eastAsia="宋体" w:hint="default"/>
        </w:rPr>
        <w:t>3</w:t>
      </w:r>
      <w:r>
        <w:rPr/>
        <w:t>、共同对外投资的关联交易</w:t>
      </w:r>
      <w:r>
        <w:rPr>
          <w:b w:val="0"/>
          <w:bCs w:val="0"/>
        </w:rPr>
      </w:r>
    </w:p>
    <w:p>
      <w:pPr>
        <w:spacing w:line="240" w:lineRule="auto" w:before="10"/>
        <w:rPr>
          <w:rFonts w:ascii="宋体" w:hAnsi="宋体" w:cs="宋体" w:eastAsia="宋体" w:hint="default"/>
          <w:b/>
          <w:bCs/>
          <w:sz w:val="28"/>
          <w:szCs w:val="28"/>
        </w:rPr>
      </w:pPr>
    </w:p>
    <w:p>
      <w:pPr>
        <w:pStyle w:val="BodyText"/>
        <w:spacing w:line="268" w:lineRule="auto"/>
        <w:ind w:left="1134" w:right="5952"/>
        <w:jc w:val="left"/>
      </w:pPr>
      <w:r>
        <w:rPr/>
        <w:t>□ 适用 √ 不适用 公司报告期未发生共同对外投资的关联交易。</w:t>
      </w:r>
    </w:p>
    <w:p>
      <w:pPr>
        <w:spacing w:line="240" w:lineRule="auto" w:before="7"/>
        <w:rPr>
          <w:rFonts w:ascii="宋体" w:hAnsi="宋体" w:cs="宋体" w:eastAsia="宋体" w:hint="default"/>
          <w:sz w:val="26"/>
          <w:szCs w:val="26"/>
        </w:rPr>
      </w:pPr>
    </w:p>
    <w:p>
      <w:pPr>
        <w:pStyle w:val="Heading3"/>
        <w:spacing w:line="240" w:lineRule="auto"/>
        <w:ind w:right="0"/>
        <w:jc w:val="both"/>
        <w:rPr>
          <w:b w:val="0"/>
          <w:bCs w:val="0"/>
        </w:rPr>
      </w:pPr>
      <w:bookmarkStart w:name="4、关联债权债务往来" w:id="81"/>
      <w:bookmarkEnd w:id="81"/>
      <w:r>
        <w:rPr>
          <w:b w:val="0"/>
          <w:bCs w:val="0"/>
        </w:rPr>
      </w:r>
      <w:r>
        <w:rPr>
          <w:rFonts w:ascii="宋体" w:hAnsi="宋体" w:cs="宋体" w:eastAsia="宋体" w:hint="default"/>
        </w:rPr>
        <w:t>4</w:t>
      </w:r>
      <w:r>
        <w:rPr/>
        <w:t>、关联债权债务往来</w:t>
      </w:r>
      <w:r>
        <w:rPr>
          <w:b w:val="0"/>
          <w:bCs w:val="0"/>
        </w:rPr>
      </w:r>
    </w:p>
    <w:p>
      <w:pPr>
        <w:spacing w:line="240" w:lineRule="auto" w:before="10"/>
        <w:rPr>
          <w:rFonts w:ascii="宋体" w:hAnsi="宋体" w:cs="宋体" w:eastAsia="宋体" w:hint="default"/>
          <w:b/>
          <w:bCs/>
          <w:sz w:val="28"/>
          <w:szCs w:val="28"/>
        </w:rPr>
      </w:pPr>
    </w:p>
    <w:p>
      <w:pPr>
        <w:pStyle w:val="BodyText"/>
        <w:spacing w:line="268" w:lineRule="auto"/>
        <w:ind w:left="1134" w:right="6672"/>
        <w:jc w:val="left"/>
      </w:pPr>
      <w:r>
        <w:rPr/>
        <w:t>□ 适用 √ 不适用 公司报告期不存在关联债权债务往来。</w:t>
      </w:r>
    </w:p>
    <w:p>
      <w:pPr>
        <w:spacing w:line="240" w:lineRule="auto" w:before="8"/>
        <w:rPr>
          <w:rFonts w:ascii="宋体" w:hAnsi="宋体" w:cs="宋体" w:eastAsia="宋体" w:hint="default"/>
          <w:sz w:val="26"/>
          <w:szCs w:val="26"/>
        </w:rPr>
      </w:pPr>
    </w:p>
    <w:p>
      <w:pPr>
        <w:pStyle w:val="Heading3"/>
        <w:spacing w:line="240" w:lineRule="auto"/>
        <w:ind w:right="0"/>
        <w:jc w:val="both"/>
        <w:rPr>
          <w:b w:val="0"/>
          <w:bCs w:val="0"/>
        </w:rPr>
      </w:pPr>
      <w:bookmarkStart w:name="5、其他重大关联交易" w:id="82"/>
      <w:bookmarkEnd w:id="82"/>
      <w:r>
        <w:rPr>
          <w:b w:val="0"/>
          <w:bCs w:val="0"/>
        </w:rPr>
      </w:r>
      <w:r>
        <w:rPr>
          <w:rFonts w:ascii="宋体" w:hAnsi="宋体" w:cs="宋体" w:eastAsia="宋体" w:hint="default"/>
        </w:rPr>
        <w:t>5</w:t>
      </w:r>
      <w:r>
        <w:rPr/>
        <w:t>、其他重大关联交易</w:t>
      </w:r>
      <w:r>
        <w:rPr>
          <w:b w:val="0"/>
          <w:bCs w:val="0"/>
        </w:rPr>
      </w:r>
    </w:p>
    <w:p>
      <w:pPr>
        <w:spacing w:line="240" w:lineRule="auto" w:before="9"/>
        <w:rPr>
          <w:rFonts w:ascii="宋体" w:hAnsi="宋体" w:cs="宋体" w:eastAsia="宋体" w:hint="default"/>
          <w:b/>
          <w:bCs/>
          <w:sz w:val="28"/>
          <w:szCs w:val="28"/>
        </w:rPr>
      </w:pPr>
    </w:p>
    <w:p>
      <w:pPr>
        <w:pStyle w:val="BodyText"/>
        <w:spacing w:line="240" w:lineRule="auto"/>
        <w:ind w:left="1134" w:right="0"/>
        <w:jc w:val="both"/>
      </w:pPr>
      <w:r>
        <w:rPr/>
        <w:t>√适用  □不适用</w:t>
      </w:r>
    </w:p>
    <w:p>
      <w:pPr>
        <w:pStyle w:val="BodyText"/>
        <w:spacing w:line="240" w:lineRule="auto" w:before="116"/>
        <w:ind w:left="1614" w:right="1033"/>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spacing w:val="-3"/>
        </w:rPr>
        <w:t>日公司召开第三届董事会第四次会议、第三届监事会第四次会议和</w:t>
      </w:r>
      <w:r>
        <w:rPr>
          <w:spacing w:val="-60"/>
        </w:rPr>
        <w:t> </w:t>
      </w:r>
      <w:r>
        <w:rPr>
          <w:rFonts w:ascii="宋体" w:hAnsi="宋体" w:cs="宋体" w:eastAsia="宋体" w:hint="default"/>
        </w:rPr>
        <w:t>2016</w:t>
      </w:r>
    </w:p>
    <w:p>
      <w:pPr>
        <w:pStyle w:val="BodyText"/>
        <w:spacing w:line="240" w:lineRule="auto" w:before="154"/>
        <w:ind w:left="1134" w:right="0"/>
        <w:jc w:val="both"/>
        <w:rPr>
          <w:rFonts w:ascii="宋体" w:hAnsi="宋体" w:cs="宋体" w:eastAsia="宋体" w:hint="default"/>
        </w:rPr>
      </w:pP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14</w:t>
      </w:r>
      <w:r>
        <w:rPr>
          <w:rFonts w:ascii="宋体" w:hAnsi="宋体" w:cs="宋体" w:eastAsia="宋体" w:hint="default"/>
          <w:spacing w:val="-53"/>
        </w:rPr>
        <w:t> </w:t>
      </w:r>
      <w:r>
        <w:rPr/>
        <w:t>日召开的</w:t>
      </w:r>
      <w:r>
        <w:rPr>
          <w:spacing w:val="-54"/>
        </w:rPr>
        <w:t> </w:t>
      </w:r>
      <w:r>
        <w:rPr>
          <w:rFonts w:ascii="宋体" w:hAnsi="宋体" w:cs="宋体" w:eastAsia="宋体" w:hint="default"/>
        </w:rPr>
        <w:t>2016</w:t>
      </w:r>
      <w:r>
        <w:rPr>
          <w:rFonts w:ascii="宋体" w:hAnsi="宋体" w:cs="宋体" w:eastAsia="宋体" w:hint="default"/>
          <w:spacing w:val="-54"/>
        </w:rPr>
        <w:t> </w:t>
      </w:r>
      <w:r>
        <w:rPr/>
        <w:t>年第一次临时股东大会审议通过了《关于签订</w:t>
      </w:r>
      <w:r>
        <w:rPr>
          <w:rFonts w:ascii="宋体" w:hAnsi="宋体" w:cs="宋体" w:eastAsia="宋体" w:hint="default"/>
        </w:rPr>
        <w:t>&lt;</w:t>
      </w:r>
      <w:r>
        <w:rPr/>
        <w:t>建设工程施工合同</w:t>
      </w:r>
      <w:r>
        <w:rPr>
          <w:rFonts w:ascii="宋体" w:hAnsi="宋体" w:cs="宋体" w:eastAsia="宋体" w:hint="default"/>
        </w:rPr>
        <w:t>&gt;</w:t>
      </w:r>
    </w:p>
    <w:p>
      <w:pPr>
        <w:spacing w:after="0" w:line="240" w:lineRule="auto"/>
        <w:jc w:val="both"/>
        <w:rPr>
          <w:rFonts w:ascii="宋体" w:hAnsi="宋体" w:cs="宋体" w:eastAsia="宋体" w:hint="default"/>
        </w:rPr>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right="1132"/>
        <w:jc w:val="both"/>
      </w:pPr>
      <w:r>
        <w:rPr>
          <w:spacing w:val="-5"/>
        </w:rPr>
        <w:t>暨关联交易事项的议案》，同意公司因“依米康绿色精密环境产业基地项目”一期建设施工需</w:t>
      </w:r>
      <w:r>
        <w:rPr/>
        <w:t> 要，与公司实际控制人孙屹峥、张菀女士的关联方四川辰兴建设有限公司（以下简称“四川 </w:t>
      </w:r>
      <w:r>
        <w:rPr>
          <w:spacing w:val="-10"/>
        </w:rPr>
        <w:t>辰兴”）签订《建设工程施工合同》，合同总价暂估为</w:t>
      </w:r>
      <w:r>
        <w:rPr>
          <w:spacing w:val="-60"/>
        </w:rPr>
        <w:t> </w:t>
      </w:r>
      <w:r>
        <w:rPr>
          <w:rFonts w:ascii="宋体" w:hAnsi="宋体" w:cs="宋体" w:eastAsia="宋体" w:hint="default"/>
        </w:rPr>
        <w:t>3900</w:t>
      </w:r>
      <w:r>
        <w:rPr>
          <w:rFonts w:ascii="宋体" w:hAnsi="宋体" w:cs="宋体" w:eastAsia="宋体" w:hint="default"/>
          <w:spacing w:val="-60"/>
        </w:rPr>
        <w:t> </w:t>
      </w:r>
      <w:r>
        <w:rPr/>
        <w:t>万元。</w:t>
      </w:r>
    </w:p>
    <w:p>
      <w:pPr>
        <w:pStyle w:val="BodyText"/>
        <w:spacing w:line="357" w:lineRule="auto" w:before="36"/>
        <w:ind w:right="1033" w:firstLine="480"/>
        <w:jc w:val="left"/>
      </w:pPr>
      <w:r>
        <w:rPr/>
        <w:t>截止本报告期末，该项目还未获取开工许可证，公司还未向四川辰兴支付与该工程项目 相关的款项。</w:t>
      </w:r>
    </w:p>
    <w:p>
      <w:pPr>
        <w:pStyle w:val="BodyText"/>
        <w:spacing w:line="240" w:lineRule="auto" w:before="77"/>
        <w:ind w:left="1613" w:right="1033"/>
        <w:jc w:val="left"/>
      </w:pPr>
      <w:r>
        <w:rPr/>
        <w:pict>
          <v:group style="position:absolute;margin-left:334.600006pt;margin-top:67.905655pt;width:89.3pt;height:19.650pt;mso-position-horizontal-relative:page;mso-position-vertical-relative:paragraph;z-index:-1060552" coordorigin="6692,1358" coordsize="1786,393">
            <v:shape style="position:absolute;left:6692;top:1358;width:1786;height:393" coordorigin="6692,1358" coordsize="1786,393" path="m6692,1751l8478,1751,8478,1358,6692,1358,6692,1751xe" filled="true" fillcolor="#ffffff" stroked="false">
              <v:path arrowok="t"/>
              <v:fill type="solid"/>
            </v:shape>
            <w10:wrap type="none"/>
          </v:group>
        </w:pict>
      </w:r>
      <w:r>
        <w:rPr/>
        <w:t>重大关联交易临时报告披露网站相关查询</w:t>
      </w:r>
    </w:p>
    <w:p>
      <w:pPr>
        <w:spacing w:line="240" w:lineRule="auto" w:before="10"/>
        <w:rPr>
          <w:rFonts w:ascii="宋体" w:hAnsi="宋体" w:cs="宋体" w:eastAsia="宋体" w:hint="default"/>
          <w:sz w:val="11"/>
          <w:szCs w:val="11"/>
        </w:rPr>
      </w:pPr>
    </w:p>
    <w:tbl>
      <w:tblPr>
        <w:tblW w:w="0" w:type="auto"/>
        <w:jc w:val="left"/>
        <w:tblInd w:w="1129" w:type="dxa"/>
        <w:tblLayout w:type="fixed"/>
        <w:tblCellMar>
          <w:top w:w="0" w:type="dxa"/>
          <w:left w:w="0" w:type="dxa"/>
          <w:bottom w:w="0" w:type="dxa"/>
          <w:right w:w="0" w:type="dxa"/>
        </w:tblCellMar>
        <w:tblLook w:val="01E0"/>
      </w:tblPr>
      <w:tblGrid>
        <w:gridCol w:w="5530"/>
        <w:gridCol w:w="1842"/>
        <w:gridCol w:w="2196"/>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临时公告名称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5"/>
              <w:jc w:val="righ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临时公告披露网站名称</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第三届董事会第四次会议决议公告（公告编号：</w:t>
            </w:r>
            <w:r>
              <w:rPr>
                <w:rFonts w:ascii="宋体" w:hAnsi="宋体" w:cs="宋体" w:eastAsia="宋体" w:hint="default"/>
                <w:sz w:val="21"/>
                <w:szCs w:val="21"/>
              </w:rPr>
              <w:t>2015-108</w:t>
            </w:r>
            <w:r>
              <w:rPr>
                <w:rFonts w:ascii="宋体" w:hAnsi="宋体" w:cs="宋体" w:eastAsia="宋体" w:hint="default"/>
                <w:sz w:val="21"/>
                <w:szCs w:val="21"/>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8"/>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2" w:hRule="exact"/>
        </w:trPr>
        <w:tc>
          <w:tcPr>
            <w:tcW w:w="553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第三届监事会第四次会议决议公告（公告编号： </w:t>
            </w:r>
            <w:r>
              <w:rPr>
                <w:rFonts w:ascii="宋体" w:hAnsi="宋体" w:cs="宋体" w:eastAsia="宋体" w:hint="default"/>
                <w:sz w:val="21"/>
                <w:szCs w:val="21"/>
              </w:rPr>
              <w:t>2015-109</w:t>
            </w:r>
          </w:p>
        </w:tc>
        <w:tc>
          <w:tcPr>
            <w:tcW w:w="184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26"/>
              <w:ind w:left="-160" w:right="4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37"/>
              <w:jc w:val="left"/>
              <w:rPr>
                <w:rFonts w:ascii="宋体" w:hAnsi="宋体" w:cs="宋体" w:eastAsia="宋体" w:hint="default"/>
                <w:sz w:val="21"/>
                <w:szCs w:val="21"/>
              </w:rPr>
            </w:pPr>
            <w:r>
              <w:rPr>
                <w:rFonts w:ascii="宋体" w:hAnsi="宋体" w:cs="宋体" w:eastAsia="宋体" w:hint="default"/>
                <w:sz w:val="21"/>
                <w:szCs w:val="21"/>
              </w:rPr>
              <w:t>关于签订《建设工程施工合同》暨关联交易事项的公告（公 告编号：</w:t>
            </w:r>
            <w:r>
              <w:rPr>
                <w:rFonts w:ascii="宋体" w:hAnsi="宋体" w:cs="宋体" w:eastAsia="宋体" w:hint="default"/>
                <w:spacing w:val="-1"/>
                <w:sz w:val="21"/>
                <w:szCs w:val="21"/>
              </w:rPr>
              <w:t> </w:t>
            </w:r>
            <w:r>
              <w:rPr>
                <w:rFonts w:ascii="宋体" w:hAnsi="宋体" w:cs="宋体" w:eastAsia="宋体" w:hint="default"/>
                <w:sz w:val="21"/>
                <w:szCs w:val="21"/>
              </w:rPr>
              <w:t>2015-110</w:t>
            </w:r>
            <w:r>
              <w:rPr>
                <w:rFonts w:ascii="宋体" w:hAnsi="宋体" w:cs="宋体" w:eastAsia="宋体" w:hint="default"/>
                <w:sz w:val="21"/>
                <w:szCs w:val="21"/>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8"/>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年第一次临时股东大会决议公告（公告编号：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2016-004</w:t>
            </w:r>
            <w:r>
              <w:rPr>
                <w:rFonts w:ascii="宋体" w:hAnsi="宋体" w:cs="宋体" w:eastAsia="宋体" w:hint="default"/>
                <w:sz w:val="21"/>
                <w:szCs w:val="21"/>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585" w:lineRule="auto" w:before="169"/>
        <w:ind w:left="1133" w:right="5472"/>
        <w:jc w:val="left"/>
        <w:rPr>
          <w:b w:val="0"/>
          <w:bCs w:val="0"/>
        </w:rPr>
      </w:pPr>
      <w:bookmarkStart w:name="十六、重大合同及其履行情况" w:id="83"/>
      <w:bookmarkEnd w:id="83"/>
      <w:r>
        <w:rPr>
          <w:b w:val="0"/>
          <w:bCs w:val="0"/>
        </w:rPr>
      </w:r>
      <w:r>
        <w:rPr/>
        <w:t>十六、重大合同及其履行情况</w:t>
      </w:r>
      <w:r>
        <w:rPr>
          <w:w w:val="99"/>
        </w:rPr>
        <w:t> </w:t>
      </w:r>
      <w:bookmarkStart w:name="1、托管、承包、租赁事项情况" w:id="84"/>
      <w:bookmarkEnd w:id="84"/>
      <w:r>
        <w:rPr>
          <w:w w:val="99"/>
        </w:rPr>
      </w:r>
      <w:r>
        <w:rPr>
          <w:rFonts w:ascii="宋体" w:hAnsi="宋体" w:cs="宋体" w:eastAsia="宋体" w:hint="default"/>
          <w:w w:val="95"/>
        </w:rPr>
        <w:t>1</w:t>
      </w:r>
      <w:r>
        <w:rPr>
          <w:w w:val="95"/>
        </w:rPr>
        <w:t>、托管、承包、租赁事项情况</w:t>
      </w:r>
      <w:r>
        <w:rPr>
          <w:b w:val="0"/>
          <w:bCs w:val="0"/>
        </w:rPr>
      </w:r>
    </w:p>
    <w:p>
      <w:pPr>
        <w:spacing w:before="108"/>
        <w:ind w:left="1133" w:right="1033" w:firstLine="0"/>
        <w:jc w:val="left"/>
        <w:rPr>
          <w:rFonts w:ascii="宋体" w:hAnsi="宋体" w:cs="宋体" w:eastAsia="宋体" w:hint="default"/>
          <w:sz w:val="24"/>
          <w:szCs w:val="24"/>
        </w:rPr>
      </w:pPr>
      <w:bookmarkStart w:name="（1）托管情况" w:id="85"/>
      <w:bookmarkEnd w:id="85"/>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）托管情况</w:t>
      </w:r>
      <w:r>
        <w:rPr>
          <w:rFonts w:ascii="宋体" w:hAnsi="宋体" w:cs="宋体" w:eastAsia="宋体" w:hint="default"/>
          <w:sz w:val="24"/>
          <w:szCs w:val="24"/>
        </w:rPr>
      </w:r>
    </w:p>
    <w:p>
      <w:pPr>
        <w:spacing w:line="240" w:lineRule="auto" w:before="10"/>
        <w:rPr>
          <w:rFonts w:ascii="宋体" w:hAnsi="宋体" w:cs="宋体" w:eastAsia="宋体" w:hint="default"/>
          <w:b/>
          <w:bCs/>
          <w:sz w:val="34"/>
          <w:szCs w:val="34"/>
        </w:rPr>
      </w:pPr>
    </w:p>
    <w:p>
      <w:pPr>
        <w:pStyle w:val="BodyText"/>
        <w:spacing w:line="388" w:lineRule="auto"/>
        <w:ind w:left="1134" w:right="7632"/>
        <w:jc w:val="left"/>
      </w:pPr>
      <w:r>
        <w:rPr/>
        <w:t>□ 适用 √ 不适用 公司报告期不存在托管情况。</w:t>
      </w:r>
    </w:p>
    <w:p>
      <w:pPr>
        <w:spacing w:line="240" w:lineRule="auto" w:before="3"/>
        <w:rPr>
          <w:rFonts w:ascii="宋体" w:hAnsi="宋体" w:cs="宋体" w:eastAsia="宋体" w:hint="default"/>
          <w:sz w:val="23"/>
          <w:szCs w:val="23"/>
        </w:rPr>
      </w:pPr>
    </w:p>
    <w:p>
      <w:pPr>
        <w:pStyle w:val="Heading3"/>
        <w:spacing w:line="240" w:lineRule="auto"/>
        <w:ind w:left="1255" w:right="1033"/>
        <w:jc w:val="left"/>
        <w:rPr>
          <w:b w:val="0"/>
          <w:bCs w:val="0"/>
        </w:rPr>
      </w:pPr>
      <w:bookmarkStart w:name="（2）承包情况" w:id="86"/>
      <w:bookmarkEnd w:id="86"/>
      <w:r>
        <w:rPr>
          <w:b w:val="0"/>
          <w:bCs w:val="0"/>
        </w:rPr>
      </w:r>
      <w:r>
        <w:rPr/>
        <w:t>（</w:t>
      </w:r>
      <w:r>
        <w:rPr>
          <w:rFonts w:ascii="宋体" w:hAnsi="宋体" w:cs="宋体" w:eastAsia="宋体" w:hint="default"/>
        </w:rPr>
        <w:t>2</w:t>
      </w:r>
      <w:r>
        <w:rPr/>
        <w:t>）承包情况</w:t>
      </w:r>
      <w:r>
        <w:rPr>
          <w:b w:val="0"/>
          <w:bCs w:val="0"/>
        </w:rPr>
      </w:r>
    </w:p>
    <w:p>
      <w:pPr>
        <w:spacing w:line="240" w:lineRule="auto" w:before="10"/>
        <w:rPr>
          <w:rFonts w:ascii="宋体" w:hAnsi="宋体" w:cs="宋体" w:eastAsia="宋体" w:hint="default"/>
          <w:b/>
          <w:bCs/>
          <w:sz w:val="34"/>
          <w:szCs w:val="34"/>
        </w:rPr>
      </w:pPr>
    </w:p>
    <w:p>
      <w:pPr>
        <w:pStyle w:val="BodyText"/>
        <w:spacing w:line="388" w:lineRule="auto"/>
        <w:ind w:left="1134" w:right="8832"/>
        <w:jc w:val="left"/>
      </w:pPr>
      <w:r>
        <w:rPr/>
        <w:t>□ 适用√ 不适用 承包情况说明</w:t>
      </w:r>
    </w:p>
    <w:p>
      <w:pPr>
        <w:pStyle w:val="Heading3"/>
        <w:spacing w:line="240" w:lineRule="auto" w:before="44"/>
        <w:ind w:left="1254" w:right="1033"/>
        <w:jc w:val="left"/>
        <w:rPr>
          <w:b w:val="0"/>
          <w:bCs w:val="0"/>
        </w:rPr>
      </w:pPr>
      <w:r>
        <w:rPr/>
        <w:t>（</w:t>
      </w:r>
      <w:r>
        <w:rPr>
          <w:rFonts w:ascii="宋体" w:hAnsi="宋体" w:cs="宋体" w:eastAsia="宋体" w:hint="default"/>
        </w:rPr>
        <w:t>3</w:t>
      </w:r>
      <w:r>
        <w:rPr/>
        <w:t>）租赁情况</w:t>
      </w:r>
      <w:r>
        <w:rPr>
          <w:b w:val="0"/>
          <w:bCs w:val="0"/>
        </w:rPr>
      </w:r>
    </w:p>
    <w:p>
      <w:pPr>
        <w:pStyle w:val="BodyText"/>
        <w:spacing w:line="388" w:lineRule="auto" w:before="194"/>
        <w:ind w:left="1134" w:right="7632"/>
        <w:jc w:val="left"/>
      </w:pPr>
      <w:r>
        <w:rPr/>
        <w:t>□ 适用√ 不适用 公司报告期不存在租赁情况。</w:t>
      </w:r>
    </w:p>
    <w:p>
      <w:pPr>
        <w:spacing w:after="0" w:line="388" w:lineRule="auto"/>
        <w:jc w:val="left"/>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3"/>
        <w:spacing w:line="240" w:lineRule="auto" w:before="26"/>
        <w:ind w:left="1133" w:right="1033"/>
        <w:jc w:val="left"/>
        <w:rPr>
          <w:b w:val="0"/>
          <w:bCs w:val="0"/>
        </w:rPr>
      </w:pPr>
      <w:bookmarkStart w:name="2、重大担保" w:id="87"/>
      <w:bookmarkEnd w:id="87"/>
      <w:r>
        <w:rPr>
          <w:b w:val="0"/>
          <w:bCs w:val="0"/>
        </w:rPr>
      </w:r>
      <w:r>
        <w:rPr>
          <w:rFonts w:ascii="宋体" w:hAnsi="宋体" w:cs="宋体" w:eastAsia="宋体" w:hint="default"/>
        </w:rPr>
        <w:t>2</w:t>
      </w:r>
      <w:r>
        <w:rPr/>
        <w:t>、重大担保</w:t>
      </w:r>
      <w:r>
        <w:rPr>
          <w:b w:val="0"/>
          <w:bCs w:val="0"/>
        </w:rPr>
      </w:r>
    </w:p>
    <w:p>
      <w:pPr>
        <w:spacing w:line="240" w:lineRule="auto" w:before="10"/>
        <w:rPr>
          <w:rFonts w:ascii="宋体" w:hAnsi="宋体" w:cs="宋体" w:eastAsia="宋体" w:hint="default"/>
          <w:b/>
          <w:bCs/>
          <w:sz w:val="34"/>
          <w:szCs w:val="34"/>
        </w:rPr>
      </w:pPr>
    </w:p>
    <w:p>
      <w:pPr>
        <w:pStyle w:val="BodyText"/>
        <w:spacing w:line="240" w:lineRule="auto"/>
        <w:ind w:left="1134" w:right="1033"/>
        <w:jc w:val="left"/>
      </w:pPr>
      <w:r>
        <w:rPr/>
        <w:t>√ 适用 □ 不适用</w:t>
      </w:r>
    </w:p>
    <w:p>
      <w:pPr>
        <w:spacing w:line="240" w:lineRule="auto" w:before="8"/>
        <w:rPr>
          <w:rFonts w:ascii="宋体" w:hAnsi="宋体" w:cs="宋体" w:eastAsia="宋体" w:hint="default"/>
          <w:sz w:val="34"/>
          <w:szCs w:val="34"/>
        </w:rPr>
      </w:pPr>
    </w:p>
    <w:p>
      <w:pPr>
        <w:pStyle w:val="Heading3"/>
        <w:spacing w:line="240" w:lineRule="auto"/>
        <w:ind w:right="1033"/>
        <w:jc w:val="left"/>
        <w:rPr>
          <w:b w:val="0"/>
          <w:bCs w:val="0"/>
        </w:rPr>
      </w:pPr>
      <w:bookmarkStart w:name="（1）担保情况" w:id="88"/>
      <w:bookmarkEnd w:id="88"/>
      <w:r>
        <w:rPr>
          <w:b w:val="0"/>
          <w:bCs w:val="0"/>
        </w:rPr>
      </w:r>
      <w:r>
        <w:rPr/>
        <w:t>（</w:t>
      </w:r>
      <w:r>
        <w:rPr>
          <w:rFonts w:ascii="宋体" w:hAnsi="宋体" w:cs="宋体" w:eastAsia="宋体" w:hint="default"/>
        </w:rPr>
        <w:t>1</w:t>
      </w:r>
      <w:r>
        <w:rPr/>
        <w:t>）担保情况</w:t>
      </w:r>
      <w:r>
        <w:rPr>
          <w:b w:val="0"/>
          <w:bCs w:val="0"/>
        </w:rPr>
      </w:r>
    </w:p>
    <w:p>
      <w:pPr>
        <w:spacing w:line="240" w:lineRule="auto" w:before="12"/>
        <w:rPr>
          <w:rFonts w:ascii="宋体" w:hAnsi="宋体" w:cs="宋体" w:eastAsia="宋体" w:hint="default"/>
          <w:b/>
          <w:bCs/>
          <w:sz w:val="27"/>
          <w:szCs w:val="27"/>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709"/>
        <w:gridCol w:w="927"/>
        <w:gridCol w:w="923"/>
        <w:gridCol w:w="1296"/>
        <w:gridCol w:w="1063"/>
        <w:gridCol w:w="1029"/>
        <w:gridCol w:w="1055"/>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56" w:right="0"/>
              <w:jc w:val="left"/>
              <w:rPr>
                <w:rFonts w:ascii="宋体" w:hAnsi="宋体" w:cs="宋体" w:eastAsia="宋体" w:hint="default"/>
                <w:sz w:val="21"/>
                <w:szCs w:val="21"/>
              </w:rPr>
            </w:pPr>
            <w:r>
              <w:rPr>
                <w:rFonts w:ascii="宋体" w:hAnsi="宋体" w:cs="宋体" w:eastAsia="宋体" w:hint="default"/>
                <w:sz w:val="21"/>
                <w:szCs w:val="21"/>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9"/>
              <w:jc w:val="right"/>
              <w:rPr>
                <w:rFonts w:ascii="宋体" w:hAnsi="宋体" w:cs="宋体" w:eastAsia="宋体" w:hint="default"/>
                <w:sz w:val="21"/>
                <w:szCs w:val="21"/>
              </w:rPr>
            </w:pPr>
            <w:r>
              <w:rPr>
                <w:rFonts w:ascii="宋体" w:hAnsi="宋体" w:cs="宋体" w:eastAsia="宋体" w:hint="default"/>
                <w:sz w:val="21"/>
                <w:szCs w:val="21"/>
              </w:rPr>
              <w:t>担保对象名称</w:t>
            </w:r>
          </w:p>
        </w:tc>
        <w:tc>
          <w:tcPr>
            <w:tcW w:w="92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73" w:lineRule="auto" w:before="26"/>
              <w:ind w:left="39" w:right="34"/>
              <w:jc w:val="both"/>
              <w:rPr>
                <w:rFonts w:ascii="宋体" w:hAnsi="宋体" w:cs="宋体" w:eastAsia="宋体" w:hint="default"/>
                <w:sz w:val="21"/>
                <w:szCs w:val="21"/>
              </w:rPr>
            </w:pPr>
            <w:r>
              <w:rPr>
                <w:rFonts w:ascii="宋体" w:hAnsi="宋体" w:cs="宋体" w:eastAsia="宋体" w:hint="default"/>
                <w:sz w:val="21"/>
                <w:szCs w:val="21"/>
              </w:rPr>
              <w:t>担保额度 相关公告 披露日期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z w:val="21"/>
                <w:szCs w:val="21"/>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hanging="1"/>
              <w:jc w:val="center"/>
              <w:rPr>
                <w:rFonts w:ascii="宋体" w:hAnsi="宋体" w:cs="宋体" w:eastAsia="宋体" w:hint="default"/>
                <w:sz w:val="21"/>
                <w:szCs w:val="21"/>
              </w:rPr>
            </w:pPr>
            <w:r>
              <w:rPr>
                <w:rFonts w:ascii="宋体" w:hAnsi="宋体" w:cs="宋体" w:eastAsia="宋体" w:hint="default"/>
                <w:sz w:val="21"/>
                <w:szCs w:val="21"/>
              </w:rPr>
              <w:t>实际发生日 </w:t>
            </w:r>
            <w:r>
              <w:rPr>
                <w:rFonts w:ascii="宋体" w:hAnsi="宋体" w:cs="宋体" w:eastAsia="宋体" w:hint="default"/>
                <w:spacing w:val="-4"/>
                <w:sz w:val="21"/>
                <w:szCs w:val="21"/>
              </w:rPr>
              <w:t>期（协议签署</w:t>
            </w:r>
            <w:r>
              <w:rPr>
                <w:rFonts w:ascii="宋体" w:hAnsi="宋体" w:cs="宋体" w:eastAsia="宋体" w:hint="default"/>
                <w:sz w:val="21"/>
                <w:szCs w:val="21"/>
              </w:rPr>
              <w:t> 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15" w:right="107" w:hanging="210"/>
              <w:jc w:val="left"/>
              <w:rPr>
                <w:rFonts w:ascii="宋体" w:hAnsi="宋体" w:cs="宋体" w:eastAsia="宋体" w:hint="default"/>
                <w:sz w:val="21"/>
                <w:szCs w:val="21"/>
              </w:rPr>
            </w:pPr>
            <w:r>
              <w:rPr>
                <w:rFonts w:ascii="宋体" w:hAnsi="宋体" w:cs="宋体" w:eastAsia="宋体" w:hint="default"/>
                <w:sz w:val="21"/>
                <w:szCs w:val="21"/>
              </w:rPr>
              <w:t>实际担保 金额</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2"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3"/>
              <w:jc w:val="right"/>
              <w:rPr>
                <w:rFonts w:ascii="宋体" w:hAnsi="宋体" w:cs="宋体" w:eastAsia="宋体" w:hint="default"/>
                <w:sz w:val="21"/>
                <w:szCs w:val="21"/>
              </w:rPr>
            </w:pPr>
            <w:r>
              <w:rPr>
                <w:rFonts w:ascii="宋体" w:hAnsi="宋体" w:cs="宋体" w:eastAsia="宋体" w:hint="default"/>
                <w:sz w:val="21"/>
                <w:szCs w:val="21"/>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7" w:right="72"/>
              <w:jc w:val="left"/>
              <w:rPr>
                <w:rFonts w:ascii="宋体" w:hAnsi="宋体" w:cs="宋体" w:eastAsia="宋体" w:hint="default"/>
                <w:sz w:val="21"/>
                <w:szCs w:val="21"/>
              </w:rPr>
            </w:pPr>
            <w:r>
              <w:rPr>
                <w:rFonts w:ascii="宋体" w:hAnsi="宋体" w:cs="宋体" w:eastAsia="宋体" w:hint="default"/>
                <w:sz w:val="21"/>
                <w:szCs w:val="21"/>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9" w:right="68"/>
              <w:jc w:val="both"/>
              <w:rPr>
                <w:rFonts w:ascii="宋体" w:hAnsi="宋体" w:cs="宋体" w:eastAsia="宋体" w:hint="default"/>
                <w:sz w:val="21"/>
                <w:szCs w:val="21"/>
              </w:rPr>
            </w:pPr>
            <w:r>
              <w:rPr>
                <w:rFonts w:ascii="宋体" w:hAnsi="宋体" w:cs="宋体" w:eastAsia="宋体" w:hint="default"/>
                <w:sz w:val="21"/>
                <w:szCs w:val="21"/>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204"/>
              <w:jc w:val="left"/>
              <w:rPr>
                <w:rFonts w:ascii="宋体" w:hAnsi="宋体" w:cs="宋体" w:eastAsia="宋体" w:hint="default"/>
                <w:sz w:val="21"/>
                <w:szCs w:val="21"/>
              </w:rPr>
            </w:pPr>
            <w:r>
              <w:rPr>
                <w:rFonts w:ascii="宋体" w:hAnsi="宋体" w:cs="宋体" w:eastAsia="宋体" w:hint="default"/>
                <w:sz w:val="21"/>
                <w:szCs w:val="21"/>
              </w:rPr>
              <w:t>上海虹港数据信 息有限公司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54"/>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20"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81"/>
              <w:jc w:val="left"/>
              <w:rPr>
                <w:rFonts w:ascii="宋体" w:hAnsi="宋体" w:cs="宋体" w:eastAsia="宋体" w:hint="default"/>
                <w:sz w:val="21"/>
                <w:szCs w:val="21"/>
              </w:rPr>
            </w:pPr>
            <w:r>
              <w:rPr>
                <w:rFonts w:ascii="宋体" w:hAnsi="宋体" w:cs="宋体" w:eastAsia="宋体" w:hint="default"/>
                <w:sz w:val="21"/>
                <w:szCs w:val="21"/>
              </w:rPr>
              <w:t>报告期末已审批的对外担保 额度合计（</w:t>
            </w:r>
            <w:r>
              <w:rPr>
                <w:rFonts w:ascii="Times New Roman" w:hAnsi="Times New Roman" w:cs="Times New Roman" w:eastAsia="Times New Roman" w:hint="default"/>
                <w:sz w:val="21"/>
                <w:szCs w:val="21"/>
              </w:rPr>
              <w:t>A3</w:t>
            </w:r>
            <w:r>
              <w:rPr>
                <w:rFonts w:ascii="宋体" w:hAnsi="宋体" w:cs="宋体" w:eastAsia="宋体" w:hint="default"/>
                <w:sz w:val="21"/>
                <w:szCs w:val="21"/>
              </w:rPr>
              <w:t>）</w:t>
            </w:r>
          </w:p>
        </w:tc>
        <w:tc>
          <w:tcPr>
            <w:tcW w:w="222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sz w:val="21"/>
              </w:rPr>
              <w:t>1,000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67"/>
              <w:jc w:val="left"/>
              <w:rPr>
                <w:rFonts w:ascii="宋体" w:hAnsi="宋体" w:cs="宋体" w:eastAsia="宋体" w:hint="default"/>
                <w:sz w:val="21"/>
                <w:szCs w:val="21"/>
              </w:rPr>
            </w:pPr>
            <w:r>
              <w:rPr>
                <w:rFonts w:ascii="宋体" w:hAnsi="宋体" w:cs="宋体" w:eastAsia="宋体" w:hint="default"/>
                <w:sz w:val="21"/>
                <w:szCs w:val="21"/>
              </w:rPr>
              <w:t>报告期末实际对外担 保余额合计（</w:t>
            </w:r>
            <w:r>
              <w:rPr>
                <w:rFonts w:ascii="Times New Roman" w:hAnsi="Times New Roman" w:cs="Times New Roman" w:eastAsia="Times New Roman" w:hint="default"/>
                <w:sz w:val="21"/>
                <w:szCs w:val="21"/>
              </w:rPr>
              <w:t>A4</w:t>
            </w:r>
            <w:r>
              <w:rPr>
                <w:rFonts w:ascii="宋体" w:hAnsi="宋体" w:cs="宋体" w:eastAsia="宋体" w:hint="default"/>
                <w:sz w:val="21"/>
                <w:szCs w:val="21"/>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公司与子公司之间担保情况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6" w:right="39"/>
              <w:jc w:val="both"/>
              <w:rPr>
                <w:rFonts w:ascii="宋体" w:hAnsi="宋体" w:cs="宋体" w:eastAsia="宋体" w:hint="default"/>
                <w:sz w:val="21"/>
                <w:szCs w:val="21"/>
              </w:rPr>
            </w:pPr>
            <w:r>
              <w:rPr>
                <w:rFonts w:ascii="宋体" w:hAnsi="宋体" w:cs="宋体" w:eastAsia="宋体" w:hint="default"/>
                <w:sz w:val="21"/>
                <w:szCs w:val="21"/>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 w:right="22" w:hanging="1"/>
              <w:jc w:val="center"/>
              <w:rPr>
                <w:rFonts w:ascii="宋体" w:hAnsi="宋体" w:cs="宋体" w:eastAsia="宋体" w:hint="default"/>
                <w:sz w:val="21"/>
                <w:szCs w:val="21"/>
              </w:rPr>
            </w:pPr>
            <w:r>
              <w:rPr>
                <w:rFonts w:ascii="宋体" w:hAnsi="宋体" w:cs="宋体" w:eastAsia="宋体" w:hint="default"/>
                <w:sz w:val="21"/>
                <w:szCs w:val="21"/>
              </w:rPr>
              <w:t>实际发生日 </w:t>
            </w:r>
            <w:r>
              <w:rPr>
                <w:rFonts w:ascii="宋体" w:hAnsi="宋体" w:cs="宋体" w:eastAsia="宋体" w:hint="default"/>
                <w:spacing w:val="-4"/>
                <w:sz w:val="21"/>
                <w:szCs w:val="21"/>
              </w:rPr>
              <w:t>期（协议签署</w:t>
            </w:r>
            <w:r>
              <w:rPr>
                <w:rFonts w:ascii="宋体" w:hAnsi="宋体" w:cs="宋体" w:eastAsia="宋体" w:hint="default"/>
                <w:sz w:val="21"/>
                <w:szCs w:val="21"/>
              </w:rPr>
              <w:t> 日）</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69" w:right="68"/>
              <w:jc w:val="both"/>
              <w:rPr>
                <w:rFonts w:ascii="宋体" w:hAnsi="宋体" w:cs="宋体" w:eastAsia="宋体" w:hint="default"/>
                <w:sz w:val="21"/>
                <w:szCs w:val="21"/>
              </w:rPr>
            </w:pPr>
            <w:r>
              <w:rPr>
                <w:rFonts w:ascii="宋体" w:hAnsi="宋体" w:cs="宋体" w:eastAsia="宋体" w:hint="default"/>
                <w:sz w:val="21"/>
                <w:szCs w:val="21"/>
              </w:rPr>
              <w:t>是否为 关联方 担保</w:t>
            </w: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15" w:right="107" w:hanging="210"/>
              <w:jc w:val="left"/>
              <w:rPr>
                <w:rFonts w:ascii="宋体" w:hAnsi="宋体" w:cs="宋体" w:eastAsia="宋体" w:hint="default"/>
                <w:sz w:val="21"/>
                <w:szCs w:val="21"/>
              </w:rPr>
            </w:pPr>
            <w:r>
              <w:rPr>
                <w:rFonts w:ascii="宋体" w:hAnsi="宋体" w:cs="宋体" w:eastAsia="宋体" w:hint="default"/>
                <w:sz w:val="21"/>
                <w:szCs w:val="21"/>
              </w:rPr>
              <w:t>实际担保 金额</w:t>
            </w:r>
          </w:p>
        </w:tc>
        <w:tc>
          <w:tcPr>
            <w:tcW w:w="1029"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74" w:right="77"/>
              <w:jc w:val="left"/>
              <w:rPr>
                <w:rFonts w:ascii="宋体" w:hAnsi="宋体" w:cs="宋体" w:eastAsia="宋体" w:hint="default"/>
                <w:sz w:val="21"/>
                <w:szCs w:val="21"/>
              </w:rPr>
            </w:pPr>
            <w:r>
              <w:rPr>
                <w:rFonts w:ascii="宋体" w:hAnsi="宋体" w:cs="宋体" w:eastAsia="宋体" w:hint="default"/>
                <w:sz w:val="21"/>
                <w:szCs w:val="21"/>
              </w:rPr>
              <w:t>是否履 行完毕</w:t>
            </w:r>
          </w:p>
        </w:tc>
        <w:tc>
          <w:tcPr>
            <w:tcW w:w="780" w:type="dxa"/>
            <w:vMerge/>
            <w:tcBorders>
              <w:left w:val="single" w:sz="4" w:space="0" w:color="000000"/>
              <w:right w:val="single" w:sz="4" w:space="0" w:color="000000"/>
            </w:tcBorders>
            <w:shd w:val="clear" w:color="auto" w:fill="D2D2D2"/>
          </w:tcPr>
          <w:p>
            <w:pP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19"/>
              <w:jc w:val="right"/>
              <w:rPr>
                <w:rFonts w:ascii="宋体" w:hAnsi="宋体" w:cs="宋体" w:eastAsia="宋体" w:hint="default"/>
                <w:sz w:val="21"/>
                <w:szCs w:val="21"/>
              </w:rPr>
            </w:pPr>
            <w:r>
              <w:rPr>
                <w:rFonts w:ascii="宋体" w:hAnsi="宋体" w:cs="宋体" w:eastAsia="宋体" w:hint="default"/>
                <w:sz w:val="21"/>
                <w:szCs w:val="21"/>
              </w:rPr>
              <w:t>担保对象名称</w:t>
            </w:r>
          </w:p>
        </w:tc>
        <w:tc>
          <w:tcPr>
            <w:tcW w:w="927"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9" w:space="0" w:color="D2D2D2"/>
              <w:bottom w:val="nil" w:sz="6" w:space="0" w:color="auto"/>
              <w:right w:val="single" w:sz="22" w:space="0" w:color="D2D2D2"/>
            </w:tcBorders>
          </w:tcPr>
          <w:p>
            <w:pPr>
              <w:pStyle w:val="TableParagraph"/>
              <w:spacing w:line="240" w:lineRule="auto" w:before="26"/>
              <w:ind w:right="1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担保额度</w:t>
            </w:r>
            <w:r>
              <w:rPr>
                <w:rFonts w:ascii="宋体" w:hAnsi="宋体" w:cs="宋体" w:eastAsia="宋体" w:hint="default"/>
                <w:sz w:val="21"/>
                <w:szCs w:val="21"/>
              </w:rPr>
            </w:r>
          </w:p>
        </w:tc>
        <w:tc>
          <w:tcPr>
            <w:tcW w:w="1296"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92"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05"/>
              <w:jc w:val="right"/>
              <w:rPr>
                <w:rFonts w:ascii="宋体" w:hAnsi="宋体" w:cs="宋体" w:eastAsia="宋体" w:hint="default"/>
                <w:sz w:val="21"/>
                <w:szCs w:val="21"/>
              </w:rPr>
            </w:pPr>
            <w:r>
              <w:rPr>
                <w:rFonts w:ascii="宋体" w:hAnsi="宋体" w:cs="宋体" w:eastAsia="宋体" w:hint="default"/>
                <w:sz w:val="21"/>
                <w:szCs w:val="21"/>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296"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204"/>
              <w:jc w:val="left"/>
              <w:rPr>
                <w:rFonts w:ascii="宋体" w:hAnsi="宋体" w:cs="宋体" w:eastAsia="宋体" w:hint="default"/>
                <w:sz w:val="21"/>
                <w:szCs w:val="21"/>
              </w:rPr>
            </w:pPr>
            <w:r>
              <w:rPr>
                <w:rFonts w:ascii="宋体" w:hAnsi="宋体" w:cs="宋体" w:eastAsia="宋体" w:hint="default"/>
                <w:sz w:val="21"/>
                <w:szCs w:val="21"/>
              </w:rPr>
              <w:t>深圳市龙控智能 技术有限公司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54"/>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7"/>
              <w:ind w:left="22" w:right="204"/>
              <w:jc w:val="both"/>
              <w:rPr>
                <w:rFonts w:ascii="宋体" w:hAnsi="宋体" w:cs="宋体" w:eastAsia="宋体" w:hint="default"/>
                <w:sz w:val="21"/>
                <w:szCs w:val="21"/>
              </w:rPr>
            </w:pPr>
            <w:r>
              <w:rPr>
                <w:rFonts w:ascii="宋体" w:hAnsi="宋体" w:cs="宋体" w:eastAsia="宋体" w:hint="default"/>
                <w:sz w:val="21"/>
                <w:szCs w:val="21"/>
              </w:rPr>
              <w:t>四川桑瑞思环境 技术工程有限公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1,600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204"/>
              <w:jc w:val="left"/>
              <w:rPr>
                <w:rFonts w:ascii="宋体" w:hAnsi="宋体" w:cs="宋体" w:eastAsia="宋体" w:hint="default"/>
                <w:sz w:val="21"/>
                <w:szCs w:val="21"/>
              </w:rPr>
            </w:pPr>
            <w:r>
              <w:rPr>
                <w:rFonts w:ascii="宋体" w:hAnsi="宋体" w:cs="宋体" w:eastAsia="宋体" w:hint="default"/>
                <w:sz w:val="21"/>
                <w:szCs w:val="21"/>
              </w:rPr>
              <w:t>西安华西信息智 能工程有限公司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204"/>
              <w:jc w:val="left"/>
              <w:rPr>
                <w:rFonts w:ascii="宋体" w:hAnsi="宋体" w:cs="宋体" w:eastAsia="宋体" w:hint="default"/>
                <w:sz w:val="21"/>
                <w:szCs w:val="21"/>
              </w:rPr>
            </w:pPr>
            <w:r>
              <w:rPr>
                <w:rFonts w:ascii="宋体" w:hAnsi="宋体" w:cs="宋体" w:eastAsia="宋体" w:hint="default"/>
                <w:sz w:val="21"/>
                <w:szCs w:val="21"/>
              </w:rPr>
              <w:t>西安华西信息智 能工程有限公司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204"/>
              <w:jc w:val="left"/>
              <w:rPr>
                <w:rFonts w:ascii="宋体" w:hAnsi="宋体" w:cs="宋体" w:eastAsia="宋体" w:hint="default"/>
                <w:sz w:val="21"/>
                <w:szCs w:val="21"/>
              </w:rPr>
            </w:pPr>
            <w:r>
              <w:rPr>
                <w:rFonts w:ascii="宋体" w:hAnsi="宋体" w:cs="宋体" w:eastAsia="宋体" w:hint="default"/>
                <w:sz w:val="21"/>
                <w:szCs w:val="21"/>
              </w:rPr>
              <w:t>江苏亿金环保科 技有限公司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1,500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54"/>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4"/>
                <w:szCs w:val="14"/>
              </w:rPr>
            </w:pPr>
          </w:p>
          <w:p>
            <w:pPr>
              <w:pStyle w:val="TableParagraph"/>
              <w:spacing w:line="273" w:lineRule="auto"/>
              <w:ind w:left="22" w:right="204"/>
              <w:jc w:val="left"/>
              <w:rPr>
                <w:rFonts w:ascii="宋体" w:hAnsi="宋体" w:cs="宋体" w:eastAsia="宋体" w:hint="default"/>
                <w:sz w:val="21"/>
                <w:szCs w:val="21"/>
              </w:rPr>
            </w:pPr>
            <w:r>
              <w:rPr>
                <w:rFonts w:ascii="宋体" w:hAnsi="宋体" w:cs="宋体" w:eastAsia="宋体" w:hint="default"/>
                <w:sz w:val="21"/>
                <w:szCs w:val="21"/>
              </w:rPr>
              <w:t>江苏亿金环保科 技有限公司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2,000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73" w:lineRule="auto"/>
              <w:ind w:left="22" w:right="154"/>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6"/>
              <w:ind w:right="204"/>
              <w:jc w:val="right"/>
              <w:rPr>
                <w:rFonts w:ascii="宋体" w:hAnsi="宋体" w:cs="宋体" w:eastAsia="宋体" w:hint="default"/>
                <w:sz w:val="21"/>
                <w:szCs w:val="21"/>
              </w:rPr>
            </w:pPr>
            <w:r>
              <w:rPr>
                <w:rFonts w:ascii="宋体" w:hAnsi="宋体" w:cs="宋体" w:eastAsia="宋体" w:hint="default"/>
                <w:sz w:val="21"/>
                <w:szCs w:val="21"/>
              </w:rPr>
              <w:t>江苏亿金环保科</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连带责任</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7"/>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04.619995pt;margin-top:472.569977pt;width:130.5500pt;height:28pt;mso-position-horizontal-relative:page;mso-position-vertical-relative:page;z-index:-1060528" coordorigin="8092,9451" coordsize="2611,560">
            <v:group style="position:absolute;left:8104;top:9463;width:2;height:393" coordorigin="8104,9463" coordsize="2,393">
              <v:shape style="position:absolute;left:8104;top:9463;width:2;height:393" coordorigin="8104,9463" coordsize="0,393" path="m8104,9463l8104,9855e" filled="false" stroked="true" strokeweight="1.140pt" strokecolor="#ffffff">
                <v:path arrowok="t"/>
              </v:shape>
            </v:group>
            <v:group style="position:absolute;left:8092;top:9855;width:2611;height:156" coordorigin="8092,9855" coordsize="2611,156">
              <v:shape style="position:absolute;left:8092;top:9855;width:2611;height:156" coordorigin="8092,9855" coordsize="2611,156" path="m8092,10011l10703,10011,10703,9855,8092,9855,8092,10011xe" filled="true" fillcolor="#ffffff" stroked="false">
                <v:path arrowok="t"/>
                <v:fill type="solid"/>
              </v:shape>
            </v:group>
            <v:group style="position:absolute;left:8115;top:9463;width:2565;height:393" coordorigin="8115,9463" coordsize="2565,393">
              <v:shape style="position:absolute;left:8115;top:9463;width:2565;height:393" coordorigin="8115,9463" coordsize="2565,393" path="m8115,9855l10680,9855,10680,9463,8115,9463,8115,9855xe" filled="true" fillcolor="#ffffff" stroked="false">
                <v:path arrowok="t"/>
                <v:fill type="solid"/>
              </v:shape>
            </v:group>
            <w10:wrap type="none"/>
          </v:group>
        </w:pict>
      </w:r>
      <w:r>
        <w:rPr/>
        <w:pict>
          <v:group style="position:absolute;margin-left:404.619995pt;margin-top:600.339966pt;width:130.5500pt;height:27.45pt;mso-position-horizontal-relative:page;mso-position-vertical-relative:page;z-index:-1060504" coordorigin="8092,12007" coordsize="2611,549">
            <v:group style="position:absolute;left:8092;top:12399;width:2611;height:156" coordorigin="8092,12399" coordsize="2611,156">
              <v:shape style="position:absolute;left:8092;top:12399;width:2611;height:156" coordorigin="8092,12399" coordsize="2611,156" path="m8092,12555l10703,12555,10703,12399,8092,12399,8092,12555xe" filled="true" fillcolor="#ffffff" stroked="false">
                <v:path arrowok="t"/>
                <v:fill type="solid"/>
              </v:shape>
            </v:group>
            <v:group style="position:absolute;left:8115;top:12007;width:2565;height:393" coordorigin="8115,12007" coordsize="2565,393">
              <v:shape style="position:absolute;left:8115;top:12007;width:2565;height:393" coordorigin="8115,12007" coordsize="2565,393" path="m8115,12399l10680,12399,10680,12007,8115,12007,8115,1239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674"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p>
          <w:p>
            <w:pPr>
              <w:pStyle w:val="TableParagraph"/>
              <w:spacing w:line="240" w:lineRule="auto" w:before="22"/>
              <w:ind w:left="17"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8" w:right="0"/>
              <w:jc w:val="left"/>
              <w:rPr>
                <w:rFonts w:ascii="宋体" w:hAnsi="宋体" w:cs="宋体" w:eastAsia="宋体" w:hint="default"/>
                <w:sz w:val="21"/>
                <w:szCs w:val="21"/>
              </w:rPr>
            </w:pPr>
            <w:r>
              <w:rPr>
                <w:rFonts w:ascii="宋体" w:hAnsi="宋体" w:cs="宋体" w:eastAsia="宋体" w:hint="default"/>
                <w:sz w:val="21"/>
                <w:szCs w:val="21"/>
              </w:rPr>
              <w:t>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10"/>
              <w:jc w:val="left"/>
              <w:rPr>
                <w:rFonts w:ascii="宋体" w:hAnsi="宋体" w:cs="宋体" w:eastAsia="宋体" w:hint="default"/>
                <w:sz w:val="21"/>
                <w:szCs w:val="21"/>
              </w:rPr>
            </w:pPr>
            <w:r>
              <w:rPr>
                <w:rFonts w:ascii="宋体" w:hAnsi="宋体" w:cs="宋体" w:eastAsia="宋体" w:hint="default"/>
                <w:sz w:val="21"/>
                <w:szCs w:val="21"/>
              </w:rPr>
              <w:t>江苏亿金环保科 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p>
          <w:p>
            <w:pPr>
              <w:pStyle w:val="TableParagraph"/>
              <w:spacing w:line="240" w:lineRule="auto" w:before="23"/>
              <w:ind w:left="17"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z w:val="21"/>
              </w:rPr>
              <w:t>614.95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p>
            <w:pPr>
              <w:pStyle w:val="TableParagraph"/>
              <w:spacing w:line="240" w:lineRule="auto" w:before="21"/>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5"/>
              <w:jc w:val="right"/>
              <w:rPr>
                <w:rFonts w:ascii="Times New Roman" w:hAnsi="Times New Roman" w:cs="Times New Roman" w:eastAsia="Times New Roman" w:hint="default"/>
                <w:sz w:val="21"/>
                <w:szCs w:val="21"/>
              </w:rPr>
            </w:pPr>
            <w:r>
              <w:rPr>
                <w:rFonts w:ascii="Times New Roman"/>
                <w:sz w:val="21"/>
              </w:rPr>
              <w:t>614.95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38" w:right="156"/>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10"/>
              <w:jc w:val="left"/>
              <w:rPr>
                <w:rFonts w:ascii="宋体" w:hAnsi="宋体" w:cs="宋体" w:eastAsia="宋体" w:hint="default"/>
                <w:sz w:val="21"/>
                <w:szCs w:val="21"/>
              </w:rPr>
            </w:pPr>
            <w:r>
              <w:rPr>
                <w:rFonts w:ascii="宋体" w:hAnsi="宋体" w:cs="宋体" w:eastAsia="宋体" w:hint="default"/>
                <w:sz w:val="21"/>
                <w:szCs w:val="21"/>
              </w:rPr>
              <w:t>江苏亿金环保科 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p>
          <w:p>
            <w:pPr>
              <w:pStyle w:val="TableParagraph"/>
              <w:spacing w:line="240" w:lineRule="auto" w:before="22"/>
              <w:ind w:left="17"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z w:val="21"/>
              </w:rPr>
              <w:t>149.6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p>
            <w:pPr>
              <w:pStyle w:val="TableParagraph"/>
              <w:spacing w:line="240" w:lineRule="auto" w:before="21"/>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6"/>
              <w:jc w:val="right"/>
              <w:rPr>
                <w:rFonts w:ascii="Times New Roman" w:hAnsi="Times New Roman" w:cs="Times New Roman" w:eastAsia="Times New Roman" w:hint="default"/>
                <w:sz w:val="21"/>
                <w:szCs w:val="21"/>
              </w:rPr>
            </w:pPr>
            <w:r>
              <w:rPr>
                <w:rFonts w:ascii="Times New Roman"/>
                <w:sz w:val="21"/>
              </w:rPr>
              <w:t>149.6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38" w:right="156"/>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10"/>
              <w:jc w:val="left"/>
              <w:rPr>
                <w:rFonts w:ascii="宋体" w:hAnsi="宋体" w:cs="宋体" w:eastAsia="宋体" w:hint="default"/>
                <w:sz w:val="21"/>
                <w:szCs w:val="21"/>
              </w:rPr>
            </w:pPr>
            <w:r>
              <w:rPr>
                <w:rFonts w:ascii="宋体" w:hAnsi="宋体" w:cs="宋体" w:eastAsia="宋体" w:hint="default"/>
                <w:sz w:val="21"/>
                <w:szCs w:val="21"/>
              </w:rPr>
              <w:t>江苏亿金环保科 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p>
          <w:p>
            <w:pPr>
              <w:pStyle w:val="TableParagraph"/>
              <w:spacing w:line="240" w:lineRule="auto" w:before="22"/>
              <w:ind w:left="17"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z w:val="21"/>
              </w:rPr>
              <w:t>297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5"/>
              <w:jc w:val="right"/>
              <w:rPr>
                <w:rFonts w:ascii="Times New Roman" w:hAnsi="Times New Roman" w:cs="Times New Roman" w:eastAsia="Times New Roman" w:hint="default"/>
                <w:sz w:val="21"/>
                <w:szCs w:val="21"/>
              </w:rPr>
            </w:pPr>
            <w:r>
              <w:rPr>
                <w:rFonts w:ascii="Times New Roman"/>
                <w:sz w:val="21"/>
              </w:rPr>
              <w:t>297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38" w:right="156"/>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10"/>
              <w:jc w:val="left"/>
              <w:rPr>
                <w:rFonts w:ascii="宋体" w:hAnsi="宋体" w:cs="宋体" w:eastAsia="宋体" w:hint="default"/>
                <w:sz w:val="21"/>
                <w:szCs w:val="21"/>
              </w:rPr>
            </w:pPr>
            <w:r>
              <w:rPr>
                <w:rFonts w:ascii="宋体" w:hAnsi="宋体" w:cs="宋体" w:eastAsia="宋体" w:hint="default"/>
                <w:sz w:val="21"/>
                <w:szCs w:val="21"/>
              </w:rPr>
              <w:t>江苏亿金环保科 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p>
          <w:p>
            <w:pPr>
              <w:pStyle w:val="TableParagraph"/>
              <w:spacing w:line="240" w:lineRule="auto" w:before="22"/>
              <w:ind w:left="17"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8"/>
              <w:jc w:val="right"/>
              <w:rPr>
                <w:rFonts w:ascii="Times New Roman" w:hAnsi="Times New Roman" w:cs="Times New Roman" w:eastAsia="Times New Roman" w:hint="default"/>
                <w:sz w:val="21"/>
                <w:szCs w:val="21"/>
              </w:rPr>
            </w:pPr>
            <w:r>
              <w:rPr>
                <w:rFonts w:ascii="Times New Roman"/>
                <w:sz w:val="21"/>
              </w:rPr>
              <w:t>70.01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6"/>
              <w:jc w:val="right"/>
              <w:rPr>
                <w:rFonts w:ascii="Times New Roman" w:hAnsi="Times New Roman" w:cs="Times New Roman" w:eastAsia="Times New Roman" w:hint="default"/>
                <w:sz w:val="21"/>
                <w:szCs w:val="21"/>
              </w:rPr>
            </w:pPr>
            <w:r>
              <w:rPr>
                <w:rFonts w:ascii="Times New Roman"/>
                <w:sz w:val="21"/>
              </w:rPr>
              <w:t>70.01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38" w:right="156"/>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10"/>
              <w:jc w:val="left"/>
              <w:rPr>
                <w:rFonts w:ascii="宋体" w:hAnsi="宋体" w:cs="宋体" w:eastAsia="宋体" w:hint="default"/>
                <w:sz w:val="21"/>
                <w:szCs w:val="21"/>
              </w:rPr>
            </w:pPr>
            <w:r>
              <w:rPr>
                <w:rFonts w:ascii="宋体" w:hAnsi="宋体" w:cs="宋体" w:eastAsia="宋体" w:hint="default"/>
                <w:sz w:val="21"/>
                <w:szCs w:val="21"/>
              </w:rPr>
              <w:t>江苏亿金环保科 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p>
          <w:p>
            <w:pPr>
              <w:pStyle w:val="TableParagraph"/>
              <w:spacing w:line="240" w:lineRule="auto" w:before="22"/>
              <w:ind w:left="17"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z w:val="21"/>
              </w:rPr>
              <w:t>131.8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6"/>
              <w:jc w:val="right"/>
              <w:rPr>
                <w:rFonts w:ascii="Times New Roman" w:hAnsi="Times New Roman" w:cs="Times New Roman" w:eastAsia="Times New Roman" w:hint="default"/>
                <w:sz w:val="21"/>
                <w:szCs w:val="21"/>
              </w:rPr>
            </w:pPr>
            <w:r>
              <w:rPr>
                <w:rFonts w:ascii="Times New Roman"/>
                <w:sz w:val="21"/>
              </w:rPr>
              <w:t>131.8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38" w:right="156"/>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10"/>
              <w:jc w:val="left"/>
              <w:rPr>
                <w:rFonts w:ascii="宋体" w:hAnsi="宋体" w:cs="宋体" w:eastAsia="宋体" w:hint="default"/>
                <w:sz w:val="21"/>
                <w:szCs w:val="21"/>
              </w:rPr>
            </w:pPr>
            <w:r>
              <w:rPr>
                <w:rFonts w:ascii="宋体" w:hAnsi="宋体" w:cs="宋体" w:eastAsia="宋体" w:hint="default"/>
                <w:sz w:val="21"/>
                <w:szCs w:val="21"/>
              </w:rPr>
              <w:t>江苏亿金环保科 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p>
          <w:p>
            <w:pPr>
              <w:pStyle w:val="TableParagraph"/>
              <w:spacing w:line="240" w:lineRule="auto" w:before="22"/>
              <w:ind w:left="17"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z w:val="21"/>
              </w:rPr>
              <w:t>3,000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6"/>
              <w:jc w:val="right"/>
              <w:rPr>
                <w:rFonts w:ascii="Times New Roman" w:hAnsi="Times New Roman" w:cs="Times New Roman" w:eastAsia="Times New Roman" w:hint="default"/>
                <w:sz w:val="21"/>
                <w:szCs w:val="21"/>
              </w:rPr>
            </w:pPr>
            <w:r>
              <w:rPr>
                <w:rFonts w:ascii="Times New Roman"/>
                <w:sz w:val="21"/>
              </w:rPr>
              <w:t>3,000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38" w:right="156"/>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61" w:hRule="exact"/>
        </w:trPr>
        <w:tc>
          <w:tcPr>
            <w:tcW w:w="262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34"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1460" w:right="0"/>
              <w:jc w:val="left"/>
              <w:rPr>
                <w:rFonts w:ascii="Times New Roman" w:hAnsi="Times New Roman" w:cs="Times New Roman" w:eastAsia="Times New Roman" w:hint="default"/>
                <w:sz w:val="21"/>
                <w:szCs w:val="21"/>
              </w:rPr>
            </w:pPr>
            <w:r>
              <w:rPr>
                <w:rFonts w:ascii="Times New Roman"/>
                <w:sz w:val="21"/>
              </w:rPr>
              <w:t>8,263.36</w:t>
            </w:r>
          </w:p>
        </w:tc>
        <w:tc>
          <w:tcPr>
            <w:tcW w:w="20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6"/>
              <w:ind w:left="22" w:right="169"/>
              <w:jc w:val="left"/>
              <w:rPr>
                <w:rFonts w:ascii="宋体" w:hAnsi="宋体" w:cs="宋体" w:eastAsia="宋体" w:hint="default"/>
                <w:sz w:val="21"/>
                <w:szCs w:val="21"/>
              </w:rPr>
            </w:pPr>
            <w:r>
              <w:rPr>
                <w:rFonts w:ascii="宋体" w:hAnsi="宋体" w:cs="宋体" w:eastAsia="宋体" w:hint="default"/>
                <w:sz w:val="21"/>
                <w:szCs w:val="21"/>
              </w:rPr>
              <w:t>报告期内对子公司担 保实际发生额合计</w:t>
            </w:r>
          </w:p>
          <w:p>
            <w:pPr>
              <w:pStyle w:val="TableParagraph"/>
              <w:spacing w:line="240" w:lineRule="auto" w:before="11"/>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B2</w:t>
            </w:r>
            <w:r>
              <w:rPr>
                <w:rFonts w:ascii="宋体" w:hAnsi="宋体" w:cs="宋体" w:eastAsia="宋体" w:hint="default"/>
                <w:sz w:val="21"/>
                <w:szCs w:val="21"/>
              </w:rPr>
              <w:t>）</w:t>
            </w:r>
          </w:p>
        </w:tc>
        <w:tc>
          <w:tcPr>
            <w:tcW w:w="2625" w:type="dxa"/>
            <w:gridSpan w:val="3"/>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1"/>
              <w:jc w:val="right"/>
              <w:rPr>
                <w:rFonts w:ascii="Times New Roman" w:hAnsi="Times New Roman" w:cs="Times New Roman" w:eastAsia="Times New Roman" w:hint="default"/>
                <w:sz w:val="21"/>
                <w:szCs w:val="21"/>
              </w:rPr>
            </w:pPr>
            <w:r>
              <w:rPr>
                <w:rFonts w:ascii="Times New Roman"/>
                <w:spacing w:val="-1"/>
                <w:sz w:val="21"/>
              </w:rPr>
              <w:t>9,063.36</w:t>
            </w:r>
          </w:p>
        </w:tc>
      </w:tr>
      <w:tr>
        <w:trPr>
          <w:trHeight w:val="704" w:hRule="exact"/>
        </w:trPr>
        <w:tc>
          <w:tcPr>
            <w:tcW w:w="262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67"/>
              <w:jc w:val="left"/>
              <w:rPr>
                <w:rFonts w:ascii="宋体" w:hAnsi="宋体" w:cs="宋体" w:eastAsia="宋体" w:hint="default"/>
                <w:sz w:val="21"/>
                <w:szCs w:val="21"/>
              </w:rPr>
            </w:pPr>
            <w:r>
              <w:rPr>
                <w:rFonts w:ascii="宋体" w:hAnsi="宋体" w:cs="宋体" w:eastAsia="宋体" w:hint="default"/>
                <w:sz w:val="21"/>
                <w:szCs w:val="21"/>
              </w:rPr>
              <w:t>报告期内审批对子公司担保 额度合计（</w:t>
            </w:r>
            <w:r>
              <w:rPr>
                <w:rFonts w:ascii="Times New Roman" w:hAnsi="Times New Roman" w:cs="Times New Roman" w:eastAsia="Times New Roman" w:hint="default"/>
                <w:sz w:val="21"/>
                <w:szCs w:val="21"/>
              </w:rPr>
              <w:t>B1</w:t>
            </w:r>
            <w:r>
              <w:rPr>
                <w:rFonts w:ascii="宋体" w:hAnsi="宋体" w:cs="宋体" w:eastAsia="宋体" w:hint="default"/>
                <w:sz w:val="21"/>
                <w:szCs w:val="21"/>
              </w:rPr>
              <w:t>）</w:t>
            </w:r>
          </w:p>
        </w:tc>
        <w:tc>
          <w:tcPr>
            <w:tcW w:w="2234" w:type="dxa"/>
            <w:gridSpan w:val="2"/>
            <w:vMerge/>
            <w:tcBorders>
              <w:left w:val="single" w:sz="9" w:space="0" w:color="D2D2D2"/>
              <w:right w:val="single" w:sz="13" w:space="0" w:color="D2D2D2"/>
            </w:tcBorders>
          </w:tcPr>
          <w:p>
            <w:pPr/>
          </w:p>
        </w:tc>
        <w:tc>
          <w:tcPr>
            <w:tcW w:w="2094" w:type="dxa"/>
            <w:gridSpan w:val="2"/>
            <w:vMerge/>
            <w:tcBorders>
              <w:left w:val="single" w:sz="4" w:space="0" w:color="000000"/>
              <w:right w:val="single" w:sz="4" w:space="0" w:color="000000"/>
            </w:tcBorders>
            <w:shd w:val="clear" w:color="auto" w:fill="D2D2D2"/>
          </w:tcPr>
          <w:p>
            <w:pPr/>
          </w:p>
        </w:tc>
        <w:tc>
          <w:tcPr>
            <w:tcW w:w="2625" w:type="dxa"/>
            <w:gridSpan w:val="3"/>
            <w:vMerge/>
            <w:tcBorders>
              <w:left w:val="single" w:sz="13" w:space="0" w:color="D2D2D2"/>
              <w:right w:val="single" w:sz="4" w:space="0" w:color="000000"/>
            </w:tcBorders>
          </w:tcPr>
          <w:p>
            <w:pPr/>
          </w:p>
        </w:tc>
      </w:tr>
      <w:tr>
        <w:trPr>
          <w:trHeight w:val="161" w:hRule="exact"/>
        </w:trPr>
        <w:tc>
          <w:tcPr>
            <w:tcW w:w="262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234" w:type="dxa"/>
            <w:gridSpan w:val="2"/>
            <w:vMerge/>
            <w:tcBorders>
              <w:left w:val="single" w:sz="9" w:space="0" w:color="D2D2D2"/>
              <w:bottom w:val="single" w:sz="4" w:space="0" w:color="000000"/>
              <w:right w:val="single" w:sz="13" w:space="0" w:color="D2D2D2"/>
            </w:tcBorders>
          </w:tcPr>
          <w:p>
            <w:pPr/>
          </w:p>
        </w:tc>
        <w:tc>
          <w:tcPr>
            <w:tcW w:w="2094" w:type="dxa"/>
            <w:gridSpan w:val="2"/>
            <w:vMerge/>
            <w:tcBorders>
              <w:left w:val="single" w:sz="4" w:space="0" w:color="000000"/>
              <w:bottom w:val="single" w:sz="4" w:space="0" w:color="000000"/>
              <w:right w:val="single" w:sz="4" w:space="0" w:color="000000"/>
            </w:tcBorders>
            <w:shd w:val="clear" w:color="auto" w:fill="D2D2D2"/>
          </w:tcPr>
          <w:p>
            <w:pPr/>
          </w:p>
        </w:tc>
        <w:tc>
          <w:tcPr>
            <w:tcW w:w="2625" w:type="dxa"/>
            <w:gridSpan w:val="3"/>
            <w:vMerge/>
            <w:tcBorders>
              <w:left w:val="single" w:sz="13" w:space="0" w:color="D2D2D2"/>
              <w:bottom w:val="single" w:sz="4" w:space="0" w:color="000000"/>
              <w:right w:val="single" w:sz="4" w:space="0" w:color="000000"/>
            </w:tcBorders>
          </w:tcPr>
          <w:p>
            <w:pP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67"/>
              <w:jc w:val="left"/>
              <w:rPr>
                <w:rFonts w:ascii="宋体" w:hAnsi="宋体" w:cs="宋体" w:eastAsia="宋体" w:hint="default"/>
                <w:sz w:val="21"/>
                <w:szCs w:val="21"/>
              </w:rPr>
            </w:pPr>
            <w:r>
              <w:rPr>
                <w:rFonts w:ascii="宋体" w:hAnsi="宋体" w:cs="宋体" w:eastAsia="宋体" w:hint="default"/>
                <w:sz w:val="21"/>
                <w:szCs w:val="21"/>
              </w:rPr>
              <w:t>报告期末已审批的对子公司 担保额度合计（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349" w:right="0"/>
              <w:jc w:val="left"/>
              <w:rPr>
                <w:rFonts w:ascii="Times New Roman" w:hAnsi="Times New Roman" w:cs="Times New Roman" w:eastAsia="Times New Roman" w:hint="default"/>
                <w:sz w:val="21"/>
                <w:szCs w:val="21"/>
              </w:rPr>
            </w:pPr>
            <w:r>
              <w:rPr>
                <w:rFonts w:ascii="Times New Roman"/>
                <w:sz w:val="21"/>
              </w:rPr>
              <w:t>12,863.36</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33"/>
              <w:jc w:val="left"/>
              <w:rPr>
                <w:rFonts w:ascii="Times New Roman" w:hAnsi="Times New Roman" w:cs="Times New Roman" w:eastAsia="Times New Roman" w:hint="default"/>
                <w:sz w:val="21"/>
                <w:szCs w:val="21"/>
              </w:rPr>
            </w:pPr>
            <w:r>
              <w:rPr>
                <w:rFonts w:ascii="宋体" w:hAnsi="宋体" w:cs="宋体" w:eastAsia="宋体" w:hint="default"/>
                <w:sz w:val="21"/>
                <w:szCs w:val="21"/>
              </w:rPr>
              <w:t>报告期末对子公司实 际担保余额合计（</w:t>
            </w:r>
            <w:r>
              <w:rPr>
                <w:rFonts w:ascii="Times New Roman" w:hAnsi="Times New Roman" w:cs="Times New Roman" w:eastAsia="Times New Roman" w:hint="default"/>
                <w:sz w:val="21"/>
                <w:szCs w:val="21"/>
              </w:rPr>
              <w:t>B4</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w:t>
            </w:r>
          </w:p>
        </w:tc>
        <w:tc>
          <w:tcPr>
            <w:tcW w:w="785" w:type="dxa"/>
            <w:tcBorders>
              <w:top w:val="single" w:sz="4" w:space="0" w:color="000000"/>
              <w:left w:val="nil" w:sz="6" w:space="0" w:color="auto"/>
              <w:bottom w:val="single" w:sz="4" w:space="0" w:color="000000"/>
              <w:right w:val="nil" w:sz="6" w:space="0" w:color="auto"/>
            </w:tcBorders>
          </w:tcPr>
          <w:p>
            <w:pPr/>
          </w:p>
        </w:tc>
        <w:tc>
          <w:tcPr>
            <w:tcW w:w="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9,063.36</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26" w:right="30"/>
              <w:jc w:val="both"/>
              <w:rPr>
                <w:rFonts w:ascii="宋体" w:hAnsi="宋体" w:cs="宋体" w:eastAsia="宋体" w:hint="default"/>
                <w:sz w:val="21"/>
                <w:szCs w:val="21"/>
              </w:rPr>
            </w:pPr>
            <w:r>
              <w:rPr>
                <w:rFonts w:ascii="宋体" w:hAnsi="宋体" w:cs="宋体" w:eastAsia="宋体" w:hint="default"/>
                <w:sz w:val="21"/>
                <w:szCs w:val="21"/>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8" w:right="22" w:hanging="1"/>
              <w:jc w:val="center"/>
              <w:rPr>
                <w:rFonts w:ascii="宋体" w:hAnsi="宋体" w:cs="宋体" w:eastAsia="宋体" w:hint="default"/>
                <w:sz w:val="21"/>
                <w:szCs w:val="21"/>
              </w:rPr>
            </w:pPr>
            <w:r>
              <w:rPr>
                <w:rFonts w:ascii="宋体" w:hAnsi="宋体" w:cs="宋体" w:eastAsia="宋体" w:hint="default"/>
                <w:sz w:val="21"/>
                <w:szCs w:val="21"/>
              </w:rPr>
              <w:t>实际发生日 </w:t>
            </w:r>
            <w:r>
              <w:rPr>
                <w:rFonts w:ascii="宋体" w:hAnsi="宋体" w:cs="宋体" w:eastAsia="宋体" w:hint="default"/>
                <w:spacing w:val="-1"/>
                <w:sz w:val="21"/>
                <w:szCs w:val="21"/>
              </w:rPr>
              <w:t>期（协议签署</w:t>
            </w:r>
            <w:r>
              <w:rPr>
                <w:rFonts w:ascii="宋体" w:hAnsi="宋体" w:cs="宋体" w:eastAsia="宋体" w:hint="default"/>
                <w:sz w:val="21"/>
                <w:szCs w:val="21"/>
              </w:rPr>
              <w:t> 日）</w:t>
            </w: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69" w:right="73"/>
              <w:jc w:val="both"/>
              <w:rPr>
                <w:rFonts w:ascii="宋体" w:hAnsi="宋体" w:cs="宋体" w:eastAsia="宋体" w:hint="default"/>
                <w:sz w:val="21"/>
                <w:szCs w:val="21"/>
              </w:rPr>
            </w:pPr>
            <w:r>
              <w:rPr>
                <w:rFonts w:ascii="宋体" w:hAnsi="宋体" w:cs="宋体" w:eastAsia="宋体" w:hint="default"/>
                <w:sz w:val="21"/>
                <w:szCs w:val="21"/>
              </w:rPr>
              <w:t>是否为 关联方 担保</w:t>
            </w: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tcBorders>
              <w:left w:val="single" w:sz="4" w:space="0" w:color="000000"/>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06" w:right="101" w:hanging="210"/>
              <w:jc w:val="left"/>
              <w:rPr>
                <w:rFonts w:ascii="宋体" w:hAnsi="宋体" w:cs="宋体" w:eastAsia="宋体" w:hint="default"/>
                <w:sz w:val="21"/>
                <w:szCs w:val="21"/>
              </w:rPr>
            </w:pPr>
            <w:r>
              <w:rPr>
                <w:rFonts w:ascii="宋体" w:hAnsi="宋体" w:cs="宋体" w:eastAsia="宋体" w:hint="default"/>
                <w:sz w:val="21"/>
                <w:szCs w:val="21"/>
              </w:rPr>
              <w:t>实际担保 金额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6" w:right="77"/>
              <w:jc w:val="left"/>
              <w:rPr>
                <w:rFonts w:ascii="宋体" w:hAnsi="宋体" w:cs="宋体" w:eastAsia="宋体" w:hint="default"/>
                <w:sz w:val="21"/>
                <w:szCs w:val="21"/>
              </w:rPr>
            </w:pPr>
            <w:r>
              <w:rPr>
                <w:rFonts w:ascii="宋体" w:hAnsi="宋体" w:cs="宋体" w:eastAsia="宋体" w:hint="default"/>
                <w:sz w:val="21"/>
                <w:szCs w:val="21"/>
              </w:rPr>
              <w:t>是否履 行完毕</w:t>
            </w:r>
          </w:p>
        </w:tc>
        <w:tc>
          <w:tcPr>
            <w:tcW w:w="785" w:type="dxa"/>
            <w:vMerge/>
            <w:tcBorders>
              <w:left w:val="single" w:sz="4" w:space="0" w:color="000000"/>
              <w:right w:val="single" w:sz="4" w:space="0" w:color="000000"/>
            </w:tcBorders>
            <w:shd w:val="clear" w:color="auto" w:fill="D2D2D2"/>
          </w:tcPr>
          <w:p>
            <w:pP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18"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9" w:space="0" w:color="D2D2D2"/>
              <w:bottom w:val="nil" w:sz="6" w:space="0" w:color="auto"/>
              <w:right w:val="single" w:sz="23" w:space="0" w:color="D2D2D2"/>
            </w:tcBorders>
          </w:tcPr>
          <w:p>
            <w:pPr>
              <w:pStyle w:val="TableParagraph"/>
              <w:spacing w:line="240" w:lineRule="auto" w:before="26"/>
              <w:ind w:right="22"/>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担保额度</w:t>
            </w:r>
            <w:r>
              <w:rPr>
                <w:rFonts w:ascii="宋体" w:hAnsi="宋体" w:cs="宋体" w:eastAsia="宋体" w:hint="default"/>
                <w:sz w:val="21"/>
                <w:szCs w:val="21"/>
              </w:rPr>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05"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vMerge/>
            <w:tcBorders>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01" w:right="0"/>
              <w:jc w:val="left"/>
              <w:rPr>
                <w:rFonts w:ascii="宋体" w:hAnsi="宋体" w:cs="宋体" w:eastAsia="宋体" w:hint="default"/>
                <w:sz w:val="21"/>
                <w:szCs w:val="21"/>
              </w:rPr>
            </w:pPr>
            <w:r>
              <w:rPr>
                <w:rFonts w:ascii="宋体" w:hAnsi="宋体" w:cs="宋体" w:eastAsia="宋体" w:hint="default"/>
                <w:sz w:val="21"/>
                <w:szCs w:val="21"/>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报告期内审批担保额度合计</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A1+B1+C1</w:t>
            </w:r>
            <w:r>
              <w:rPr>
                <w:rFonts w:ascii="宋体" w:hAnsi="宋体" w:cs="宋体" w:eastAsia="宋体" w:hint="default"/>
                <w:sz w:val="21"/>
                <w:szCs w:val="21"/>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455" w:right="0"/>
              <w:jc w:val="left"/>
              <w:rPr>
                <w:rFonts w:ascii="Times New Roman" w:hAnsi="Times New Roman" w:cs="Times New Roman" w:eastAsia="Times New Roman" w:hint="default"/>
                <w:sz w:val="21"/>
                <w:szCs w:val="21"/>
              </w:rPr>
            </w:pPr>
            <w:r>
              <w:rPr>
                <w:rFonts w:ascii="Times New Roman"/>
                <w:sz w:val="21"/>
              </w:rPr>
              <w:t>8,263.36</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22" w:right="122"/>
              <w:jc w:val="left"/>
              <w:rPr>
                <w:rFonts w:ascii="Times New Roman" w:hAnsi="Times New Roman" w:cs="Times New Roman" w:eastAsia="Times New Roman" w:hint="default"/>
                <w:sz w:val="21"/>
                <w:szCs w:val="21"/>
              </w:rPr>
            </w:pPr>
            <w:r>
              <w:rPr>
                <w:rFonts w:ascii="宋体" w:hAnsi="宋体" w:cs="宋体" w:eastAsia="宋体" w:hint="default"/>
                <w:sz w:val="21"/>
                <w:szCs w:val="21"/>
              </w:rPr>
              <w:t>报告期内担保实际发 </w:t>
            </w:r>
            <w:r>
              <w:rPr>
                <w:rFonts w:ascii="宋体" w:hAnsi="宋体" w:cs="宋体" w:eastAsia="宋体" w:hint="default"/>
                <w:spacing w:val="-8"/>
                <w:sz w:val="21"/>
                <w:szCs w:val="21"/>
              </w:rPr>
              <w:t>生额合计（</w:t>
            </w:r>
            <w:r>
              <w:rPr>
                <w:rFonts w:ascii="Times New Roman" w:hAnsi="Times New Roman" w:cs="Times New Roman" w:eastAsia="Times New Roman" w:hint="default"/>
                <w:spacing w:val="-8"/>
                <w:sz w:val="21"/>
                <w:szCs w:val="21"/>
              </w:rPr>
              <w:t>A2+B2+C2</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w:t>
            </w:r>
          </w:p>
        </w:tc>
        <w:tc>
          <w:tcPr>
            <w:tcW w:w="785" w:type="dxa"/>
            <w:tcBorders>
              <w:top w:val="single" w:sz="4" w:space="0" w:color="000000"/>
              <w:left w:val="nil" w:sz="6" w:space="0" w:color="auto"/>
              <w:bottom w:val="single" w:sz="4" w:space="0" w:color="000000"/>
              <w:right w:val="nil" w:sz="6" w:space="0" w:color="auto"/>
            </w:tcBorders>
          </w:tcPr>
          <w:p>
            <w:pPr/>
          </w:p>
        </w:tc>
        <w:tc>
          <w:tcPr>
            <w:tcW w:w="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9,063.36</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67"/>
              <w:jc w:val="left"/>
              <w:rPr>
                <w:rFonts w:ascii="宋体" w:hAnsi="宋体" w:cs="宋体" w:eastAsia="宋体" w:hint="default"/>
                <w:sz w:val="21"/>
                <w:szCs w:val="21"/>
              </w:rPr>
            </w:pPr>
            <w:r>
              <w:rPr>
                <w:rFonts w:ascii="宋体" w:hAnsi="宋体" w:cs="宋体" w:eastAsia="宋体" w:hint="default"/>
                <w:sz w:val="21"/>
                <w:szCs w:val="21"/>
              </w:rPr>
              <w:t>报告期末已审批的担保额度 合计（</w:t>
            </w:r>
            <w:r>
              <w:rPr>
                <w:rFonts w:ascii="Times New Roman" w:hAnsi="Times New Roman" w:cs="Times New Roman" w:eastAsia="Times New Roman" w:hint="default"/>
                <w:sz w:val="21"/>
                <w:szCs w:val="21"/>
              </w:rPr>
              <w:t>A3+B3+C3</w:t>
            </w:r>
            <w:r>
              <w:rPr>
                <w:rFonts w:ascii="宋体" w:hAnsi="宋体" w:cs="宋体" w:eastAsia="宋体" w:hint="default"/>
                <w:sz w:val="21"/>
                <w:szCs w:val="21"/>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349" w:right="0"/>
              <w:jc w:val="left"/>
              <w:rPr>
                <w:rFonts w:ascii="Times New Roman" w:hAnsi="Times New Roman" w:cs="Times New Roman" w:eastAsia="Times New Roman" w:hint="default"/>
                <w:sz w:val="21"/>
                <w:szCs w:val="21"/>
              </w:rPr>
            </w:pPr>
            <w:r>
              <w:rPr>
                <w:rFonts w:ascii="Times New Roman"/>
                <w:sz w:val="21"/>
              </w:rPr>
              <w:t>13,863.36</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报告期末实际担保余 额合计（</w:t>
            </w:r>
            <w:r>
              <w:rPr>
                <w:rFonts w:ascii="Times New Roman" w:hAnsi="Times New Roman" w:cs="Times New Roman" w:eastAsia="Times New Roman" w:hint="default"/>
                <w:sz w:val="21"/>
                <w:szCs w:val="21"/>
              </w:rPr>
              <w:t>A4+B4+C4</w:t>
            </w:r>
            <w:r>
              <w:rPr>
                <w:rFonts w:ascii="宋体" w:hAnsi="宋体" w:cs="宋体" w:eastAsia="宋体" w:hint="default"/>
                <w:sz w:val="21"/>
                <w:szCs w:val="21"/>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9,063.36</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A4+B4+C4</w:t>
            </w:r>
            <w:r>
              <w:rPr>
                <w:rFonts w:ascii="宋体" w:hAnsi="宋体" w:cs="宋体" w:eastAsia="宋体" w:hint="default"/>
                <w:sz w:val="21"/>
                <w:szCs w:val="21"/>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13.07%</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719"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22" w:right="22"/>
              <w:jc w:val="left"/>
              <w:rPr>
                <w:rFonts w:ascii="宋体" w:hAnsi="宋体" w:cs="宋体" w:eastAsia="宋体" w:hint="default"/>
                <w:sz w:val="21"/>
                <w:szCs w:val="21"/>
              </w:rPr>
            </w:pPr>
            <w:r>
              <w:rPr>
                <w:rFonts w:ascii="宋体" w:hAnsi="宋体" w:cs="宋体" w:eastAsia="宋体" w:hint="default"/>
                <w:spacing w:val="-2"/>
                <w:sz w:val="21"/>
                <w:szCs w:val="21"/>
              </w:rPr>
              <w:t>对未到期担保，报告期内已发生担保责任或可能承担</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连带清偿责任的情况说明（如有）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26"/>
              <w:ind w:left="1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4"/>
        <w:ind w:right="1033"/>
        <w:jc w:val="left"/>
      </w:pPr>
      <w:r>
        <w:rPr/>
        <w:t>采用复合方式担保的具体情况说明</w:t>
      </w:r>
    </w:p>
    <w:p>
      <w:pPr>
        <w:spacing w:line="240" w:lineRule="auto" w:before="8"/>
        <w:rPr>
          <w:rFonts w:ascii="宋体" w:hAnsi="宋体" w:cs="宋体" w:eastAsia="宋体" w:hint="default"/>
          <w:sz w:val="34"/>
          <w:szCs w:val="34"/>
        </w:rPr>
      </w:pPr>
    </w:p>
    <w:p>
      <w:pPr>
        <w:pStyle w:val="Heading3"/>
        <w:spacing w:line="240" w:lineRule="auto"/>
        <w:ind w:left="1133" w:right="1033"/>
        <w:jc w:val="left"/>
        <w:rPr>
          <w:b w:val="0"/>
          <w:bCs w:val="0"/>
        </w:rPr>
      </w:pPr>
      <w:bookmarkStart w:name="（2）违规对外担保情况" w:id="89"/>
      <w:bookmarkEnd w:id="89"/>
      <w:r>
        <w:rPr>
          <w:b w:val="0"/>
          <w:bCs w:val="0"/>
        </w:rPr>
      </w:r>
      <w:r>
        <w:rPr/>
        <w:t>（</w:t>
      </w:r>
      <w:r>
        <w:rPr>
          <w:rFonts w:ascii="宋体" w:hAnsi="宋体" w:cs="宋体" w:eastAsia="宋体" w:hint="default"/>
        </w:rPr>
        <w:t>2</w:t>
      </w:r>
      <w:r>
        <w:rPr/>
        <w:t>）违规对外担保情况</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left="1134" w:right="5472"/>
        <w:jc w:val="left"/>
      </w:pPr>
      <w:r>
        <w:rPr/>
        <w:t>□ 适用 √ 不适用 公司报告期无违规对外担保情况。</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3、委托他人进行现金资产管理情况" w:id="90"/>
      <w:bookmarkEnd w:id="90"/>
      <w:r>
        <w:rPr>
          <w:b w:val="0"/>
          <w:bCs w:val="0"/>
        </w:rPr>
      </w:r>
      <w:r>
        <w:rPr>
          <w:rFonts w:ascii="宋体" w:hAnsi="宋体" w:cs="宋体" w:eastAsia="宋体" w:hint="default"/>
        </w:rPr>
        <w:t>3</w:t>
      </w:r>
      <w:r>
        <w:rPr/>
        <w:t>、委托他人进行现金资产管理情况</w:t>
      </w:r>
      <w:r>
        <w:rPr>
          <w:b w:val="0"/>
          <w:bCs w:val="0"/>
        </w:rPr>
      </w:r>
    </w:p>
    <w:p>
      <w:pPr>
        <w:spacing w:line="240" w:lineRule="auto" w:before="11"/>
        <w:rPr>
          <w:rFonts w:ascii="宋体" w:hAnsi="宋体" w:cs="宋体" w:eastAsia="宋体" w:hint="default"/>
          <w:b/>
          <w:bCs/>
          <w:sz w:val="28"/>
          <w:szCs w:val="28"/>
        </w:rPr>
      </w:pPr>
    </w:p>
    <w:p>
      <w:pPr>
        <w:spacing w:before="0"/>
        <w:ind w:left="1134" w:right="1033" w:firstLine="0"/>
        <w:jc w:val="left"/>
        <w:rPr>
          <w:rFonts w:ascii="宋体" w:hAnsi="宋体" w:cs="宋体" w:eastAsia="宋体" w:hint="default"/>
          <w:sz w:val="24"/>
          <w:szCs w:val="24"/>
        </w:rPr>
      </w:pPr>
      <w:bookmarkStart w:name="（1）委托理财情况" w:id="91"/>
      <w:bookmarkEnd w:id="91"/>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）委托理财情况</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388" w:lineRule="auto"/>
        <w:ind w:left="1134" w:right="7632"/>
        <w:jc w:val="left"/>
      </w:pPr>
      <w:r>
        <w:rPr/>
        <w:t>□ 适用 √ 不适用 公司报告期不存在委托理财。</w:t>
      </w:r>
    </w:p>
    <w:p>
      <w:pPr>
        <w:spacing w:line="240" w:lineRule="auto" w:before="5"/>
        <w:rPr>
          <w:rFonts w:ascii="宋体" w:hAnsi="宋体" w:cs="宋体" w:eastAsia="宋体" w:hint="default"/>
          <w:sz w:val="17"/>
          <w:szCs w:val="17"/>
        </w:rPr>
      </w:pPr>
    </w:p>
    <w:p>
      <w:pPr>
        <w:pStyle w:val="Heading3"/>
        <w:spacing w:line="240" w:lineRule="auto"/>
        <w:ind w:right="1033"/>
        <w:jc w:val="left"/>
        <w:rPr>
          <w:b w:val="0"/>
          <w:bCs w:val="0"/>
        </w:rPr>
      </w:pPr>
      <w:bookmarkStart w:name="（2）委托贷款情况" w:id="92"/>
      <w:bookmarkEnd w:id="92"/>
      <w:r>
        <w:rPr>
          <w:b w:val="0"/>
          <w:bCs w:val="0"/>
        </w:rPr>
      </w:r>
      <w:r>
        <w:rPr/>
        <w:t>（</w:t>
      </w:r>
      <w:r>
        <w:rPr>
          <w:rFonts w:ascii="宋体" w:hAnsi="宋体" w:cs="宋体" w:eastAsia="宋体" w:hint="default"/>
        </w:rPr>
        <w:t>2</w:t>
      </w:r>
      <w:r>
        <w:rPr/>
        <w:t>）委托贷款情况</w:t>
      </w:r>
      <w:r>
        <w:rPr>
          <w:b w:val="0"/>
          <w:bCs w:val="0"/>
        </w:rPr>
      </w:r>
    </w:p>
    <w:p>
      <w:pPr>
        <w:spacing w:line="240" w:lineRule="auto" w:before="11"/>
        <w:rPr>
          <w:rFonts w:ascii="宋体" w:hAnsi="宋体" w:cs="宋体" w:eastAsia="宋体" w:hint="default"/>
          <w:b/>
          <w:bCs/>
          <w:sz w:val="28"/>
          <w:szCs w:val="28"/>
        </w:rPr>
      </w:pPr>
    </w:p>
    <w:p>
      <w:pPr>
        <w:pStyle w:val="BodyText"/>
        <w:spacing w:line="388" w:lineRule="auto"/>
        <w:ind w:left="1134" w:right="7632"/>
        <w:jc w:val="left"/>
      </w:pPr>
      <w:r>
        <w:rPr/>
        <w:t>□ 适用 √ 不适用 公司报告期不存在委托贷款。</w:t>
      </w:r>
    </w:p>
    <w:p>
      <w:pPr>
        <w:spacing w:line="240" w:lineRule="auto" w:before="3"/>
        <w:rPr>
          <w:rFonts w:ascii="宋体" w:hAnsi="宋体" w:cs="宋体" w:eastAsia="宋体" w:hint="default"/>
          <w:sz w:val="23"/>
          <w:szCs w:val="23"/>
        </w:rPr>
      </w:pPr>
    </w:p>
    <w:p>
      <w:pPr>
        <w:pStyle w:val="Heading3"/>
        <w:spacing w:line="240" w:lineRule="auto"/>
        <w:ind w:right="1033"/>
        <w:jc w:val="left"/>
        <w:rPr>
          <w:b w:val="0"/>
          <w:bCs w:val="0"/>
        </w:rPr>
      </w:pPr>
      <w:bookmarkStart w:name="4、其他重大合同" w:id="93"/>
      <w:bookmarkEnd w:id="93"/>
      <w:r>
        <w:rPr>
          <w:b w:val="0"/>
          <w:bCs w:val="0"/>
        </w:rPr>
      </w:r>
      <w:r>
        <w:rPr>
          <w:rFonts w:ascii="宋体" w:hAnsi="宋体" w:cs="宋体" w:eastAsia="宋体" w:hint="default"/>
        </w:rPr>
        <w:t>4</w:t>
      </w:r>
      <w:r>
        <w:rPr/>
        <w:t>、其他重大合同</w:t>
      </w:r>
      <w:r>
        <w:rPr>
          <w:b w:val="0"/>
          <w:bCs w:val="0"/>
        </w:rPr>
      </w:r>
    </w:p>
    <w:p>
      <w:pPr>
        <w:spacing w:line="240" w:lineRule="auto" w:before="10"/>
        <w:rPr>
          <w:rFonts w:ascii="宋体" w:hAnsi="宋体" w:cs="宋体" w:eastAsia="宋体" w:hint="default"/>
          <w:b/>
          <w:bCs/>
          <w:sz w:val="34"/>
          <w:szCs w:val="34"/>
        </w:rPr>
      </w:pPr>
    </w:p>
    <w:p>
      <w:pPr>
        <w:pStyle w:val="BodyText"/>
        <w:spacing w:line="388" w:lineRule="auto"/>
        <w:ind w:left="1134" w:right="5472"/>
        <w:jc w:val="left"/>
      </w:pPr>
      <w:r>
        <w:rPr/>
        <w:t>□ 适用 √ 不适用 公司报告期不存在其他重大合同。</w:t>
      </w:r>
    </w:p>
    <w:p>
      <w:pPr>
        <w:spacing w:line="240" w:lineRule="auto" w:before="3"/>
        <w:rPr>
          <w:rFonts w:ascii="宋体" w:hAnsi="宋体" w:cs="宋体" w:eastAsia="宋体" w:hint="default"/>
          <w:sz w:val="23"/>
          <w:szCs w:val="23"/>
        </w:rPr>
      </w:pPr>
    </w:p>
    <w:p>
      <w:pPr>
        <w:pStyle w:val="Heading3"/>
        <w:spacing w:line="240" w:lineRule="auto"/>
        <w:ind w:right="1033"/>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10"/>
        <w:rPr>
          <w:rFonts w:ascii="宋体" w:hAnsi="宋体" w:cs="宋体" w:eastAsia="宋体" w:hint="default"/>
          <w:b/>
          <w:bCs/>
          <w:sz w:val="34"/>
          <w:szCs w:val="34"/>
        </w:rPr>
      </w:pPr>
    </w:p>
    <w:p>
      <w:pPr>
        <w:pStyle w:val="BodyText"/>
        <w:tabs>
          <w:tab w:pos="2094" w:val="left" w:leader="none"/>
        </w:tabs>
        <w:spacing w:line="386" w:lineRule="auto"/>
        <w:ind w:left="1614" w:right="5851" w:hanging="480"/>
        <w:jc w:val="left"/>
      </w:pPr>
      <w:r>
        <w:rPr/>
        <w:t>√适用</w:t>
        <w:tab/>
        <w:t>□不适用 </w:t>
      </w:r>
      <w:r>
        <w:rPr>
          <w:rFonts w:ascii="宋体" w:hAnsi="宋体" w:cs="宋体" w:eastAsia="宋体" w:hint="default"/>
        </w:rPr>
        <w:t>1</w:t>
      </w:r>
      <w:r>
        <w:rPr/>
        <w:t>、依米康绿色精密环境产业基地建设项目</w:t>
      </w:r>
    </w:p>
    <w:p>
      <w:pPr>
        <w:pStyle w:val="BodyText"/>
        <w:spacing w:line="357" w:lineRule="auto" w:before="7"/>
        <w:ind w:right="1130" w:firstLine="480"/>
        <w:jc w:val="both"/>
      </w:pP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月，本公司参加成都市公共资源交易服务中心组织的国有建设用地使用权挂牌出</w:t>
      </w:r>
      <w:r>
        <w:rPr/>
        <w:t> </w:t>
      </w:r>
      <w:r>
        <w:rPr>
          <w:spacing w:val="-2"/>
        </w:rPr>
        <w:t>让活动，并通过竞拍取得宗地编号为</w:t>
      </w:r>
      <w:r>
        <w:rPr>
          <w:rFonts w:ascii="宋体" w:hAnsi="宋体" w:cs="宋体" w:eastAsia="宋体" w:hint="default"/>
          <w:spacing w:val="-2"/>
        </w:rPr>
        <w:t>GX2014-03-02</w:t>
      </w:r>
      <w:r>
        <w:rPr>
          <w:spacing w:val="-2"/>
        </w:rPr>
        <w:t>地块的国有建设用地使用权。并于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rFonts w:ascii="宋体" w:hAnsi="宋体" w:cs="宋体" w:eastAsia="宋体" w:hint="default"/>
          <w:spacing w:val="-104"/>
        </w:rPr>
        <w:t> </w:t>
      </w:r>
      <w:r>
        <w:rPr/>
        <w:t>月</w:t>
      </w:r>
      <w:r>
        <w:rPr>
          <w:rFonts w:ascii="宋体" w:hAnsi="宋体" w:cs="宋体" w:eastAsia="宋体" w:hint="default"/>
        </w:rPr>
        <w:t>25</w:t>
      </w:r>
      <w:r>
        <w:rPr/>
        <w:t>日取得《国有土地使用证》【成高国用（</w:t>
      </w:r>
      <w:r>
        <w:rPr>
          <w:rFonts w:ascii="宋体" w:hAnsi="宋体" w:cs="宋体" w:eastAsia="宋体" w:hint="default"/>
        </w:rPr>
        <w:t>2015</w:t>
      </w:r>
      <w:r>
        <w:rPr/>
        <w:t>）第</w:t>
      </w:r>
      <w:r>
        <w:rPr>
          <w:rFonts w:ascii="宋体" w:hAnsi="宋体" w:cs="宋体" w:eastAsia="宋体" w:hint="default"/>
        </w:rPr>
        <w:t>12958</w:t>
      </w:r>
      <w:r>
        <w:rPr/>
        <w:t>号】。</w:t>
      </w:r>
    </w:p>
    <w:p>
      <w:pPr>
        <w:pStyle w:val="BodyText"/>
        <w:spacing w:line="357" w:lineRule="auto" w:before="36"/>
        <w:ind w:left="1134" w:right="995" w:firstLine="480"/>
        <w:jc w:val="left"/>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26</w:t>
      </w:r>
      <w:r>
        <w:rPr/>
        <w:t>日，公司取得成都高新区经贸发展局出具的《关于四川依米康环境科技股份 </w:t>
      </w:r>
      <w:r>
        <w:rPr>
          <w:spacing w:val="-11"/>
        </w:rPr>
        <w:t>有限公司依米康绿色精密环境产业基地项目备案通知书》【备案号：成高经审（</w:t>
      </w:r>
      <w:r>
        <w:rPr>
          <w:rFonts w:ascii="宋体" w:hAnsi="宋体" w:cs="宋体" w:eastAsia="宋体" w:hint="default"/>
          <w:spacing w:val="-11"/>
        </w:rPr>
        <w:t>2015</w:t>
      </w:r>
      <w:r>
        <w:rPr>
          <w:spacing w:val="-11"/>
        </w:rPr>
        <w:t>）</w:t>
      </w:r>
      <w:r>
        <w:rPr>
          <w:rFonts w:ascii="宋体" w:hAnsi="宋体" w:cs="宋体" w:eastAsia="宋体" w:hint="default"/>
          <w:spacing w:val="-11"/>
        </w:rPr>
        <w:t>152</w:t>
      </w:r>
      <w:r>
        <w:rPr>
          <w:rFonts w:ascii="宋体" w:hAnsi="宋体" w:cs="宋体" w:eastAsia="宋体" w:hint="default"/>
          <w:spacing w:val="6"/>
        </w:rPr>
        <w:t> </w:t>
      </w:r>
      <w:r>
        <w:rPr>
          <w:spacing w:val="-32"/>
        </w:rPr>
        <w:t>号】。</w:t>
      </w:r>
    </w:p>
    <w:p>
      <w:pPr>
        <w:pStyle w:val="BodyText"/>
        <w:spacing w:line="240" w:lineRule="auto" w:before="36"/>
        <w:ind w:left="1614" w:right="1033"/>
        <w:jc w:val="left"/>
      </w:pPr>
      <w:r>
        <w:rPr/>
        <w:t>本公司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24</w:t>
      </w:r>
      <w:r>
        <w:rPr/>
        <w:t>日召开的第三届董事会第四次会议审议通过《关于投资建设“依米</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right="1129"/>
        <w:jc w:val="both"/>
      </w:pPr>
      <w:r>
        <w:rPr/>
        <w:t>康绿色环境产业基地项目”的议案》：本公司拟以自筹资金方式在成都高新区西部园区投资</w:t>
      </w:r>
      <w:r>
        <w:rPr>
          <w:spacing w:val="-116"/>
        </w:rPr>
        <w:t> </w:t>
      </w:r>
      <w:r>
        <w:rPr>
          <w:spacing w:val="-116"/>
        </w:rPr>
      </w:r>
      <w:r>
        <w:rPr/>
        <w:t>建设“依米康绿色精密环境产业基地项目”，项目总投资金额预计为</w:t>
      </w:r>
      <w:r>
        <w:rPr>
          <w:rFonts w:ascii="宋体" w:hAnsi="宋体" w:cs="宋体" w:eastAsia="宋体" w:hint="default"/>
        </w:rPr>
        <w:t>5.08</w:t>
      </w:r>
      <w:r>
        <w:rPr/>
        <w:t>亿元，其中固定资</w:t>
      </w:r>
      <w:r>
        <w:rPr>
          <w:spacing w:val="-108"/>
        </w:rPr>
        <w:t> </w:t>
      </w:r>
      <w:r>
        <w:rPr>
          <w:spacing w:val="-108"/>
        </w:rPr>
      </w:r>
      <w:r>
        <w:rPr/>
        <w:t>产投资</w:t>
      </w:r>
      <w:r>
        <w:rPr>
          <w:rFonts w:ascii="宋体" w:hAnsi="宋体" w:cs="宋体" w:eastAsia="宋体" w:hint="default"/>
        </w:rPr>
        <w:t>3.58</w:t>
      </w:r>
      <w:r>
        <w:rPr/>
        <w:t>亿（含土地款</w:t>
      </w:r>
      <w:r>
        <w:rPr>
          <w:rFonts w:ascii="宋体" w:hAnsi="宋体" w:cs="宋体" w:eastAsia="宋体" w:hint="default"/>
        </w:rPr>
        <w:t>1572.6762</w:t>
      </w:r>
      <w:r>
        <w:rPr/>
        <w:t>万元），项目铺地流动资金约</w:t>
      </w:r>
      <w:r>
        <w:rPr>
          <w:rFonts w:ascii="宋体" w:hAnsi="宋体" w:cs="宋体" w:eastAsia="宋体" w:hint="default"/>
        </w:rPr>
        <w:t>1.5</w:t>
      </w:r>
      <w:r>
        <w:rPr/>
        <w:t>亿元。本次对外投资事</w:t>
      </w:r>
      <w:r>
        <w:rPr>
          <w:spacing w:val="-88"/>
        </w:rPr>
        <w:t> </w:t>
      </w:r>
      <w:r>
        <w:rPr>
          <w:spacing w:val="-88"/>
        </w:rPr>
      </w:r>
      <w:r>
        <w:rPr/>
        <w:t>项尚需提交公司股东大会审议。</w:t>
      </w:r>
    </w:p>
    <w:p>
      <w:pPr>
        <w:pStyle w:val="BodyText"/>
        <w:spacing w:line="357" w:lineRule="auto" w:before="36"/>
        <w:ind w:right="1121" w:firstLine="480"/>
        <w:jc w:val="left"/>
      </w:pP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14</w:t>
      </w:r>
      <w:r>
        <w:rPr>
          <w:spacing w:val="-2"/>
        </w:rPr>
        <w:t>日召开的</w:t>
      </w:r>
      <w:r>
        <w:rPr>
          <w:rFonts w:ascii="宋体" w:hAnsi="宋体" w:cs="宋体" w:eastAsia="宋体" w:hint="default"/>
          <w:spacing w:val="-2"/>
        </w:rPr>
        <w:t>2016</w:t>
      </w:r>
      <w:r>
        <w:rPr>
          <w:spacing w:val="-2"/>
        </w:rPr>
        <w:t>年第一次临时股东大会审议通过了《关于投资建设“依米康绿</w:t>
      </w:r>
      <w:r>
        <w:rPr/>
        <w:t> 色环境产业基地项目”的议案》。</w:t>
      </w:r>
    </w:p>
    <w:p>
      <w:pPr>
        <w:pStyle w:val="BodyText"/>
        <w:spacing w:line="240" w:lineRule="auto" w:before="36"/>
        <w:ind w:left="1613" w:right="1033"/>
        <w:jc w:val="left"/>
      </w:pPr>
      <w:r>
        <w:rPr>
          <w:rFonts w:ascii="宋体" w:hAnsi="宋体" w:cs="宋体" w:eastAsia="宋体" w:hint="default"/>
        </w:rPr>
        <w:t>2</w:t>
      </w:r>
      <w:r>
        <w:rPr/>
        <w:t>、公司控股股东、实际控制人股权质押情况</w:t>
      </w:r>
    </w:p>
    <w:p>
      <w:pPr>
        <w:pStyle w:val="BodyText"/>
        <w:spacing w:line="240" w:lineRule="auto" w:before="154"/>
        <w:ind w:left="1614" w:right="1033"/>
        <w:jc w:val="left"/>
      </w:pPr>
      <w:r>
        <w:rPr>
          <w:rFonts w:ascii="宋体" w:hAnsi="宋体" w:cs="宋体" w:eastAsia="宋体" w:hint="default"/>
        </w:rPr>
        <w:t>2015</w:t>
      </w:r>
      <w:r>
        <w:rPr>
          <w:rFonts w:ascii="宋体" w:hAnsi="宋体" w:cs="宋体" w:eastAsia="宋体" w:hint="default"/>
          <w:spacing w:val="-95"/>
        </w:rPr>
        <w:t> </w:t>
      </w:r>
      <w:r>
        <w:rPr/>
        <w:t>年</w:t>
      </w:r>
      <w:r>
        <w:rPr>
          <w:spacing w:val="-96"/>
        </w:rPr>
        <w:t> </w:t>
      </w:r>
      <w:r>
        <w:rPr>
          <w:rFonts w:ascii="宋体" w:hAnsi="宋体" w:cs="宋体" w:eastAsia="宋体" w:hint="default"/>
        </w:rPr>
        <w:t>2</w:t>
      </w:r>
      <w:r>
        <w:rPr>
          <w:rFonts w:ascii="宋体" w:hAnsi="宋体" w:cs="宋体" w:eastAsia="宋体" w:hint="default"/>
          <w:spacing w:val="-98"/>
        </w:rPr>
        <w:t> </w:t>
      </w:r>
      <w:r>
        <w:rPr/>
        <w:t>月</w:t>
      </w:r>
      <w:r>
        <w:rPr>
          <w:spacing w:val="-98"/>
        </w:rPr>
        <w:t> </w:t>
      </w:r>
      <w:r>
        <w:rPr>
          <w:rFonts w:ascii="宋体" w:hAnsi="宋体" w:cs="宋体" w:eastAsia="宋体" w:hint="default"/>
        </w:rPr>
        <w:t>5</w:t>
      </w:r>
      <w:r>
        <w:rPr>
          <w:rFonts w:ascii="宋体" w:hAnsi="宋体" w:cs="宋体" w:eastAsia="宋体" w:hint="default"/>
          <w:spacing w:val="-96"/>
        </w:rPr>
        <w:t> </w:t>
      </w:r>
      <w:r>
        <w:rPr>
          <w:spacing w:val="11"/>
        </w:rPr>
        <w:t>日，</w:t>
      </w:r>
      <w:r>
        <w:rPr>
          <w:spacing w:val="-98"/>
        </w:rPr>
        <w:t> </w:t>
      </w:r>
      <w:r>
        <w:rPr>
          <w:spacing w:val="18"/>
        </w:rPr>
        <w:t>公司控股股东、</w:t>
      </w:r>
      <w:r>
        <w:rPr>
          <w:spacing w:val="-96"/>
        </w:rPr>
        <w:t> </w:t>
      </w:r>
      <w:r>
        <w:rPr>
          <w:spacing w:val="20"/>
        </w:rPr>
        <w:t>实际控制人张菀女士因个人资金需求将其持有的</w:t>
      </w:r>
    </w:p>
    <w:p>
      <w:pPr>
        <w:pStyle w:val="BodyText"/>
        <w:spacing w:line="357" w:lineRule="auto" w:before="154"/>
        <w:ind w:right="1001"/>
        <w:jc w:val="left"/>
      </w:pPr>
      <w:r>
        <w:rPr>
          <w:rFonts w:ascii="宋体" w:hAnsi="宋体" w:cs="宋体" w:eastAsia="宋体" w:hint="default"/>
          <w:spacing w:val="-3"/>
        </w:rPr>
        <w:t>10,000,000.00</w:t>
      </w:r>
      <w:r>
        <w:rPr>
          <w:spacing w:val="-3"/>
        </w:rPr>
        <w:t>股作为标的证券，质押给川财证券有限责任公司</w:t>
      </w:r>
      <w:r>
        <w:rPr>
          <w:rFonts w:ascii="宋体" w:hAnsi="宋体" w:cs="宋体" w:eastAsia="宋体" w:hint="default"/>
          <w:spacing w:val="-3"/>
        </w:rPr>
        <w:t>(</w:t>
      </w:r>
      <w:r>
        <w:rPr>
          <w:spacing w:val="-3"/>
        </w:rPr>
        <w:t>以下简称“川财证券”)，办</w:t>
      </w:r>
      <w:r>
        <w:rPr>
          <w:spacing w:val="-100"/>
        </w:rPr>
        <w:t> </w:t>
      </w:r>
      <w:r>
        <w:rPr>
          <w:spacing w:val="-100"/>
        </w:rPr>
      </w:r>
      <w:r>
        <w:rPr/>
        <w:t>理股票质押式回购交易，该次交易的初始交易日为</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5</w:t>
      </w:r>
      <w:r>
        <w:rPr/>
        <w:t>日，购回交易日为</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5</w:t>
      </w:r>
      <w:r>
        <w:rPr>
          <w:rFonts w:ascii="宋体" w:hAnsi="宋体" w:cs="宋体" w:eastAsia="宋体" w:hint="default"/>
          <w:spacing w:val="-106"/>
        </w:rPr>
        <w:t> </w:t>
      </w:r>
      <w:r>
        <w:rPr>
          <w:spacing w:val="-2"/>
        </w:rPr>
        <w:t>日。</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5</w:t>
      </w:r>
      <w:r>
        <w:rPr>
          <w:spacing w:val="-2"/>
        </w:rPr>
        <w:t>日质押期限届满，张菀女士将该部分股票申请了延期购回，质押给川财证券，</w:t>
      </w:r>
      <w:r>
        <w:rPr>
          <w:spacing w:val="-116"/>
        </w:rPr>
        <w:t> </w:t>
      </w:r>
      <w:r>
        <w:rPr>
          <w:spacing w:val="-116"/>
        </w:rPr>
      </w:r>
      <w:r>
        <w:rPr>
          <w:spacing w:val="3"/>
        </w:rPr>
        <w:t>办理了股票质押式回购交易延期购回业务，此次延期购回业务约定购回交易日期为</w:t>
      </w:r>
      <w:r>
        <w:rPr>
          <w:rFonts w:ascii="宋体" w:hAnsi="宋体" w:cs="宋体" w:eastAsia="宋体" w:hint="default"/>
          <w:spacing w:val="3"/>
        </w:rPr>
        <w:t>2017</w:t>
      </w:r>
      <w:r>
        <w:rPr>
          <w:spacing w:val="3"/>
        </w:rPr>
        <w:t>年</w:t>
      </w:r>
      <w:r>
        <w:rPr>
          <w:rFonts w:ascii="宋体" w:hAnsi="宋体" w:cs="宋体" w:eastAsia="宋体" w:hint="default"/>
          <w:spacing w:val="3"/>
        </w:rPr>
        <w:t>2</w:t>
      </w:r>
      <w:r>
        <w:rPr>
          <w:rFonts w:ascii="宋体" w:hAnsi="宋体" w:cs="宋体" w:eastAsia="宋体" w:hint="default"/>
          <w:spacing w:val="-107"/>
        </w:rPr>
        <w:t> </w:t>
      </w:r>
      <w:r>
        <w:rPr/>
        <w:t>月</w:t>
      </w:r>
      <w:r>
        <w:rPr>
          <w:rFonts w:ascii="宋体" w:hAnsi="宋体" w:cs="宋体" w:eastAsia="宋体" w:hint="default"/>
        </w:rPr>
        <w:t>6</w:t>
      </w:r>
      <w:r>
        <w:rPr/>
        <w:t>日。</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9</w:t>
      </w:r>
      <w:r>
        <w:rPr/>
        <w:t>日，张菀女士因个人资金需求将其持有的</w:t>
      </w:r>
      <w:r>
        <w:rPr>
          <w:rFonts w:ascii="宋体" w:hAnsi="宋体" w:cs="宋体" w:eastAsia="宋体" w:hint="default"/>
        </w:rPr>
        <w:t>7,500,000.00</w:t>
      </w:r>
      <w:r>
        <w:rPr/>
        <w:t>股作为标的证券， 质押给川财证券，办理股票质押式回购交易，该次交易的初始交易日为</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9</w:t>
      </w:r>
      <w:r>
        <w:rPr/>
        <w:t>日，购回</w:t>
      </w:r>
      <w:r>
        <w:rPr>
          <w:spacing w:val="-109"/>
        </w:rPr>
        <w:t> </w:t>
      </w:r>
      <w:r>
        <w:rPr/>
        <w:t>交易日为</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8</w:t>
      </w:r>
      <w:r>
        <w:rPr/>
        <w:t>日。</w:t>
      </w:r>
    </w:p>
    <w:p>
      <w:pPr>
        <w:pStyle w:val="BodyText"/>
        <w:spacing w:line="240" w:lineRule="auto" w:before="36"/>
        <w:ind w:left="1614" w:right="1033"/>
        <w:jc w:val="left"/>
      </w:pPr>
      <w:r>
        <w:rPr>
          <w:rFonts w:ascii="宋体" w:hAnsi="宋体" w:cs="宋体" w:eastAsia="宋体" w:hint="default"/>
          <w:spacing w:val="12"/>
        </w:rPr>
        <w:t>2016</w:t>
      </w:r>
      <w:r>
        <w:rPr>
          <w:spacing w:val="12"/>
        </w:rPr>
        <w:t>年</w:t>
      </w:r>
      <w:r>
        <w:rPr>
          <w:rFonts w:ascii="宋体" w:hAnsi="宋体" w:cs="宋体" w:eastAsia="宋体" w:hint="default"/>
          <w:spacing w:val="12"/>
        </w:rPr>
        <w:t>2</w:t>
      </w:r>
      <w:r>
        <w:rPr>
          <w:spacing w:val="12"/>
        </w:rPr>
        <w:t>月</w:t>
      </w:r>
      <w:r>
        <w:rPr>
          <w:rFonts w:ascii="宋体" w:hAnsi="宋体" w:cs="宋体" w:eastAsia="宋体" w:hint="default"/>
          <w:spacing w:val="12"/>
        </w:rPr>
        <w:t>4</w:t>
      </w:r>
      <w:r>
        <w:rPr>
          <w:spacing w:val="12"/>
        </w:rPr>
        <w:t>日，公司控股股东、实际控制人孙屹峥先生因个人资金需求将其持有的</w:t>
      </w:r>
    </w:p>
    <w:p>
      <w:pPr>
        <w:pStyle w:val="BodyText"/>
        <w:spacing w:line="357" w:lineRule="auto" w:before="154"/>
        <w:ind w:right="1132"/>
        <w:jc w:val="both"/>
      </w:pPr>
      <w:r>
        <w:rPr>
          <w:rFonts w:ascii="宋体" w:hAnsi="宋体" w:cs="宋体" w:eastAsia="宋体" w:hint="default"/>
          <w:spacing w:val="-2"/>
        </w:rPr>
        <w:t>9,920,000.00</w:t>
      </w:r>
      <w:r>
        <w:rPr>
          <w:spacing w:val="-2"/>
        </w:rPr>
        <w:t>股作为标的证券，质押给长江证券（上海）资产管理有限公司</w:t>
      </w:r>
      <w:r>
        <w:rPr>
          <w:rFonts w:ascii="宋体" w:hAnsi="宋体" w:cs="宋体" w:eastAsia="宋体" w:hint="default"/>
          <w:spacing w:val="-2"/>
        </w:rPr>
        <w:t>(</w:t>
      </w:r>
      <w:r>
        <w:rPr>
          <w:spacing w:val="-2"/>
        </w:rPr>
        <w:t>以下简称“长江</w:t>
      </w:r>
      <w:r>
        <w:rPr>
          <w:spacing w:val="-110"/>
        </w:rPr>
        <w:t> </w:t>
      </w:r>
      <w:r>
        <w:rPr>
          <w:spacing w:val="-2"/>
        </w:rPr>
        <w:t>证券”)，办理股票质押式回购交易，该次交易的初始交易日为</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4</w:t>
      </w:r>
      <w:r>
        <w:rPr>
          <w:spacing w:val="-2"/>
        </w:rPr>
        <w:t>日，购回交易日为</w:t>
      </w:r>
      <w:r>
        <w:rPr>
          <w:spacing w:val="-116"/>
        </w:rPr>
        <w:t> </w:t>
      </w:r>
      <w:r>
        <w:rPr>
          <w:spacing w:val="-116"/>
        </w:rPr>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21</w:t>
      </w:r>
      <w:r>
        <w:rPr/>
        <w:t>日。</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10"/>
        <w:rPr>
          <w:rFonts w:ascii="宋体" w:hAnsi="宋体" w:cs="宋体" w:eastAsia="宋体" w:hint="default"/>
          <w:b/>
          <w:bCs/>
          <w:sz w:val="34"/>
          <w:szCs w:val="34"/>
        </w:rPr>
      </w:pPr>
    </w:p>
    <w:p>
      <w:pPr>
        <w:pStyle w:val="BodyText"/>
        <w:spacing w:line="240" w:lineRule="auto"/>
        <w:ind w:right="0"/>
        <w:jc w:val="both"/>
      </w:pPr>
      <w:r>
        <w:rPr/>
        <w:t>√ 适用 □ 不适用</w:t>
      </w:r>
    </w:p>
    <w:p>
      <w:pPr>
        <w:pStyle w:val="BodyText"/>
        <w:spacing w:line="357" w:lineRule="auto" w:before="192"/>
        <w:ind w:left="1134" w:right="1116"/>
        <w:jc w:val="left"/>
      </w:pPr>
      <w:r>
        <w:rPr/>
        <w:t>公司主要控股及参股公司的重大事项请参见本报告“第四节</w:t>
      </w:r>
      <w:r>
        <w:rPr>
          <w:spacing w:val="-14"/>
        </w:rPr>
        <w:t> </w:t>
      </w:r>
      <w:r>
        <w:rPr>
          <w:spacing w:val="-5"/>
        </w:rPr>
        <w:t>管理层讨论与分析”之“七、主</w:t>
      </w:r>
      <w:r>
        <w:rPr/>
        <w:t> 要控股参股公司分析”的相关内容。</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十九、社会责任情况" w:id="96"/>
      <w:bookmarkEnd w:id="96"/>
      <w:r>
        <w:rPr>
          <w:b w:val="0"/>
          <w:bCs w:val="0"/>
        </w:rPr>
      </w:r>
      <w:r>
        <w:rPr/>
        <w:t>十九、社会责任情况</w:t>
      </w:r>
      <w:r>
        <w:rPr>
          <w:b w:val="0"/>
          <w:bCs w:val="0"/>
        </w:rPr>
      </w:r>
    </w:p>
    <w:p>
      <w:pPr>
        <w:spacing w:line="240" w:lineRule="auto" w:before="9"/>
        <w:rPr>
          <w:rFonts w:ascii="宋体" w:hAnsi="宋体" w:cs="宋体" w:eastAsia="宋体" w:hint="default"/>
          <w:b/>
          <w:bCs/>
          <w:sz w:val="34"/>
          <w:szCs w:val="34"/>
        </w:rPr>
      </w:pPr>
    </w:p>
    <w:p>
      <w:pPr>
        <w:pStyle w:val="BodyText"/>
        <w:spacing w:line="657" w:lineRule="auto"/>
        <w:ind w:left="1134" w:right="3792"/>
        <w:jc w:val="left"/>
      </w:pPr>
      <w:r>
        <w:rPr/>
        <w:t>□ 适用 √ 不适用 上市公司及其子公司是否属于国家环境保护部门规定的重污染行业</w:t>
      </w:r>
    </w:p>
    <w:p>
      <w:pPr>
        <w:spacing w:after="0" w:line="657" w:lineRule="auto"/>
        <w:jc w:val="left"/>
        <w:sectPr>
          <w:pgSz w:w="11910" w:h="16840"/>
          <w:pgMar w:header="747" w:footer="979" w:top="1060" w:bottom="1160" w:left="0" w:right="0"/>
        </w:sectPr>
      </w:pPr>
    </w:p>
    <w:p>
      <w:pPr>
        <w:spacing w:line="240" w:lineRule="auto" w:before="9"/>
        <w:rPr>
          <w:rFonts w:ascii="宋体" w:hAnsi="宋体" w:cs="宋体" w:eastAsia="宋体" w:hint="default"/>
          <w:sz w:val="29"/>
          <w:szCs w:val="29"/>
        </w:rPr>
      </w:pPr>
    </w:p>
    <w:p>
      <w:pPr>
        <w:tabs>
          <w:tab w:pos="2574" w:val="left" w:leader="none"/>
        </w:tabs>
        <w:spacing w:line="585" w:lineRule="auto" w:before="26"/>
        <w:ind w:left="1133" w:right="8122" w:firstLine="0"/>
        <w:jc w:val="left"/>
        <w:rPr>
          <w:rFonts w:ascii="宋体" w:hAnsi="宋体" w:cs="宋体" w:eastAsia="宋体" w:hint="default"/>
          <w:sz w:val="24"/>
          <w:szCs w:val="24"/>
        </w:rPr>
      </w:pPr>
      <w:r>
        <w:rPr>
          <w:rFonts w:ascii="宋体" w:hAnsi="宋体" w:cs="宋体" w:eastAsia="宋体" w:hint="default"/>
          <w:sz w:val="24"/>
          <w:szCs w:val="24"/>
        </w:rPr>
        <w:t>□ 是 √否</w:t>
        <w:tab/>
        <w:t>□不适用 </w:t>
      </w:r>
      <w:bookmarkStart w:name="二十、公司债券相关情况" w:id="97"/>
      <w:bookmarkEnd w:id="97"/>
      <w:r>
        <w:rPr>
          <w:rFonts w:ascii="宋体" w:hAnsi="宋体" w:cs="宋体" w:eastAsia="宋体" w:hint="default"/>
          <w:sz w:val="24"/>
          <w:szCs w:val="24"/>
        </w:rPr>
      </w:r>
      <w:r>
        <w:rPr>
          <w:rFonts w:ascii="宋体" w:hAnsi="宋体" w:cs="宋体" w:eastAsia="宋体" w:hint="default"/>
          <w:b/>
          <w:bCs/>
          <w:w w:val="95"/>
          <w:sz w:val="24"/>
          <w:szCs w:val="24"/>
        </w:rPr>
        <w:t>二十、公司债券相关情况</w:t>
      </w:r>
      <w:r>
        <w:rPr>
          <w:rFonts w:ascii="宋体" w:hAnsi="宋体" w:cs="宋体" w:eastAsia="宋体" w:hint="default"/>
          <w:sz w:val="24"/>
          <w:szCs w:val="24"/>
        </w:rPr>
      </w:r>
    </w:p>
    <w:p>
      <w:pPr>
        <w:pStyle w:val="BodyText"/>
        <w:spacing w:line="357" w:lineRule="auto" w:before="108"/>
        <w:ind w:right="1033"/>
        <w:jc w:val="left"/>
      </w:pPr>
      <w:r>
        <w:rPr/>
        <w:t>公司不存在公开发行并在证券交易所上市，且在年度报告批准报出日未到期或到期未能全额 兑付的公司债券。</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1033"/>
        <w:jc w:val="left"/>
        <w:rPr>
          <w:b w:val="0"/>
          <w:bCs w:val="0"/>
        </w:rPr>
      </w:pPr>
      <w:bookmarkStart w:name="第六节 股份变动及股东情况" w:id="98"/>
      <w:bookmarkEnd w:id="98"/>
      <w:r>
        <w:rPr>
          <w:b w:val="0"/>
          <w:bCs w:val="0"/>
        </w:rPr>
      </w:r>
      <w:bookmarkStart w:name="_bookmark5" w:id="99"/>
      <w:bookmarkEnd w:id="99"/>
      <w:r>
        <w:rPr>
          <w:b w:val="0"/>
          <w:bCs w:val="0"/>
        </w:rPr>
      </w:r>
      <w:r>
        <w:rPr/>
        <w:t>第六节</w:t>
      </w:r>
      <w:r>
        <w:rPr>
          <w:spacing w:val="-10"/>
        </w:rPr>
        <w:t> </w:t>
      </w:r>
      <w:r>
        <w:rPr/>
        <w:t>股份变动及股东情况</w:t>
      </w:r>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2"/>
          <w:szCs w:val="22"/>
        </w:rPr>
      </w:pPr>
    </w:p>
    <w:p>
      <w:pPr>
        <w:pStyle w:val="Heading3"/>
        <w:spacing w:line="588" w:lineRule="auto" w:before="26"/>
        <w:ind w:left="1133" w:right="8825"/>
        <w:jc w:val="left"/>
        <w:rPr>
          <w:b w:val="0"/>
          <w:bCs w:val="0"/>
        </w:rPr>
      </w:pPr>
      <w:bookmarkStart w:name="一、股份变动情况" w:id="100"/>
      <w:bookmarkEnd w:id="100"/>
      <w:r>
        <w:rPr>
          <w:b w:val="0"/>
          <w:bCs w:val="0"/>
        </w:rPr>
      </w:r>
      <w:r>
        <w:rPr/>
        <w:t>一、股份变动情况</w:t>
      </w:r>
      <w:r>
        <w:rPr>
          <w:w w:val="99"/>
        </w:rPr>
        <w:t> </w:t>
      </w:r>
      <w:bookmarkStart w:name="1、股份变动情况" w:id="101"/>
      <w:bookmarkEnd w:id="101"/>
      <w:r>
        <w:rPr>
          <w:w w:val="99"/>
        </w:rPr>
      </w:r>
      <w:r>
        <w:rPr>
          <w:rFonts w:ascii="宋体" w:hAnsi="宋体" w:cs="宋体" w:eastAsia="宋体" w:hint="default"/>
        </w:rPr>
        <w:t>1</w:t>
      </w:r>
      <w:r>
        <w:rPr/>
        <w:t>、股份变动情况</w:t>
      </w:r>
      <w:r>
        <w:rPr>
          <w:b w:val="0"/>
          <w:bCs w:val="0"/>
        </w:rPr>
      </w:r>
    </w:p>
    <w:p>
      <w:pPr>
        <w:spacing w:before="52"/>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216"/>
        <w:gridCol w:w="892"/>
        <w:gridCol w:w="710"/>
        <w:gridCol w:w="708"/>
        <w:gridCol w:w="709"/>
        <w:gridCol w:w="851"/>
        <w:gridCol w:w="850"/>
        <w:gridCol w:w="852"/>
        <w:gridCol w:w="980"/>
        <w:gridCol w:w="794"/>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2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5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43" w:right="32" w:hanging="210"/>
              <w:jc w:val="left"/>
              <w:rPr>
                <w:rFonts w:ascii="宋体" w:hAnsi="宋体" w:cs="宋体" w:eastAsia="宋体" w:hint="default"/>
                <w:sz w:val="21"/>
                <w:szCs w:val="21"/>
              </w:rPr>
            </w:pPr>
            <w:r>
              <w:rPr>
                <w:rFonts w:ascii="宋体" w:hAnsi="宋体" w:cs="宋体" w:eastAsia="宋体" w:hint="default"/>
                <w:sz w:val="21"/>
                <w:szCs w:val="21"/>
              </w:rPr>
              <w:t>发行新 股</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10" w:right="103" w:hanging="105"/>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3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3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08"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51"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7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8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92"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10" w:space="0" w:color="D2D2D2"/>
              <w:right w:val="single" w:sz="4" w:space="0" w:color="000000"/>
            </w:tcBorders>
          </w:tcPr>
          <w:p>
            <w:pPr>
              <w:pStyle w:val="TableParagraph"/>
              <w:spacing w:line="240" w:lineRule="auto" w:before="27"/>
              <w:ind w:left="117" w:right="0"/>
              <w:jc w:val="left"/>
              <w:rPr>
                <w:rFonts w:ascii="宋体" w:hAnsi="宋体" w:cs="宋体" w:eastAsia="宋体" w:hint="default"/>
                <w:sz w:val="21"/>
                <w:szCs w:val="21"/>
              </w:rPr>
            </w:pPr>
            <w:r>
              <w:rPr>
                <w:rFonts w:ascii="宋体"/>
                <w:sz w:val="21"/>
              </w:rPr>
              <w:t>79,153,</w:t>
            </w:r>
          </w:p>
          <w:p>
            <w:pPr>
              <w:pStyle w:val="TableParagraph"/>
              <w:spacing w:line="240" w:lineRule="auto" w:before="37"/>
              <w:ind w:left="537" w:right="0"/>
              <w:jc w:val="left"/>
              <w:rPr>
                <w:rFonts w:ascii="宋体" w:hAnsi="宋体" w:cs="宋体" w:eastAsia="宋体" w:hint="default"/>
                <w:sz w:val="21"/>
                <w:szCs w:val="21"/>
              </w:rPr>
            </w:pPr>
            <w:r>
              <w:rPr>
                <w:rFonts w:ascii="宋体"/>
                <w:sz w:val="21"/>
              </w:rPr>
              <w:t>879</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sz w:val="21"/>
              </w:rPr>
              <w:t>44.98%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7,062,3</w:t>
            </w:r>
          </w:p>
          <w:p>
            <w:pPr>
              <w:pStyle w:val="TableParagraph"/>
              <w:spacing w:line="240" w:lineRule="auto" w:before="37"/>
              <w:ind w:left="22" w:right="0"/>
              <w:jc w:val="left"/>
              <w:rPr>
                <w:rFonts w:ascii="宋体" w:hAnsi="宋体" w:cs="宋体" w:eastAsia="宋体" w:hint="default"/>
                <w:sz w:val="21"/>
                <w:szCs w:val="21"/>
              </w:rPr>
            </w:pPr>
            <w:r>
              <w:rPr>
                <w:rFonts w:ascii="宋体"/>
                <w:sz w:val="21"/>
              </w:rPr>
              <w:t>75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7,062,3</w:t>
            </w:r>
          </w:p>
          <w:p>
            <w:pPr>
              <w:pStyle w:val="TableParagraph"/>
              <w:spacing w:line="240" w:lineRule="auto" w:before="37"/>
              <w:ind w:left="23" w:right="0"/>
              <w:jc w:val="left"/>
              <w:rPr>
                <w:rFonts w:ascii="宋体" w:hAnsi="宋体" w:cs="宋体" w:eastAsia="宋体" w:hint="default"/>
                <w:sz w:val="21"/>
                <w:szCs w:val="21"/>
              </w:rPr>
            </w:pPr>
            <w:r>
              <w:rPr>
                <w:rFonts w:ascii="宋体"/>
                <w:sz w:val="21"/>
              </w:rPr>
              <w:t>75</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86,216,2</w:t>
            </w:r>
          </w:p>
          <w:p>
            <w:pPr>
              <w:pStyle w:val="TableParagraph"/>
              <w:spacing w:line="240" w:lineRule="auto" w:before="37"/>
              <w:ind w:right="19"/>
              <w:jc w:val="right"/>
              <w:rPr>
                <w:rFonts w:ascii="宋体" w:hAnsi="宋体" w:cs="宋体" w:eastAsia="宋体" w:hint="default"/>
                <w:sz w:val="21"/>
                <w:szCs w:val="21"/>
              </w:rPr>
            </w:pPr>
            <w:r>
              <w:rPr>
                <w:rFonts w:ascii="宋体"/>
                <w:sz w:val="21"/>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21"/>
                <w:szCs w:val="21"/>
              </w:rPr>
            </w:pPr>
            <w:r>
              <w:rPr>
                <w:rFonts w:ascii="宋体"/>
                <w:sz w:val="21"/>
              </w:rPr>
              <w:t>48.99%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892"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8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8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10" w:space="0" w:color="D2D2D2"/>
              <w:right w:val="single" w:sz="4" w:space="0" w:color="000000"/>
            </w:tcBorders>
          </w:tcPr>
          <w:p>
            <w:pPr>
              <w:pStyle w:val="TableParagraph"/>
              <w:spacing w:line="240" w:lineRule="auto" w:before="27"/>
              <w:ind w:left="117" w:right="0"/>
              <w:jc w:val="left"/>
              <w:rPr>
                <w:rFonts w:ascii="宋体" w:hAnsi="宋体" w:cs="宋体" w:eastAsia="宋体" w:hint="default"/>
                <w:sz w:val="21"/>
                <w:szCs w:val="21"/>
              </w:rPr>
            </w:pPr>
            <w:r>
              <w:rPr>
                <w:rFonts w:ascii="宋体"/>
                <w:sz w:val="21"/>
              </w:rPr>
              <w:t>79,153,</w:t>
            </w:r>
          </w:p>
          <w:p>
            <w:pPr>
              <w:pStyle w:val="TableParagraph"/>
              <w:spacing w:line="240" w:lineRule="auto" w:before="37"/>
              <w:ind w:left="537" w:right="0"/>
              <w:jc w:val="left"/>
              <w:rPr>
                <w:rFonts w:ascii="宋体" w:hAnsi="宋体" w:cs="宋体" w:eastAsia="宋体" w:hint="default"/>
                <w:sz w:val="21"/>
                <w:szCs w:val="21"/>
              </w:rPr>
            </w:pPr>
            <w:r>
              <w:rPr>
                <w:rFonts w:ascii="宋体"/>
                <w:sz w:val="21"/>
              </w:rPr>
              <w:t>879</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sz w:val="21"/>
              </w:rPr>
              <w:t>44.98%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7,062,3</w:t>
            </w:r>
          </w:p>
          <w:p>
            <w:pPr>
              <w:pStyle w:val="TableParagraph"/>
              <w:spacing w:line="240" w:lineRule="auto" w:before="37"/>
              <w:ind w:left="22" w:right="0"/>
              <w:jc w:val="left"/>
              <w:rPr>
                <w:rFonts w:ascii="宋体" w:hAnsi="宋体" w:cs="宋体" w:eastAsia="宋体" w:hint="default"/>
                <w:sz w:val="21"/>
                <w:szCs w:val="21"/>
              </w:rPr>
            </w:pPr>
            <w:r>
              <w:rPr>
                <w:rFonts w:ascii="宋体"/>
                <w:sz w:val="21"/>
              </w:rPr>
              <w:t>75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7,062,3</w:t>
            </w:r>
          </w:p>
          <w:p>
            <w:pPr>
              <w:pStyle w:val="TableParagraph"/>
              <w:spacing w:line="240" w:lineRule="auto" w:before="37"/>
              <w:ind w:left="23" w:right="0"/>
              <w:jc w:val="left"/>
              <w:rPr>
                <w:rFonts w:ascii="宋体" w:hAnsi="宋体" w:cs="宋体" w:eastAsia="宋体" w:hint="default"/>
                <w:sz w:val="21"/>
                <w:szCs w:val="21"/>
              </w:rPr>
            </w:pPr>
            <w:r>
              <w:rPr>
                <w:rFonts w:ascii="宋体"/>
                <w:sz w:val="21"/>
              </w:rPr>
              <w:t>75</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86,216,2</w:t>
            </w:r>
          </w:p>
          <w:p>
            <w:pPr>
              <w:pStyle w:val="TableParagraph"/>
              <w:spacing w:line="240" w:lineRule="auto" w:before="37"/>
              <w:ind w:right="19"/>
              <w:jc w:val="right"/>
              <w:rPr>
                <w:rFonts w:ascii="宋体" w:hAnsi="宋体" w:cs="宋体" w:eastAsia="宋体" w:hint="default"/>
                <w:sz w:val="21"/>
                <w:szCs w:val="21"/>
              </w:rPr>
            </w:pPr>
            <w:r>
              <w:rPr>
                <w:rFonts w:ascii="宋体"/>
                <w:sz w:val="21"/>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21"/>
                <w:szCs w:val="21"/>
              </w:rPr>
            </w:pPr>
            <w:r>
              <w:rPr>
                <w:rFonts w:ascii="宋体"/>
                <w:sz w:val="21"/>
              </w:rPr>
              <w:t>48.99%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892"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10" w:space="0" w:color="D2D2D2"/>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9,422,6</w:t>
            </w:r>
          </w:p>
          <w:p>
            <w:pPr>
              <w:pStyle w:val="TableParagraph"/>
              <w:spacing w:line="240" w:lineRule="auto" w:before="37"/>
              <w:ind w:right="19"/>
              <w:jc w:val="right"/>
              <w:rPr>
                <w:rFonts w:ascii="宋体" w:hAnsi="宋体" w:cs="宋体" w:eastAsia="宋体" w:hint="default"/>
                <w:sz w:val="21"/>
                <w:szCs w:val="21"/>
              </w:rPr>
            </w:pPr>
            <w:r>
              <w:rPr>
                <w:rFonts w:ascii="宋体"/>
                <w:sz w:val="21"/>
              </w:rPr>
              <w:t>22</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sz w:val="21"/>
              </w:rPr>
              <w:t>5.35%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9,422,62</w:t>
            </w:r>
          </w:p>
          <w:p>
            <w:pPr>
              <w:pStyle w:val="TableParagraph"/>
              <w:spacing w:line="240" w:lineRule="auto" w:before="37"/>
              <w:ind w:right="20"/>
              <w:jc w:val="right"/>
              <w:rPr>
                <w:rFonts w:ascii="宋体" w:hAnsi="宋体" w:cs="宋体" w:eastAsia="宋体" w:hint="default"/>
                <w:sz w:val="21"/>
                <w:szCs w:val="21"/>
              </w:rPr>
            </w:pPr>
            <w:r>
              <w:rPr>
                <w:rFonts w:ascii="宋体"/>
                <w:sz w:val="21"/>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6" w:right="0"/>
              <w:jc w:val="left"/>
              <w:rPr>
                <w:rFonts w:ascii="宋体" w:hAnsi="宋体" w:cs="宋体" w:eastAsia="宋体" w:hint="default"/>
                <w:sz w:val="21"/>
                <w:szCs w:val="21"/>
              </w:rPr>
            </w:pPr>
            <w:r>
              <w:rPr>
                <w:rFonts w:ascii="宋体"/>
                <w:sz w:val="21"/>
              </w:rPr>
              <w:t>5.35%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892"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10" w:space="0" w:color="D2D2D2"/>
              <w:right w:val="single" w:sz="4" w:space="0" w:color="000000"/>
            </w:tcBorders>
          </w:tcPr>
          <w:p>
            <w:pPr>
              <w:pStyle w:val="TableParagraph"/>
              <w:spacing w:line="240" w:lineRule="auto" w:before="27"/>
              <w:ind w:left="117" w:right="0"/>
              <w:jc w:val="left"/>
              <w:rPr>
                <w:rFonts w:ascii="宋体" w:hAnsi="宋体" w:cs="宋体" w:eastAsia="宋体" w:hint="default"/>
                <w:sz w:val="21"/>
                <w:szCs w:val="21"/>
              </w:rPr>
            </w:pPr>
            <w:r>
              <w:rPr>
                <w:rFonts w:ascii="宋体"/>
                <w:sz w:val="21"/>
              </w:rPr>
              <w:t>69,731,</w:t>
            </w:r>
          </w:p>
          <w:p>
            <w:pPr>
              <w:pStyle w:val="TableParagraph"/>
              <w:spacing w:line="240" w:lineRule="auto" w:before="37"/>
              <w:ind w:left="537" w:right="0"/>
              <w:jc w:val="left"/>
              <w:rPr>
                <w:rFonts w:ascii="宋体" w:hAnsi="宋体" w:cs="宋体" w:eastAsia="宋体" w:hint="default"/>
                <w:sz w:val="21"/>
                <w:szCs w:val="21"/>
              </w:rPr>
            </w:pPr>
            <w:r>
              <w:rPr>
                <w:rFonts w:ascii="宋体"/>
                <w:sz w:val="21"/>
              </w:rPr>
              <w:t>257</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sz w:val="21"/>
              </w:rPr>
              <w:t>39.63%</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7,062,3</w:t>
            </w:r>
          </w:p>
          <w:p>
            <w:pPr>
              <w:pStyle w:val="TableParagraph"/>
              <w:spacing w:line="240" w:lineRule="auto" w:before="37"/>
              <w:ind w:left="22" w:right="0"/>
              <w:jc w:val="left"/>
              <w:rPr>
                <w:rFonts w:ascii="宋体" w:hAnsi="宋体" w:cs="宋体" w:eastAsia="宋体" w:hint="default"/>
                <w:sz w:val="21"/>
                <w:szCs w:val="21"/>
              </w:rPr>
            </w:pPr>
            <w:r>
              <w:rPr>
                <w:rFonts w:ascii="宋体"/>
                <w:sz w:val="21"/>
              </w:rPr>
              <w:t>75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7,062,3</w:t>
            </w:r>
          </w:p>
          <w:p>
            <w:pPr>
              <w:pStyle w:val="TableParagraph"/>
              <w:spacing w:line="240" w:lineRule="auto" w:before="37"/>
              <w:ind w:left="23" w:right="0"/>
              <w:jc w:val="left"/>
              <w:rPr>
                <w:rFonts w:ascii="宋体" w:hAnsi="宋体" w:cs="宋体" w:eastAsia="宋体" w:hint="default"/>
                <w:sz w:val="21"/>
                <w:szCs w:val="21"/>
              </w:rPr>
            </w:pPr>
            <w:r>
              <w:rPr>
                <w:rFonts w:ascii="宋体"/>
                <w:sz w:val="21"/>
              </w:rPr>
              <w:t>75</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76,793,6</w:t>
            </w:r>
          </w:p>
          <w:p>
            <w:pPr>
              <w:pStyle w:val="TableParagraph"/>
              <w:spacing w:line="240" w:lineRule="auto" w:before="37"/>
              <w:ind w:right="19"/>
              <w:jc w:val="right"/>
              <w:rPr>
                <w:rFonts w:ascii="宋体" w:hAnsi="宋体" w:cs="宋体" w:eastAsia="宋体" w:hint="default"/>
                <w:sz w:val="21"/>
                <w:szCs w:val="21"/>
              </w:rPr>
            </w:pPr>
            <w:r>
              <w:rPr>
                <w:rFonts w:ascii="宋体"/>
                <w:sz w:val="21"/>
              </w:rPr>
              <w:t>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21"/>
                <w:szCs w:val="21"/>
              </w:rPr>
            </w:pPr>
            <w:r>
              <w:rPr>
                <w:rFonts w:ascii="宋体"/>
                <w:sz w:val="21"/>
              </w:rPr>
              <w:t>43.64%</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92"/>
              <w:jc w:val="right"/>
              <w:rPr>
                <w:rFonts w:ascii="宋体" w:hAnsi="宋体" w:cs="宋体" w:eastAsia="宋体" w:hint="default"/>
                <w:sz w:val="21"/>
                <w:szCs w:val="21"/>
              </w:rPr>
            </w:pPr>
            <w:r>
              <w:rPr>
                <w:rFonts w:ascii="宋体" w:hAnsi="宋体" w:cs="宋体" w:eastAsia="宋体" w:hint="default"/>
                <w:sz w:val="21"/>
                <w:szCs w:val="21"/>
              </w:rPr>
              <w:t>境内自然人持股</w:t>
            </w:r>
          </w:p>
        </w:tc>
        <w:tc>
          <w:tcPr>
            <w:tcW w:w="892"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8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8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92"/>
              <w:jc w:val="right"/>
              <w:rPr>
                <w:rFonts w:ascii="宋体" w:hAnsi="宋体" w:cs="宋体" w:eastAsia="宋体" w:hint="default"/>
                <w:sz w:val="21"/>
                <w:szCs w:val="21"/>
              </w:rPr>
            </w:pPr>
            <w:r>
              <w:rPr>
                <w:rFonts w:ascii="宋体" w:hAnsi="宋体" w:cs="宋体" w:eastAsia="宋体" w:hint="default"/>
                <w:sz w:val="21"/>
                <w:szCs w:val="21"/>
              </w:rPr>
              <w:t>境外自然人持股</w:t>
            </w:r>
          </w:p>
        </w:tc>
        <w:tc>
          <w:tcPr>
            <w:tcW w:w="8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10" w:space="0" w:color="D2D2D2"/>
              <w:right w:val="single" w:sz="4" w:space="0" w:color="000000"/>
            </w:tcBorders>
          </w:tcPr>
          <w:p>
            <w:pPr>
              <w:pStyle w:val="TableParagraph"/>
              <w:spacing w:line="240" w:lineRule="auto" w:before="27"/>
              <w:ind w:left="117" w:right="0"/>
              <w:jc w:val="left"/>
              <w:rPr>
                <w:rFonts w:ascii="宋体" w:hAnsi="宋体" w:cs="宋体" w:eastAsia="宋体" w:hint="default"/>
                <w:sz w:val="21"/>
                <w:szCs w:val="21"/>
              </w:rPr>
            </w:pPr>
            <w:r>
              <w:rPr>
                <w:rFonts w:ascii="宋体"/>
                <w:sz w:val="21"/>
              </w:rPr>
              <w:t>96,818,</w:t>
            </w:r>
          </w:p>
          <w:p>
            <w:pPr>
              <w:pStyle w:val="TableParagraph"/>
              <w:spacing w:line="240" w:lineRule="auto" w:before="37"/>
              <w:ind w:left="537" w:right="0"/>
              <w:jc w:val="left"/>
              <w:rPr>
                <w:rFonts w:ascii="宋体" w:hAnsi="宋体" w:cs="宋体" w:eastAsia="宋体" w:hint="default"/>
                <w:sz w:val="21"/>
                <w:szCs w:val="21"/>
              </w:rPr>
            </w:pPr>
            <w:r>
              <w:rPr>
                <w:rFonts w:ascii="宋体"/>
                <w:sz w:val="21"/>
              </w:rPr>
              <w:t>900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sz w:val="21"/>
              </w:rPr>
              <w:t>55.02%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-7,062,</w:t>
            </w:r>
          </w:p>
          <w:p>
            <w:pPr>
              <w:pStyle w:val="TableParagraph"/>
              <w:spacing w:line="240" w:lineRule="auto" w:before="37"/>
              <w:ind w:left="22" w:right="0"/>
              <w:jc w:val="left"/>
              <w:rPr>
                <w:rFonts w:ascii="宋体" w:hAnsi="宋体" w:cs="宋体" w:eastAsia="宋体" w:hint="default"/>
                <w:sz w:val="21"/>
                <w:szCs w:val="21"/>
              </w:rPr>
            </w:pPr>
            <w:r>
              <w:rPr>
                <w:rFonts w:ascii="宋体"/>
                <w:sz w:val="21"/>
              </w:rPr>
              <w:t>375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-7,062,</w:t>
            </w:r>
          </w:p>
          <w:p>
            <w:pPr>
              <w:pStyle w:val="TableParagraph"/>
              <w:spacing w:line="240" w:lineRule="auto" w:before="37"/>
              <w:ind w:left="23" w:right="0"/>
              <w:jc w:val="left"/>
              <w:rPr>
                <w:rFonts w:ascii="宋体" w:hAnsi="宋体" w:cs="宋体" w:eastAsia="宋体" w:hint="default"/>
                <w:sz w:val="21"/>
                <w:szCs w:val="21"/>
              </w:rPr>
            </w:pPr>
            <w:r>
              <w:rPr>
                <w:rFonts w:ascii="宋体"/>
                <w:sz w:val="21"/>
              </w:rPr>
              <w:t>375</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89,756,5</w:t>
            </w:r>
          </w:p>
          <w:p>
            <w:pPr>
              <w:pStyle w:val="TableParagraph"/>
              <w:spacing w:line="240" w:lineRule="auto" w:before="37"/>
              <w:ind w:right="19"/>
              <w:jc w:val="right"/>
              <w:rPr>
                <w:rFonts w:ascii="宋体" w:hAnsi="宋体" w:cs="宋体" w:eastAsia="宋体" w:hint="default"/>
                <w:sz w:val="21"/>
                <w:szCs w:val="21"/>
              </w:rPr>
            </w:pPr>
            <w:r>
              <w:rPr>
                <w:rFonts w:ascii="宋体"/>
                <w:sz w:val="21"/>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21"/>
                <w:szCs w:val="21"/>
              </w:rPr>
            </w:pPr>
            <w:r>
              <w:rPr>
                <w:rFonts w:ascii="宋体"/>
                <w:sz w:val="21"/>
              </w:rPr>
              <w:t>51.01%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892"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10" w:space="0" w:color="D2D2D2"/>
              <w:right w:val="single" w:sz="4" w:space="0" w:color="000000"/>
            </w:tcBorders>
          </w:tcPr>
          <w:p>
            <w:pPr>
              <w:pStyle w:val="TableParagraph"/>
              <w:spacing w:line="240" w:lineRule="auto" w:before="27"/>
              <w:ind w:left="15" w:right="0"/>
              <w:jc w:val="left"/>
              <w:rPr>
                <w:rFonts w:ascii="宋体" w:hAnsi="宋体" w:cs="宋体" w:eastAsia="宋体" w:hint="default"/>
                <w:sz w:val="21"/>
                <w:szCs w:val="21"/>
              </w:rPr>
            </w:pPr>
            <w:r>
              <w:rPr>
                <w:rFonts w:ascii="宋体"/>
                <w:sz w:val="21"/>
              </w:rPr>
              <w:t>96,818,</w:t>
            </w:r>
          </w:p>
          <w:p>
            <w:pPr>
              <w:pStyle w:val="TableParagraph"/>
              <w:spacing w:line="240" w:lineRule="auto" w:before="37"/>
              <w:ind w:left="15" w:right="0"/>
              <w:jc w:val="left"/>
              <w:rPr>
                <w:rFonts w:ascii="宋体" w:hAnsi="宋体" w:cs="宋体" w:eastAsia="宋体" w:hint="default"/>
                <w:sz w:val="21"/>
                <w:szCs w:val="21"/>
              </w:rPr>
            </w:pPr>
            <w:r>
              <w:rPr>
                <w:rFonts w:ascii="宋体"/>
                <w:sz w:val="21"/>
              </w:rPr>
              <w:t>900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55.02%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-7,062,</w:t>
            </w:r>
          </w:p>
          <w:p>
            <w:pPr>
              <w:pStyle w:val="TableParagraph"/>
              <w:spacing w:line="240" w:lineRule="auto" w:before="37"/>
              <w:ind w:left="22" w:right="0"/>
              <w:jc w:val="left"/>
              <w:rPr>
                <w:rFonts w:ascii="宋体" w:hAnsi="宋体" w:cs="宋体" w:eastAsia="宋体" w:hint="default"/>
                <w:sz w:val="21"/>
                <w:szCs w:val="21"/>
              </w:rPr>
            </w:pPr>
            <w:r>
              <w:rPr>
                <w:rFonts w:ascii="宋体"/>
                <w:sz w:val="21"/>
              </w:rPr>
              <w:t>375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-7,062,</w:t>
            </w:r>
          </w:p>
          <w:p>
            <w:pPr>
              <w:pStyle w:val="TableParagraph"/>
              <w:spacing w:line="240" w:lineRule="auto" w:before="37"/>
              <w:ind w:left="23" w:right="0"/>
              <w:jc w:val="left"/>
              <w:rPr>
                <w:rFonts w:ascii="宋体" w:hAnsi="宋体" w:cs="宋体" w:eastAsia="宋体" w:hint="default"/>
                <w:sz w:val="21"/>
                <w:szCs w:val="21"/>
              </w:rPr>
            </w:pPr>
            <w:r>
              <w:rPr>
                <w:rFonts w:ascii="宋体"/>
                <w:sz w:val="21"/>
              </w:rPr>
              <w:t>375</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89,756,5</w:t>
            </w:r>
          </w:p>
          <w:p>
            <w:pPr>
              <w:pStyle w:val="TableParagraph"/>
              <w:spacing w:line="240" w:lineRule="auto" w:before="37"/>
              <w:ind w:left="22" w:right="0"/>
              <w:jc w:val="left"/>
              <w:rPr>
                <w:rFonts w:ascii="宋体" w:hAnsi="宋体" w:cs="宋体" w:eastAsia="宋体" w:hint="default"/>
                <w:sz w:val="21"/>
                <w:szCs w:val="21"/>
              </w:rPr>
            </w:pPr>
            <w:r>
              <w:rPr>
                <w:rFonts w:ascii="宋体"/>
                <w:sz w:val="21"/>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51.01%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892"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8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8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r>
      <w:tr>
        <w:trPr>
          <w:trHeight w:val="27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10" w:space="0" w:color="D2D2D2"/>
              <w:right w:val="single" w:sz="4" w:space="0" w:color="000000"/>
            </w:tcBorders>
          </w:tcPr>
          <w:p>
            <w:pPr>
              <w:pStyle w:val="TableParagraph"/>
              <w:spacing w:line="240" w:lineRule="auto" w:before="136"/>
              <w:ind w:left="117" w:right="0"/>
              <w:jc w:val="left"/>
              <w:rPr>
                <w:rFonts w:ascii="宋体" w:hAnsi="宋体" w:cs="宋体" w:eastAsia="宋体" w:hint="default"/>
                <w:sz w:val="21"/>
                <w:szCs w:val="21"/>
              </w:rPr>
            </w:pPr>
            <w:r>
              <w:rPr>
                <w:rFonts w:ascii="宋体"/>
                <w:sz w:val="21"/>
              </w:rPr>
              <w:t>175,972</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,779</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55" w:right="0"/>
              <w:jc w:val="left"/>
              <w:rPr>
                <w:rFonts w:ascii="宋体" w:hAnsi="宋体" w:cs="宋体" w:eastAsia="宋体" w:hint="default"/>
                <w:sz w:val="21"/>
                <w:szCs w:val="21"/>
              </w:rPr>
            </w:pPr>
            <w:r>
              <w:rPr>
                <w:rFonts w:ascii="宋体"/>
                <w:sz w:val="21"/>
              </w:rPr>
              <w:t>100%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0</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136"/>
              <w:ind w:left="107" w:right="0"/>
              <w:jc w:val="left"/>
              <w:rPr>
                <w:rFonts w:ascii="宋体" w:hAnsi="宋体" w:cs="宋体" w:eastAsia="宋体" w:hint="default"/>
                <w:sz w:val="21"/>
                <w:szCs w:val="21"/>
              </w:rPr>
            </w:pPr>
            <w:r>
              <w:rPr>
                <w:rFonts w:ascii="宋体"/>
                <w:sz w:val="21"/>
              </w:rPr>
              <w:t>175,972,</w:t>
            </w:r>
          </w:p>
          <w:p>
            <w:pPr>
              <w:pStyle w:val="TableParagraph"/>
              <w:spacing w:line="240" w:lineRule="auto" w:before="37"/>
              <w:ind w:left="633" w:right="0"/>
              <w:jc w:val="left"/>
              <w:rPr>
                <w:rFonts w:ascii="宋体" w:hAnsi="宋体" w:cs="宋体" w:eastAsia="宋体" w:hint="default"/>
                <w:sz w:val="21"/>
                <w:szCs w:val="21"/>
              </w:rPr>
            </w:pPr>
            <w:r>
              <w:rPr>
                <w:rFonts w:ascii="宋体"/>
                <w:sz w:val="21"/>
              </w:rPr>
              <w:t>779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40" w:right="0"/>
              <w:jc w:val="left"/>
              <w:rPr>
                <w:rFonts w:ascii="宋体" w:hAnsi="宋体" w:cs="宋体" w:eastAsia="宋体" w:hint="default"/>
                <w:sz w:val="21"/>
                <w:szCs w:val="21"/>
              </w:rPr>
            </w:pPr>
            <w:r>
              <w:rPr>
                <w:rFonts w:ascii="宋体"/>
                <w:sz w:val="21"/>
              </w:rPr>
              <w:t>100%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892"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70"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3"/>
        <w:spacing w:line="240" w:lineRule="auto" w:before="26"/>
        <w:ind w:left="1133" w:right="1033"/>
        <w:jc w:val="left"/>
        <w:rPr>
          <w:b w:val="0"/>
          <w:bCs w:val="0"/>
        </w:rPr>
      </w:pPr>
      <w:bookmarkStart w:name="股份变动的原因" w:id="102"/>
      <w:bookmarkEnd w:id="102"/>
      <w:r>
        <w:rPr>
          <w:b w:val="0"/>
          <w:bCs w:val="0"/>
        </w:rPr>
      </w:r>
      <w:r>
        <w:rPr/>
        <w:t>股份变动的原因</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right="1033"/>
        <w:jc w:val="left"/>
      </w:pPr>
      <w:r>
        <w:rPr/>
        <w:t>□ 适用 √ 不适用 </w:t>
      </w:r>
      <w:r>
        <w:rPr>
          <w:spacing w:val="-3"/>
        </w:rPr>
        <w:t>报告期内公司股份总数未发生变化，但限售股数量有所增加，具体原因请见本节“</w:t>
      </w:r>
      <w:r>
        <w:rPr>
          <w:rFonts w:ascii="宋体" w:hAnsi="宋体" w:cs="宋体" w:eastAsia="宋体" w:hint="default"/>
          <w:spacing w:val="-3"/>
        </w:rPr>
        <w:t>2</w:t>
      </w:r>
      <w:r>
        <w:rPr>
          <w:spacing w:val="-3"/>
        </w:rPr>
        <w:t>、限售股</w:t>
      </w:r>
      <w:r>
        <w:rPr>
          <w:spacing w:val="-82"/>
        </w:rPr>
        <w:t> </w:t>
      </w:r>
      <w:r>
        <w:rPr>
          <w:spacing w:val="-82"/>
        </w:rPr>
      </w:r>
      <w:r>
        <w:rPr/>
        <w:t>份变动”的相关说明。</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股份变动的批准情况" w:id="103"/>
      <w:bookmarkEnd w:id="103"/>
      <w:r>
        <w:rPr>
          <w:b w:val="0"/>
          <w:bCs w:val="0"/>
        </w:rPr>
      </w:r>
      <w:r>
        <w:rPr/>
        <w:t>股份变动的批准情况</w:t>
      </w:r>
      <w:r>
        <w:rPr>
          <w:b w:val="0"/>
          <w:bCs w:val="0"/>
        </w:rPr>
      </w:r>
    </w:p>
    <w:p>
      <w:pPr>
        <w:spacing w:line="240" w:lineRule="auto" w:before="9"/>
        <w:rPr>
          <w:rFonts w:ascii="宋体" w:hAnsi="宋体" w:cs="宋体" w:eastAsia="宋体" w:hint="default"/>
          <w:b/>
          <w:bCs/>
          <w:sz w:val="34"/>
          <w:szCs w:val="34"/>
        </w:rPr>
      </w:pPr>
    </w:p>
    <w:p>
      <w:pPr>
        <w:spacing w:line="588" w:lineRule="auto" w:before="0"/>
        <w:ind w:left="1134" w:right="858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股份变动的过户情况" w:id="104"/>
      <w:bookmarkEnd w:id="104"/>
      <w:r>
        <w:rPr>
          <w:rFonts w:ascii="宋体" w:hAnsi="宋体" w:cs="宋体" w:eastAsia="宋体" w:hint="default"/>
          <w:sz w:val="24"/>
          <w:szCs w:val="24"/>
        </w:rPr>
      </w:r>
      <w:r>
        <w:rPr>
          <w:rFonts w:ascii="宋体" w:hAnsi="宋体" w:cs="宋体" w:eastAsia="宋体" w:hint="default"/>
          <w:b/>
          <w:bCs/>
          <w:sz w:val="24"/>
          <w:szCs w:val="24"/>
        </w:rPr>
        <w:t>股份变动的过户情况</w:t>
      </w:r>
      <w:r>
        <w:rPr>
          <w:rFonts w:ascii="宋体" w:hAnsi="宋体" w:cs="宋体" w:eastAsia="宋体" w:hint="default"/>
          <w:sz w:val="24"/>
          <w:szCs w:val="24"/>
        </w:rPr>
      </w:r>
    </w:p>
    <w:p>
      <w:pPr>
        <w:pStyle w:val="BodyText"/>
        <w:spacing w:line="240" w:lineRule="auto" w:before="106"/>
        <w:ind w:right="1033"/>
        <w:jc w:val="left"/>
      </w:pPr>
      <w:r>
        <w:rPr/>
        <w:t>□ 适用 √ 不适用</w:t>
      </w:r>
    </w:p>
    <w:p>
      <w:pPr>
        <w:spacing w:line="240" w:lineRule="auto" w:before="9"/>
        <w:rPr>
          <w:rFonts w:ascii="宋体" w:hAnsi="宋体" w:cs="宋体" w:eastAsia="宋体" w:hint="default"/>
          <w:sz w:val="34"/>
          <w:szCs w:val="34"/>
        </w:rPr>
      </w:pPr>
    </w:p>
    <w:p>
      <w:pPr>
        <w:pStyle w:val="Heading3"/>
        <w:spacing w:line="357" w:lineRule="auto"/>
        <w:ind w:right="1033"/>
        <w:jc w:val="left"/>
        <w:rPr>
          <w:b w:val="0"/>
          <w:bCs w:val="0"/>
        </w:rPr>
      </w:pPr>
      <w:bookmarkStart w:name="股份变动对最近一年和最近一期基本每股收益和稀释每股收益、归属于公司普通股股东的每" w:id="105"/>
      <w:bookmarkEnd w:id="105"/>
      <w:r>
        <w:rPr>
          <w:b w:val="0"/>
          <w:bCs w:val="0"/>
        </w:rPr>
      </w:r>
      <w:r>
        <w:rPr>
          <w:w w:val="95"/>
        </w:rPr>
        <w:t>股份变动对最近一年和最近一期基本每股收益和稀释每股收益、归属于公司普通股股东的每</w:t>
      </w:r>
      <w:r>
        <w:rPr>
          <w:spacing w:val="99"/>
          <w:w w:val="95"/>
        </w:rPr>
        <w:t> </w:t>
      </w:r>
      <w:r>
        <w:rPr/>
        <w:t>股净资产等财务指标的影响</w:t>
      </w:r>
      <w:r>
        <w:rPr>
          <w:b w:val="0"/>
          <w:bCs w:val="0"/>
        </w:rPr>
      </w:r>
    </w:p>
    <w:p>
      <w:pPr>
        <w:spacing w:line="240" w:lineRule="auto" w:before="10"/>
        <w:rPr>
          <w:rFonts w:ascii="宋体" w:hAnsi="宋体" w:cs="宋体" w:eastAsia="宋体" w:hint="default"/>
          <w:b/>
          <w:bCs/>
          <w:sz w:val="25"/>
          <w:szCs w:val="25"/>
        </w:rPr>
      </w:pPr>
    </w:p>
    <w:p>
      <w:pPr>
        <w:tabs>
          <w:tab w:pos="2574" w:val="left" w:leader="none"/>
        </w:tabs>
        <w:spacing w:line="588" w:lineRule="auto" w:before="0"/>
        <w:ind w:left="1134" w:right="5572" w:firstLine="0"/>
        <w:jc w:val="left"/>
        <w:rPr>
          <w:rFonts w:ascii="宋体" w:hAnsi="宋体" w:cs="宋体" w:eastAsia="宋体" w:hint="default"/>
          <w:sz w:val="24"/>
          <w:szCs w:val="24"/>
        </w:rPr>
      </w:pPr>
      <w:r>
        <w:rPr>
          <w:rFonts w:ascii="宋体" w:hAnsi="宋体" w:cs="宋体" w:eastAsia="宋体" w:hint="default"/>
          <w:sz w:val="24"/>
          <w:szCs w:val="24"/>
        </w:rPr>
        <w:t>□ 适用 √</w:t>
        <w:tab/>
        <w:t>不适用 </w:t>
      </w:r>
      <w:bookmarkStart w:name="公司认为必要或证券监管机构要求披露的其他内容" w:id="106"/>
      <w:bookmarkEnd w:id="106"/>
      <w:r>
        <w:rPr>
          <w:rFonts w:ascii="宋体" w:hAnsi="宋体" w:cs="宋体" w:eastAsia="宋体" w:hint="default"/>
          <w:sz w:val="24"/>
          <w:szCs w:val="24"/>
        </w:rPr>
      </w:r>
      <w:r>
        <w:rPr>
          <w:rFonts w:ascii="宋体" w:hAnsi="宋体" w:cs="宋体" w:eastAsia="宋体" w:hint="default"/>
          <w:b/>
          <w:bCs/>
          <w:w w:val="95"/>
          <w:sz w:val="24"/>
          <w:szCs w:val="24"/>
        </w:rPr>
        <w:t>公司认为必要或证券监管机构要求披露的其他内容</w:t>
      </w:r>
      <w:r>
        <w:rPr>
          <w:rFonts w:ascii="宋体" w:hAnsi="宋体" w:cs="宋体" w:eastAsia="宋体" w:hint="default"/>
          <w:sz w:val="24"/>
          <w:szCs w:val="24"/>
        </w:rPr>
      </w:r>
    </w:p>
    <w:p>
      <w:pPr>
        <w:spacing w:line="588" w:lineRule="auto" w:before="106"/>
        <w:ind w:left="1134" w:right="8463" w:firstLine="0"/>
        <w:jc w:val="left"/>
        <w:rPr>
          <w:rFonts w:ascii="宋体" w:hAnsi="宋体" w:cs="宋体" w:eastAsia="宋体" w:hint="default"/>
          <w:sz w:val="24"/>
          <w:szCs w:val="24"/>
        </w:rPr>
      </w:pPr>
      <w:r>
        <w:rPr>
          <w:rFonts w:ascii="宋体" w:hAnsi="宋体" w:cs="宋体" w:eastAsia="宋体" w:hint="default"/>
          <w:sz w:val="24"/>
          <w:szCs w:val="24"/>
        </w:rPr>
        <w:t>□ 适用√ 不适用 </w:t>
      </w:r>
      <w:bookmarkStart w:name="2、限售股份变动情况" w:id="107"/>
      <w:bookmarkEnd w:id="107"/>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、限售股份变动情况</w:t>
      </w:r>
      <w:r>
        <w:rPr>
          <w:rFonts w:ascii="宋体" w:hAnsi="宋体" w:cs="宋体" w:eastAsia="宋体" w:hint="default"/>
          <w:sz w:val="24"/>
          <w:szCs w:val="24"/>
        </w:rPr>
      </w:r>
    </w:p>
    <w:p>
      <w:pPr>
        <w:spacing w:before="52"/>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58" w:right="39" w:hanging="420"/>
              <w:jc w:val="left"/>
              <w:rPr>
                <w:rFonts w:ascii="宋体" w:hAnsi="宋体" w:cs="宋体" w:eastAsia="宋体" w:hint="default"/>
                <w:sz w:val="21"/>
                <w:szCs w:val="21"/>
              </w:rPr>
            </w:pPr>
            <w:r>
              <w:rPr>
                <w:rFonts w:ascii="宋体" w:hAnsi="宋体" w:cs="宋体" w:eastAsia="宋体" w:hint="default"/>
                <w:sz w:val="21"/>
                <w:szCs w:val="21"/>
              </w:rPr>
              <w:t>本期解除限售 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58" w:right="38" w:hanging="420"/>
              <w:jc w:val="left"/>
              <w:rPr>
                <w:rFonts w:ascii="宋体" w:hAnsi="宋体" w:cs="宋体" w:eastAsia="宋体" w:hint="default"/>
                <w:sz w:val="21"/>
                <w:szCs w:val="21"/>
              </w:rPr>
            </w:pPr>
            <w:r>
              <w:rPr>
                <w:rFonts w:ascii="宋体" w:hAnsi="宋体" w:cs="宋体" w:eastAsia="宋体" w:hint="default"/>
                <w:sz w:val="21"/>
                <w:szCs w:val="21"/>
              </w:rPr>
              <w:t>本期增加限售 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62" w:right="36" w:hanging="526"/>
              <w:jc w:val="left"/>
              <w:rPr>
                <w:rFonts w:ascii="宋体" w:hAnsi="宋体" w:cs="宋体" w:eastAsia="宋体" w:hint="default"/>
                <w:sz w:val="21"/>
                <w:szCs w:val="21"/>
              </w:rPr>
            </w:pPr>
            <w:r>
              <w:rPr>
                <w:rFonts w:ascii="宋体" w:hAnsi="宋体" w:cs="宋体" w:eastAsia="宋体" w:hint="default"/>
                <w:sz w:val="21"/>
                <w:szCs w:val="21"/>
              </w:rPr>
              <w:t>拟解除限售日 期</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孙屹峥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29,673,750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624,900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30,298,650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张菀</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28,826,100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545,250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29,371,350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宋正兴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8,270,823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8,270,823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首发后个人类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2018.1.6</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03" w:right="105"/>
              <w:jc w:val="left"/>
              <w:rPr>
                <w:rFonts w:ascii="宋体" w:hAnsi="宋体" w:cs="宋体" w:eastAsia="宋体" w:hint="default"/>
                <w:sz w:val="21"/>
                <w:szCs w:val="21"/>
              </w:rPr>
            </w:pPr>
            <w:r>
              <w:rPr>
                <w:rFonts w:ascii="宋体" w:hAnsi="宋体" w:cs="宋体" w:eastAsia="宋体" w:hint="default"/>
                <w:sz w:val="21"/>
                <w:szCs w:val="21"/>
              </w:rPr>
              <w:t>上海添惠投资 管理有限公司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2,481,247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2,481,247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103" w:right="105"/>
              <w:jc w:val="left"/>
              <w:rPr>
                <w:rFonts w:ascii="宋体" w:hAnsi="宋体" w:cs="宋体" w:eastAsia="宋体" w:hint="default"/>
                <w:sz w:val="21"/>
                <w:szCs w:val="21"/>
              </w:rPr>
            </w:pPr>
            <w:r>
              <w:rPr>
                <w:rFonts w:ascii="宋体" w:hAnsi="宋体" w:cs="宋体" w:eastAsia="宋体" w:hint="default"/>
                <w:sz w:val="21"/>
                <w:szCs w:val="21"/>
              </w:rPr>
              <w:t>张家港市立业 投资发展有限</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1,660,889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1,660,889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bl>
    <w:p>
      <w:pPr>
        <w:spacing w:after="0" w:line="240" w:lineRule="auto"/>
        <w:jc w:val="center"/>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3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05"/>
              <w:jc w:val="center"/>
              <w:rPr>
                <w:rFonts w:ascii="宋体" w:hAnsi="宋体" w:cs="宋体" w:eastAsia="宋体" w:hint="default"/>
                <w:sz w:val="21"/>
                <w:szCs w:val="21"/>
              </w:rPr>
            </w:pPr>
            <w:r>
              <w:rPr>
                <w:rFonts w:ascii="宋体" w:hAnsi="宋体" w:cs="宋体" w:eastAsia="宋体" w:hint="default"/>
                <w:sz w:val="21"/>
                <w:szCs w:val="21"/>
              </w:rPr>
              <w:t>张家港市福兴 投资管理咨询 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01" w:right="0"/>
              <w:jc w:val="left"/>
              <w:rPr>
                <w:rFonts w:ascii="宋体" w:hAnsi="宋体" w:cs="宋体" w:eastAsia="宋体" w:hint="default"/>
                <w:sz w:val="21"/>
                <w:szCs w:val="21"/>
              </w:rPr>
            </w:pPr>
            <w:r>
              <w:rPr>
                <w:rFonts w:ascii="宋体"/>
                <w:sz w:val="21"/>
              </w:rPr>
              <w:t>941,395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941,395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05"/>
              <w:jc w:val="center"/>
              <w:rPr>
                <w:rFonts w:ascii="宋体" w:hAnsi="宋体" w:cs="宋体" w:eastAsia="宋体" w:hint="default"/>
                <w:sz w:val="21"/>
                <w:szCs w:val="21"/>
              </w:rPr>
            </w:pPr>
            <w:r>
              <w:rPr>
                <w:rFonts w:ascii="宋体" w:hAnsi="宋体" w:cs="宋体" w:eastAsia="宋体" w:hint="default"/>
                <w:sz w:val="21"/>
                <w:szCs w:val="21"/>
              </w:rPr>
              <w:t>安信证券－光 大银行－安信 证券长泰定增 集合资产管理 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1" w:right="0"/>
              <w:jc w:val="left"/>
              <w:rPr>
                <w:rFonts w:ascii="宋体" w:hAnsi="宋体" w:cs="宋体" w:eastAsia="宋体" w:hint="default"/>
                <w:sz w:val="21"/>
                <w:szCs w:val="21"/>
              </w:rPr>
            </w:pPr>
            <w:r>
              <w:rPr>
                <w:rFonts w:ascii="宋体"/>
                <w:sz w:val="21"/>
              </w:rPr>
              <w:t>761,484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761,484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auto"/>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叶春娥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1" w:right="0"/>
              <w:jc w:val="left"/>
              <w:rPr>
                <w:rFonts w:ascii="宋体" w:hAnsi="宋体" w:cs="宋体" w:eastAsia="宋体" w:hint="default"/>
                <w:sz w:val="21"/>
                <w:szCs w:val="21"/>
              </w:rPr>
            </w:pPr>
            <w:r>
              <w:rPr>
                <w:rFonts w:ascii="宋体"/>
                <w:sz w:val="21"/>
              </w:rPr>
              <w:t>739,667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739,667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首发后个人类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2018.1.6</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宋丽娜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1" w:right="0"/>
              <w:jc w:val="left"/>
              <w:rPr>
                <w:rFonts w:ascii="宋体" w:hAnsi="宋体" w:cs="宋体" w:eastAsia="宋体" w:hint="default"/>
                <w:sz w:val="21"/>
                <w:szCs w:val="21"/>
              </w:rPr>
            </w:pPr>
            <w:r>
              <w:rPr>
                <w:rFonts w:ascii="宋体"/>
                <w:sz w:val="21"/>
              </w:rPr>
              <w:t>739,667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739,667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首发后个人类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2018.1.6</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05"/>
              <w:jc w:val="left"/>
              <w:rPr>
                <w:rFonts w:ascii="宋体" w:hAnsi="宋体" w:cs="宋体" w:eastAsia="宋体" w:hint="default"/>
                <w:sz w:val="21"/>
                <w:szCs w:val="21"/>
              </w:rPr>
            </w:pPr>
            <w:r>
              <w:rPr>
                <w:rFonts w:ascii="宋体" w:hAnsi="宋体" w:cs="宋体" w:eastAsia="宋体" w:hint="default"/>
                <w:sz w:val="21"/>
                <w:szCs w:val="21"/>
              </w:rPr>
              <w:t>张家港市嘉明 商贸有限公司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1" w:right="0"/>
              <w:jc w:val="left"/>
              <w:rPr>
                <w:rFonts w:ascii="宋体" w:hAnsi="宋体" w:cs="宋体" w:eastAsia="宋体" w:hint="default"/>
                <w:sz w:val="21"/>
                <w:szCs w:val="21"/>
              </w:rPr>
            </w:pPr>
            <w:r>
              <w:rPr>
                <w:rFonts w:ascii="宋体"/>
                <w:sz w:val="21"/>
              </w:rPr>
              <w:t>672,425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672,425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05"/>
              <w:jc w:val="left"/>
              <w:rPr>
                <w:rFonts w:ascii="宋体" w:hAnsi="宋体" w:cs="宋体" w:eastAsia="宋体" w:hint="default"/>
                <w:sz w:val="21"/>
                <w:szCs w:val="21"/>
              </w:rPr>
            </w:pPr>
            <w:r>
              <w:rPr>
                <w:rFonts w:ascii="宋体" w:hAnsi="宋体" w:cs="宋体" w:eastAsia="宋体" w:hint="default"/>
                <w:sz w:val="21"/>
                <w:szCs w:val="21"/>
              </w:rPr>
              <w:t>上海同航投资 管理有限公司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1" w:right="0"/>
              <w:jc w:val="left"/>
              <w:rPr>
                <w:rFonts w:ascii="宋体" w:hAnsi="宋体" w:cs="宋体" w:eastAsia="宋体" w:hint="default"/>
                <w:sz w:val="21"/>
                <w:szCs w:val="21"/>
              </w:rPr>
            </w:pPr>
            <w:r>
              <w:rPr>
                <w:rFonts w:ascii="宋体"/>
                <w:sz w:val="21"/>
              </w:rPr>
              <w:t>605,182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605,182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第一创业证券</w:t>
            </w:r>
          </w:p>
          <w:p>
            <w:pPr>
              <w:pStyle w:val="TableParagraph"/>
              <w:spacing w:line="273" w:lineRule="auto" w:before="36"/>
              <w:ind w:left="103" w:right="105"/>
              <w:jc w:val="center"/>
              <w:rPr>
                <w:rFonts w:ascii="宋体" w:hAnsi="宋体" w:cs="宋体" w:eastAsia="宋体" w:hint="default"/>
                <w:sz w:val="21"/>
                <w:szCs w:val="21"/>
              </w:rPr>
            </w:pPr>
            <w:r>
              <w:rPr>
                <w:rFonts w:ascii="宋体" w:hAnsi="宋体" w:cs="宋体" w:eastAsia="宋体" w:hint="default"/>
                <w:sz w:val="21"/>
                <w:szCs w:val="21"/>
              </w:rPr>
              <w:t>－国信证券－ 共盈大岩量化 定增集合资产 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1" w:right="0"/>
              <w:jc w:val="left"/>
              <w:rPr>
                <w:rFonts w:ascii="宋体" w:hAnsi="宋体" w:cs="宋体" w:eastAsia="宋体" w:hint="default"/>
                <w:sz w:val="21"/>
                <w:szCs w:val="21"/>
              </w:rPr>
            </w:pPr>
            <w:r>
              <w:rPr>
                <w:rFonts w:ascii="宋体"/>
                <w:sz w:val="21"/>
              </w:rPr>
              <w:t>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600,000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auto"/>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hanging="2"/>
              <w:jc w:val="center"/>
              <w:rPr>
                <w:rFonts w:ascii="宋体" w:hAnsi="宋体" w:cs="宋体" w:eastAsia="宋体" w:hint="default"/>
                <w:sz w:val="21"/>
                <w:szCs w:val="21"/>
              </w:rPr>
            </w:pPr>
            <w:r>
              <w:rPr>
                <w:rFonts w:ascii="宋体" w:hAnsi="宋体" w:cs="宋体" w:eastAsia="宋体" w:hint="default"/>
                <w:sz w:val="21"/>
                <w:szCs w:val="21"/>
              </w:rPr>
              <w:t>财通基金－工 商银行－永安 定增</w:t>
            </w:r>
            <w:r>
              <w:rPr>
                <w:rFonts w:ascii="宋体" w:hAnsi="宋体" w:cs="宋体" w:eastAsia="宋体" w:hint="default"/>
                <w:spacing w:val="-78"/>
                <w:sz w:val="21"/>
                <w:szCs w:val="21"/>
              </w:rPr>
              <w:t> </w:t>
            </w:r>
            <w:r>
              <w:rPr>
                <w:rFonts w:ascii="宋体" w:hAnsi="宋体" w:cs="宋体" w:eastAsia="宋体" w:hint="default"/>
                <w:sz w:val="21"/>
                <w:szCs w:val="21"/>
              </w:rPr>
              <w:t>3</w:t>
            </w:r>
            <w:r>
              <w:rPr>
                <w:rFonts w:ascii="宋体" w:hAnsi="宋体" w:cs="宋体" w:eastAsia="宋体" w:hint="default"/>
                <w:spacing w:val="-77"/>
                <w:sz w:val="21"/>
                <w:szCs w:val="21"/>
              </w:rPr>
              <w:t> </w:t>
            </w:r>
            <w:r>
              <w:rPr>
                <w:rFonts w:ascii="宋体" w:hAnsi="宋体" w:cs="宋体" w:eastAsia="宋体" w:hint="default"/>
                <w:sz w:val="21"/>
                <w:szCs w:val="21"/>
              </w:rPr>
              <w:t>号资产管 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01" w:right="0"/>
              <w:jc w:val="left"/>
              <w:rPr>
                <w:rFonts w:ascii="宋体" w:hAnsi="宋体" w:cs="宋体" w:eastAsia="宋体" w:hint="default"/>
                <w:sz w:val="21"/>
                <w:szCs w:val="21"/>
              </w:rPr>
            </w:pPr>
            <w:r>
              <w:rPr>
                <w:rFonts w:ascii="宋体"/>
                <w:sz w:val="21"/>
              </w:rPr>
              <w:t>584,192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584,192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hanging="1"/>
              <w:jc w:val="center"/>
              <w:rPr>
                <w:rFonts w:ascii="宋体" w:hAnsi="宋体" w:cs="宋体" w:eastAsia="宋体" w:hint="default"/>
                <w:sz w:val="21"/>
                <w:szCs w:val="21"/>
              </w:rPr>
            </w:pPr>
            <w:r>
              <w:rPr>
                <w:rFonts w:ascii="宋体" w:hAnsi="宋体" w:cs="宋体" w:eastAsia="宋体" w:hint="default"/>
                <w:sz w:val="21"/>
                <w:szCs w:val="21"/>
              </w:rPr>
              <w:t>财通基金－光 大银行－富春 源通定增</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号资</w:t>
            </w:r>
            <w:r>
              <w:rPr>
                <w:rFonts w:ascii="宋体" w:hAnsi="宋体" w:cs="宋体" w:eastAsia="宋体" w:hint="default"/>
                <w:spacing w:val="-2"/>
                <w:sz w:val="21"/>
                <w:szCs w:val="21"/>
              </w:rPr>
              <w:t> </w:t>
            </w:r>
            <w:r>
              <w:rPr>
                <w:rFonts w:ascii="宋体" w:hAnsi="宋体" w:cs="宋体" w:eastAsia="宋体" w:hint="default"/>
                <w:sz w:val="21"/>
                <w:szCs w:val="21"/>
              </w:rPr>
              <w:t>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01" w:right="0"/>
              <w:jc w:val="left"/>
              <w:rPr>
                <w:rFonts w:ascii="宋体" w:hAnsi="宋体" w:cs="宋体" w:eastAsia="宋体" w:hint="default"/>
                <w:sz w:val="21"/>
                <w:szCs w:val="21"/>
              </w:rPr>
            </w:pPr>
            <w:r>
              <w:rPr>
                <w:rFonts w:ascii="宋体"/>
                <w:sz w:val="21"/>
              </w:rPr>
              <w:t>584,192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584,192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王倩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1" w:right="0"/>
              <w:jc w:val="left"/>
              <w:rPr>
                <w:rFonts w:ascii="宋体" w:hAnsi="宋体" w:cs="宋体" w:eastAsia="宋体" w:hint="default"/>
                <w:sz w:val="21"/>
                <w:szCs w:val="21"/>
              </w:rPr>
            </w:pPr>
            <w:r>
              <w:rPr>
                <w:rFonts w:ascii="宋体"/>
                <w:sz w:val="21"/>
              </w:rPr>
              <w:t>450,000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450,000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周淑兰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1" w:right="0"/>
              <w:jc w:val="left"/>
              <w:rPr>
                <w:rFonts w:ascii="宋体" w:hAnsi="宋体" w:cs="宋体" w:eastAsia="宋体" w:hint="default"/>
                <w:sz w:val="21"/>
                <w:szCs w:val="21"/>
              </w:rPr>
            </w:pPr>
            <w:r>
              <w:rPr>
                <w:rFonts w:ascii="宋体"/>
                <w:sz w:val="21"/>
              </w:rPr>
              <w:t>450,000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375,000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hanging="2"/>
              <w:jc w:val="center"/>
              <w:rPr>
                <w:rFonts w:ascii="宋体" w:hAnsi="宋体" w:cs="宋体" w:eastAsia="宋体" w:hint="default"/>
                <w:sz w:val="21"/>
                <w:szCs w:val="21"/>
              </w:rPr>
            </w:pPr>
            <w:r>
              <w:rPr>
                <w:rFonts w:ascii="宋体" w:hAnsi="宋体" w:cs="宋体" w:eastAsia="宋体" w:hint="default"/>
                <w:sz w:val="21"/>
                <w:szCs w:val="21"/>
              </w:rPr>
              <w:t>财通基金－工 商银行－财智 定增</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7"/>
                <w:sz w:val="21"/>
                <w:szCs w:val="21"/>
              </w:rPr>
              <w:t> </w:t>
            </w:r>
            <w:r>
              <w:rPr>
                <w:rFonts w:ascii="宋体" w:hAnsi="宋体" w:cs="宋体" w:eastAsia="宋体" w:hint="default"/>
                <w:sz w:val="21"/>
                <w:szCs w:val="21"/>
              </w:rPr>
              <w:t>号资产管 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01" w:right="0"/>
              <w:jc w:val="left"/>
              <w:rPr>
                <w:rFonts w:ascii="宋体" w:hAnsi="宋体" w:cs="宋体" w:eastAsia="宋体" w:hint="default"/>
                <w:sz w:val="21"/>
                <w:szCs w:val="21"/>
              </w:rPr>
            </w:pPr>
            <w:r>
              <w:rPr>
                <w:rFonts w:ascii="宋体"/>
                <w:sz w:val="21"/>
              </w:rPr>
              <w:t>362,200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362,200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黄建军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1" w:right="0"/>
              <w:jc w:val="left"/>
              <w:rPr>
                <w:rFonts w:ascii="宋体" w:hAnsi="宋体" w:cs="宋体" w:eastAsia="宋体" w:hint="default"/>
                <w:sz w:val="21"/>
                <w:szCs w:val="21"/>
              </w:rPr>
            </w:pPr>
            <w:r>
              <w:rPr>
                <w:rFonts w:ascii="宋体"/>
                <w:sz w:val="21"/>
              </w:rPr>
              <w:t>281,250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6,375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287,625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98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51" w:right="50" w:firstLine="51"/>
              <w:jc w:val="both"/>
              <w:rPr>
                <w:rFonts w:ascii="宋体" w:hAnsi="宋体" w:cs="宋体" w:eastAsia="宋体" w:hint="default"/>
                <w:sz w:val="21"/>
                <w:szCs w:val="21"/>
              </w:rPr>
            </w:pPr>
            <w:r>
              <w:rPr>
                <w:rFonts w:ascii="宋体" w:hAnsi="宋体" w:cs="宋体" w:eastAsia="宋体" w:hint="default"/>
                <w:sz w:val="21"/>
                <w:szCs w:val="21"/>
              </w:rPr>
              <w:t>财通基金－招 商银行－富春 定增</w:t>
            </w:r>
            <w:r>
              <w:rPr>
                <w:rFonts w:ascii="宋体" w:hAnsi="宋体" w:cs="宋体" w:eastAsia="宋体" w:hint="default"/>
                <w:spacing w:val="-54"/>
                <w:sz w:val="21"/>
                <w:szCs w:val="21"/>
              </w:rPr>
              <w:t> </w:t>
            </w:r>
            <w:r>
              <w:rPr>
                <w:rFonts w:ascii="宋体" w:hAnsi="宋体" w:cs="宋体" w:eastAsia="宋体" w:hint="default"/>
                <w:sz w:val="21"/>
                <w:szCs w:val="21"/>
              </w:rPr>
              <w:t>53</w:t>
            </w:r>
            <w:r>
              <w:rPr>
                <w:rFonts w:ascii="宋体" w:hAnsi="宋体" w:cs="宋体" w:eastAsia="宋体" w:hint="default"/>
                <w:spacing w:val="-54"/>
                <w:sz w:val="21"/>
                <w:szCs w:val="21"/>
              </w:rPr>
              <w:t> </w:t>
            </w:r>
            <w:r>
              <w:rPr>
                <w:rFonts w:ascii="宋体" w:hAnsi="宋体" w:cs="宋体" w:eastAsia="宋体" w:hint="default"/>
                <w:sz w:val="21"/>
                <w:szCs w:val="21"/>
              </w:rPr>
              <w:t>号资产</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301" w:right="0"/>
              <w:jc w:val="left"/>
              <w:rPr>
                <w:rFonts w:ascii="宋体" w:hAnsi="宋体" w:cs="宋体" w:eastAsia="宋体" w:hint="default"/>
                <w:sz w:val="21"/>
                <w:szCs w:val="21"/>
              </w:rPr>
            </w:pPr>
            <w:r>
              <w:rPr>
                <w:rFonts w:ascii="宋体"/>
                <w:sz w:val="21"/>
              </w:rPr>
              <w:t>169,416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sz w:val="21"/>
              </w:rPr>
              <w:t>169,416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1"/>
              <w:ind w:left="355" w:right="39" w:hanging="316"/>
              <w:jc w:val="left"/>
              <w:rPr>
                <w:rFonts w:ascii="宋体" w:hAnsi="宋体" w:cs="宋体" w:eastAsia="宋体" w:hint="default"/>
                <w:sz w:val="21"/>
                <w:szCs w:val="21"/>
              </w:rPr>
            </w:pPr>
            <w:r>
              <w:rPr>
                <w:rFonts w:ascii="宋体" w:hAnsi="宋体" w:cs="宋体" w:eastAsia="宋体" w:hint="default"/>
                <w:sz w:val="21"/>
                <w:szCs w:val="21"/>
              </w:rPr>
              <w:t>首发后机构类 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sz w:val="21"/>
              </w:rPr>
              <w:t>2016.1.6</w:t>
            </w:r>
          </w:p>
        </w:tc>
      </w:tr>
    </w:tbl>
    <w:p>
      <w:pPr>
        <w:spacing w:after="0" w:line="240" w:lineRule="auto"/>
        <w:jc w:val="center"/>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3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管理计划</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李念</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24,150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125,850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宋斌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135,000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孙晶晶</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6,000,000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6,000,000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79,153,879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114,150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7,176525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86,216,254</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pStyle w:val="BodyText"/>
        <w:spacing w:line="240" w:lineRule="auto" w:before="40"/>
        <w:ind w:left="1134" w:right="0"/>
        <w:jc w:val="both"/>
      </w:pPr>
      <w:r>
        <w:rPr/>
        <w:t>限售股变动情况说明：</w:t>
      </w:r>
    </w:p>
    <w:p>
      <w:pPr>
        <w:pStyle w:val="BodyText"/>
        <w:spacing w:line="240" w:lineRule="auto" w:before="154"/>
        <w:ind w:left="1614" w:right="1033"/>
        <w:jc w:val="left"/>
        <w:rPr>
          <w:rFonts w:ascii="宋体" w:hAnsi="宋体" w:cs="宋体" w:eastAsia="宋体" w:hint="default"/>
        </w:rPr>
      </w:pPr>
      <w:r>
        <w:rPr>
          <w:spacing w:val="-10"/>
        </w:rPr>
        <w:t>（</w:t>
      </w:r>
      <w:r>
        <w:rPr>
          <w:rFonts w:ascii="宋体" w:hAnsi="宋体" w:cs="宋体" w:eastAsia="宋体" w:hint="default"/>
          <w:spacing w:val="-10"/>
        </w:rPr>
        <w:t>1</w:t>
      </w:r>
      <w:r>
        <w:rPr>
          <w:spacing w:val="-10"/>
        </w:rPr>
        <w:t>）报告期内，按相关规定公司董事、监事、高级管理人员按所持股份总数的 </w:t>
      </w:r>
      <w:r>
        <w:rPr>
          <w:rFonts w:ascii="宋体" w:hAnsi="宋体" w:cs="宋体" w:eastAsia="宋体" w:hint="default"/>
        </w:rPr>
        <w:t>25%</w:t>
      </w:r>
      <w:r>
        <w:rPr/>
        <w:t>于</w:t>
      </w:r>
      <w:r>
        <w:rPr>
          <w:spacing w:val="-84"/>
        </w:rPr>
        <w:t> </w:t>
      </w:r>
      <w:r>
        <w:rPr>
          <w:rFonts w:ascii="宋体" w:hAnsi="宋体" w:cs="宋体" w:eastAsia="宋体" w:hint="default"/>
        </w:rPr>
        <w:t>2015</w:t>
      </w:r>
    </w:p>
    <w:p>
      <w:pPr>
        <w:pStyle w:val="BodyText"/>
        <w:spacing w:line="240" w:lineRule="auto" w:before="154"/>
        <w:ind w:left="1134" w:right="0"/>
        <w:jc w:val="both"/>
      </w:pP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日予以解除限售。</w:t>
      </w:r>
    </w:p>
    <w:p>
      <w:pPr>
        <w:pStyle w:val="BodyText"/>
        <w:spacing w:line="357" w:lineRule="auto" w:before="154"/>
        <w:ind w:right="1130" w:firstLine="480"/>
        <w:jc w:val="both"/>
      </w:pPr>
      <w:r>
        <w:rPr/>
        <w:t>（</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47"/>
        </w:rPr>
        <w:t> </w:t>
      </w:r>
      <w:r>
        <w:rPr/>
        <w:t>年</w:t>
      </w:r>
      <w:r>
        <w:rPr>
          <w:spacing w:val="-47"/>
        </w:rPr>
        <w:t> </w:t>
      </w:r>
      <w:r>
        <w:rPr>
          <w:rFonts w:ascii="宋体" w:hAnsi="宋体" w:cs="宋体" w:eastAsia="宋体" w:hint="default"/>
        </w:rPr>
        <w:t>8</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t>日公司召开</w:t>
      </w:r>
      <w:r>
        <w:rPr>
          <w:spacing w:val="-47"/>
        </w:rPr>
        <w:t> </w:t>
      </w:r>
      <w:r>
        <w:rPr>
          <w:rFonts w:ascii="宋体" w:hAnsi="宋体" w:cs="宋体" w:eastAsia="宋体" w:hint="default"/>
        </w:rPr>
        <w:t>2015</w:t>
      </w:r>
      <w:r>
        <w:rPr>
          <w:rFonts w:ascii="宋体" w:hAnsi="宋体" w:cs="宋体" w:eastAsia="宋体" w:hint="default"/>
          <w:spacing w:val="-47"/>
        </w:rPr>
        <w:t> </w:t>
      </w:r>
      <w:r>
        <w:rPr/>
        <w:t>年第二次临时股东大会审议通过了《关于监事会 </w:t>
      </w:r>
      <w:r>
        <w:rPr>
          <w:spacing w:val="-5"/>
        </w:rPr>
        <w:t>换届选举暨第三届监事会股东代表监事候选人提名的议案》，同意宋斌先生不再担任监事会监</w:t>
      </w:r>
      <w:r>
        <w:rPr>
          <w:spacing w:val="-117"/>
        </w:rPr>
        <w:t> </w:t>
      </w:r>
      <w:r>
        <w:rPr>
          <w:spacing w:val="-117"/>
        </w:rPr>
      </w:r>
      <w:r>
        <w:rPr>
          <w:spacing w:val="-4"/>
        </w:rPr>
        <w:t>事【具体情况请参见</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spacing w:val="-3"/>
        </w:rPr>
        <w:t>日在巨潮资讯网披露的《关于公司部分独立董事、监事换</w:t>
      </w:r>
    </w:p>
    <w:p>
      <w:pPr>
        <w:pStyle w:val="BodyText"/>
        <w:spacing w:line="240" w:lineRule="auto" w:before="36"/>
        <w:ind w:right="0"/>
        <w:jc w:val="both"/>
        <w:rPr>
          <w:rFonts w:ascii="宋体" w:hAnsi="宋体" w:cs="宋体" w:eastAsia="宋体" w:hint="default"/>
        </w:rPr>
      </w:pPr>
      <w:r>
        <w:rPr/>
        <w:t>届离任的公告</w:t>
      </w:r>
      <w:r>
        <w:rPr>
          <w:spacing w:val="-167"/>
        </w:rPr>
        <w:t>》</w:t>
      </w:r>
      <w:r>
        <w:rPr/>
        <w:t>（公告编号</w:t>
      </w:r>
      <w:r>
        <w:rPr>
          <w:spacing w:val="-47"/>
        </w:rPr>
        <w:t>：</w:t>
      </w:r>
      <w:r>
        <w:rPr>
          <w:rFonts w:ascii="宋体" w:hAnsi="宋体" w:cs="宋体" w:eastAsia="宋体" w:hint="default"/>
        </w:rPr>
        <w:t>2015-085</w:t>
      </w:r>
      <w:r>
        <w:rPr>
          <w:spacing w:val="-120"/>
        </w:rPr>
        <w:t>）】</w:t>
      </w:r>
      <w:r>
        <w:rPr>
          <w:spacing w:val="-47"/>
        </w:rPr>
        <w:t>，</w:t>
      </w:r>
      <w:r>
        <w:rPr/>
        <w:t>其所持有的全部股份</w:t>
      </w:r>
      <w:r>
        <w:rPr>
          <w:spacing w:val="-60"/>
        </w:rPr>
        <w:t> </w:t>
      </w:r>
      <w:r>
        <w:rPr>
          <w:rFonts w:ascii="宋体" w:hAnsi="宋体" w:cs="宋体" w:eastAsia="宋体" w:hint="default"/>
        </w:rPr>
        <w:t>135,000</w:t>
      </w:r>
      <w:r>
        <w:rPr>
          <w:rFonts w:ascii="宋体" w:hAnsi="宋体" w:cs="宋体" w:eastAsia="宋体" w:hint="default"/>
          <w:spacing w:val="-60"/>
        </w:rPr>
        <w:t> </w:t>
      </w:r>
      <w:r>
        <w:rPr/>
        <w:t>股因离任锁定至</w:t>
      </w:r>
      <w:r>
        <w:rPr>
          <w:spacing w:val="-60"/>
        </w:rPr>
        <w:t> </w:t>
      </w:r>
      <w:r>
        <w:rPr>
          <w:rFonts w:ascii="宋体" w:hAnsi="宋体" w:cs="宋体" w:eastAsia="宋体" w:hint="default"/>
        </w:rPr>
        <w:t>2016</w:t>
      </w:r>
    </w:p>
    <w:p>
      <w:pPr>
        <w:pStyle w:val="BodyText"/>
        <w:spacing w:line="240" w:lineRule="auto" w:before="154"/>
        <w:ind w:right="0"/>
        <w:jc w:val="both"/>
      </w:pP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w:t>
      </w:r>
    </w:p>
    <w:p>
      <w:pPr>
        <w:pStyle w:val="BodyText"/>
        <w:spacing w:line="240" w:lineRule="auto" w:before="154"/>
        <w:ind w:left="1613" w:right="1033"/>
        <w:jc w:val="left"/>
      </w:pPr>
      <w:r>
        <w:rPr/>
        <w:t>（</w:t>
      </w: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65"/>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日公司召开第三届董事会第一次会议审议通过《关于聘任行政总监</w:t>
      </w:r>
    </w:p>
    <w:p>
      <w:pPr>
        <w:pStyle w:val="BodyText"/>
        <w:spacing w:line="357" w:lineRule="auto" w:before="154"/>
        <w:ind w:right="1130"/>
        <w:jc w:val="both"/>
      </w:pPr>
      <w:r>
        <w:rPr>
          <w:spacing w:val="-5"/>
        </w:rPr>
        <w:t>的议案》，同意聘任孙晶晶女士为公司行政总监【具体情况请参见</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0"/>
        </w:rPr>
        <w:t> </w:t>
      </w:r>
      <w:r>
        <w:rPr>
          <w:rFonts w:ascii="宋体" w:hAnsi="宋体" w:cs="宋体" w:eastAsia="宋体" w:hint="default"/>
        </w:rPr>
        <w:t>9</w:t>
      </w:r>
      <w:r>
        <w:rPr>
          <w:rFonts w:ascii="宋体" w:hAnsi="宋体" w:cs="宋体" w:eastAsia="宋体" w:hint="default"/>
          <w:spacing w:val="-50"/>
        </w:rPr>
        <w:t> </w:t>
      </w:r>
      <w:r>
        <w:rPr/>
        <w:t>月</w:t>
      </w:r>
      <w:r>
        <w:rPr>
          <w:spacing w:val="-49"/>
        </w:rPr>
        <w:t> </w:t>
      </w:r>
      <w:r>
        <w:rPr>
          <w:rFonts w:ascii="宋体" w:hAnsi="宋体" w:cs="宋体" w:eastAsia="宋体" w:hint="default"/>
        </w:rPr>
        <w:t>1</w:t>
      </w:r>
      <w:r>
        <w:rPr>
          <w:rFonts w:ascii="宋体" w:hAnsi="宋体" w:cs="宋体" w:eastAsia="宋体" w:hint="default"/>
          <w:spacing w:val="-50"/>
        </w:rPr>
        <w:t> </w:t>
      </w:r>
      <w:r>
        <w:rPr/>
        <w:t>日在巨潮资 </w:t>
      </w:r>
      <w:r>
        <w:rPr>
          <w:spacing w:val="-10"/>
        </w:rPr>
        <w:t>讯网披露的《第三届董事会第一次会议决议公告》（公告编号：</w:t>
      </w:r>
      <w:r>
        <w:rPr>
          <w:rFonts w:ascii="宋体" w:hAnsi="宋体" w:cs="宋体" w:eastAsia="宋体" w:hint="default"/>
          <w:spacing w:val="-10"/>
        </w:rPr>
        <w:t>2015-086</w:t>
      </w:r>
      <w:r>
        <w:rPr>
          <w:spacing w:val="-10"/>
        </w:rPr>
        <w:t>）】。公司新一届董事</w:t>
      </w:r>
      <w:r>
        <w:rPr>
          <w:spacing w:val="-103"/>
        </w:rPr>
        <w:t> </w:t>
      </w:r>
      <w:r>
        <w:rPr>
          <w:spacing w:val="-103"/>
        </w:rPr>
      </w:r>
      <w:r>
        <w:rPr>
          <w:spacing w:val="-4"/>
        </w:rPr>
        <w:t>会新聘行政总监孙晶晶女士作为公司高管，其于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月通过大宗交易所获得的公司股份</w:t>
      </w:r>
    </w:p>
    <w:p>
      <w:pPr>
        <w:pStyle w:val="BodyText"/>
        <w:spacing w:line="240" w:lineRule="auto" w:before="36"/>
        <w:ind w:right="0"/>
        <w:jc w:val="both"/>
      </w:pPr>
      <w:r>
        <w:rPr>
          <w:rFonts w:ascii="宋体" w:hAnsi="宋体" w:cs="宋体" w:eastAsia="宋体" w:hint="default"/>
        </w:rPr>
        <w:t>8,000,000</w:t>
      </w:r>
      <w:r>
        <w:rPr>
          <w:rFonts w:ascii="宋体" w:hAnsi="宋体" w:cs="宋体" w:eastAsia="宋体" w:hint="default"/>
          <w:spacing w:val="-60"/>
        </w:rPr>
        <w:t> </w:t>
      </w:r>
      <w:r>
        <w:rPr/>
        <w:t>股中</w:t>
      </w:r>
      <w:r>
        <w:rPr>
          <w:spacing w:val="-60"/>
        </w:rPr>
        <w:t> </w:t>
      </w:r>
      <w:r>
        <w:rPr>
          <w:rFonts w:ascii="宋体" w:hAnsi="宋体" w:cs="宋体" w:eastAsia="宋体" w:hint="default"/>
        </w:rPr>
        <w:t>6,000,000</w:t>
      </w:r>
      <w:r>
        <w:rPr>
          <w:rFonts w:ascii="宋体" w:hAnsi="宋体" w:cs="宋体" w:eastAsia="宋体" w:hint="default"/>
          <w:spacing w:val="-60"/>
        </w:rPr>
        <w:t> </w:t>
      </w:r>
      <w:r>
        <w:rPr/>
        <w:t>股作为高管锁定股份予以限售。</w:t>
      </w:r>
    </w:p>
    <w:p>
      <w:pPr>
        <w:pStyle w:val="BodyText"/>
        <w:spacing w:line="357" w:lineRule="auto" w:before="154"/>
        <w:ind w:right="1130" w:firstLine="480"/>
        <w:jc w:val="both"/>
      </w:pPr>
      <w:r>
        <w:rPr>
          <w:spacing w:val="-3"/>
        </w:rPr>
        <w:t>（</w:t>
      </w:r>
      <w:r>
        <w:rPr>
          <w:rFonts w:ascii="宋体" w:hAnsi="宋体" w:cs="宋体" w:eastAsia="宋体" w:hint="default"/>
          <w:spacing w:val="-3"/>
        </w:rPr>
        <w:t>4</w:t>
      </w:r>
      <w:r>
        <w:rPr>
          <w:spacing w:val="-3"/>
        </w:rPr>
        <w:t>）报告期内，为稳定公司股价，公司董事长孙屹峥先生、董事兼总经理张菀女士、财</w:t>
      </w:r>
      <w:r>
        <w:rPr/>
        <w:t> 务总监黄建军先生分别增持公司股份</w:t>
      </w:r>
      <w:r>
        <w:rPr>
          <w:spacing w:val="-50"/>
        </w:rPr>
        <w:t> </w:t>
      </w:r>
      <w:r>
        <w:rPr>
          <w:rFonts w:ascii="宋体" w:hAnsi="宋体" w:cs="宋体" w:eastAsia="宋体" w:hint="default"/>
        </w:rPr>
        <w:t>833,200</w:t>
      </w:r>
      <w:r>
        <w:rPr>
          <w:rFonts w:ascii="宋体" w:hAnsi="宋体" w:cs="宋体" w:eastAsia="宋体" w:hint="default"/>
          <w:spacing w:val="-51"/>
        </w:rPr>
        <w:t> </w:t>
      </w:r>
      <w:r>
        <w:rPr/>
        <w:t>股、</w:t>
      </w:r>
      <w:r>
        <w:rPr>
          <w:rFonts w:ascii="宋体" w:hAnsi="宋体" w:cs="宋体" w:eastAsia="宋体" w:hint="default"/>
        </w:rPr>
        <w:t>727,000</w:t>
      </w:r>
      <w:r>
        <w:rPr>
          <w:rFonts w:ascii="宋体" w:hAnsi="宋体" w:cs="宋体" w:eastAsia="宋体" w:hint="default"/>
          <w:spacing w:val="-51"/>
        </w:rPr>
        <w:t> </w:t>
      </w:r>
      <w:r>
        <w:rPr/>
        <w:t>股、</w:t>
      </w:r>
      <w:r>
        <w:rPr>
          <w:rFonts w:ascii="宋体" w:hAnsi="宋体" w:cs="宋体" w:eastAsia="宋体" w:hint="default"/>
        </w:rPr>
        <w:t>8,500</w:t>
      </w:r>
      <w:r>
        <w:rPr>
          <w:rFonts w:ascii="宋体" w:hAnsi="宋体" w:cs="宋体" w:eastAsia="宋体" w:hint="default"/>
          <w:spacing w:val="-50"/>
        </w:rPr>
        <w:t> </w:t>
      </w:r>
      <w:r>
        <w:rPr/>
        <w:t>股 【具体情况请参见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t>日在巨潮资讯网披露的《关于控股股东、持股</w:t>
      </w:r>
      <w:r>
        <w:rPr>
          <w:spacing w:val="-54"/>
        </w:rPr>
        <w:t> </w:t>
      </w:r>
      <w:r>
        <w:rPr>
          <w:rFonts w:ascii="宋体" w:hAnsi="宋体" w:cs="宋体" w:eastAsia="宋体" w:hint="default"/>
        </w:rPr>
        <w:t>5%</w:t>
      </w:r>
      <w:r>
        <w:rPr/>
        <w:t>以上股东及部分高级管理人 </w:t>
      </w:r>
      <w:r>
        <w:rPr>
          <w:spacing w:val="-10"/>
        </w:rPr>
        <w:t>员完成增持公司股份计划的公告》（公告编号：</w:t>
      </w:r>
      <w:r>
        <w:rPr>
          <w:rFonts w:ascii="宋体" w:hAnsi="宋体" w:cs="宋体" w:eastAsia="宋体" w:hint="default"/>
          <w:spacing w:val="-10"/>
        </w:rPr>
        <w:t>2015-089</w:t>
      </w:r>
      <w:r>
        <w:rPr>
          <w:spacing w:val="-10"/>
        </w:rPr>
        <w:t>）】，对应新增高管锁定股份数分别为</w:t>
      </w:r>
      <w:r>
        <w:rPr>
          <w:spacing w:val="-103"/>
        </w:rPr>
        <w:t> </w:t>
      </w:r>
      <w:r>
        <w:rPr>
          <w:spacing w:val="-103"/>
        </w:rPr>
      </w:r>
      <w:r>
        <w:rPr>
          <w:rFonts w:ascii="宋体" w:hAnsi="宋体" w:cs="宋体" w:eastAsia="宋体" w:hint="default"/>
        </w:rPr>
        <w:t>624,900</w:t>
      </w:r>
      <w:r>
        <w:rPr>
          <w:rFonts w:ascii="宋体" w:hAnsi="宋体" w:cs="宋体" w:eastAsia="宋体" w:hint="default"/>
          <w:spacing w:val="-60"/>
        </w:rPr>
        <w:t> </w:t>
      </w:r>
      <w:r>
        <w:rPr/>
        <w:t>股、</w:t>
      </w:r>
      <w:r>
        <w:rPr>
          <w:rFonts w:ascii="宋体" w:hAnsi="宋体" w:cs="宋体" w:eastAsia="宋体" w:hint="default"/>
        </w:rPr>
        <w:t>525,250</w:t>
      </w:r>
      <w:r>
        <w:rPr>
          <w:rFonts w:ascii="宋体" w:hAnsi="宋体" w:cs="宋体" w:eastAsia="宋体" w:hint="default"/>
          <w:spacing w:val="-60"/>
        </w:rPr>
        <w:t> </w:t>
      </w:r>
      <w:r>
        <w:rPr/>
        <w:t>股、</w:t>
      </w:r>
      <w:r>
        <w:rPr>
          <w:rFonts w:ascii="宋体" w:hAnsi="宋体" w:cs="宋体" w:eastAsia="宋体" w:hint="default"/>
        </w:rPr>
        <w:t>6,375</w:t>
      </w:r>
      <w:r>
        <w:rPr>
          <w:rFonts w:ascii="宋体" w:hAnsi="宋体" w:cs="宋体" w:eastAsia="宋体" w:hint="default"/>
          <w:spacing w:val="-60"/>
        </w:rPr>
        <w:t> </w:t>
      </w:r>
      <w:r>
        <w:rPr/>
        <w:t>股。</w:t>
      </w:r>
    </w:p>
    <w:p>
      <w:pPr>
        <w:pStyle w:val="BodyText"/>
        <w:spacing w:line="357" w:lineRule="auto" w:before="36"/>
        <w:ind w:left="1734" w:right="1033" w:hanging="121"/>
        <w:jc w:val="left"/>
      </w:pPr>
      <w:r>
        <w:rPr/>
        <w:t>（</w:t>
      </w:r>
      <w:r>
        <w:rPr>
          <w:rFonts w:ascii="宋体" w:hAnsi="宋体" w:cs="宋体" w:eastAsia="宋体" w:hint="default"/>
        </w:rPr>
        <w:t>5</w:t>
      </w:r>
      <w:r>
        <w:rPr/>
        <w:t>）另外，除上述通过中登公司对股票进行限售锁定外，公司还有以下自愿锁定事项： </w:t>
      </w:r>
      <w:r>
        <w:rPr>
          <w:rFonts w:ascii="宋体" w:hAnsi="宋体" w:cs="宋体" w:eastAsia="宋体" w:hint="default"/>
        </w:rPr>
        <w:t>1</w:t>
      </w:r>
      <w:r>
        <w:rPr/>
        <w:t>）为稳定公司股价，切实维护广大投资者的长远利益，公司大股东上海亨升投资管理</w:t>
      </w:r>
    </w:p>
    <w:p>
      <w:pPr>
        <w:pStyle w:val="BodyText"/>
        <w:spacing w:line="357" w:lineRule="auto" w:before="36"/>
        <w:ind w:left="1134" w:right="1122"/>
        <w:jc w:val="left"/>
      </w:pPr>
      <w:r>
        <w:rPr/>
        <w:t>有限公司及持有公司股票的董事、监事、高级管理人员包括孙屹峥、张菀、王倩、周淑兰、 </w:t>
      </w:r>
      <w:r>
        <w:rPr>
          <w:spacing w:val="-6"/>
        </w:rPr>
        <w:t>黄建军、李念、宋斌等人承诺：从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日起</w:t>
      </w:r>
      <w:r>
        <w:rPr>
          <w:spacing w:val="-60"/>
        </w:rPr>
        <w:t> </w:t>
      </w:r>
      <w:r>
        <w:rPr>
          <w:rFonts w:ascii="宋体" w:hAnsi="宋体" w:cs="宋体" w:eastAsia="宋体" w:hint="default"/>
        </w:rPr>
        <w:t>6</w:t>
      </w:r>
      <w:r>
        <w:rPr>
          <w:rFonts w:ascii="宋体" w:hAnsi="宋体" w:cs="宋体" w:eastAsia="宋体" w:hint="default"/>
          <w:spacing w:val="-60"/>
        </w:rPr>
        <w:t> </w:t>
      </w:r>
      <w:r>
        <w:rPr/>
        <w:t>个月内不通过二级市场减持所持有的</w:t>
      </w:r>
    </w:p>
    <w:p>
      <w:pPr>
        <w:pStyle w:val="BodyText"/>
        <w:spacing w:line="240" w:lineRule="auto" w:before="36"/>
        <w:ind w:right="0"/>
        <w:jc w:val="both"/>
      </w:pPr>
      <w:r>
        <w:rPr/>
        <w:t>公司股份</w:t>
      </w:r>
      <w:r>
        <w:rPr>
          <w:spacing w:val="-28"/>
        </w:rPr>
        <w:t>；</w:t>
      </w:r>
      <w:r>
        <w:rPr/>
        <w:t>增持的公司股份自增持之日起</w:t>
      </w:r>
      <w:r>
        <w:rPr>
          <w:spacing w:val="-60"/>
        </w:rPr>
        <w:t> </w:t>
      </w:r>
      <w:r>
        <w:rPr>
          <w:rFonts w:ascii="宋体" w:hAnsi="宋体" w:cs="宋体" w:eastAsia="宋体" w:hint="default"/>
        </w:rPr>
        <w:t>6</w:t>
      </w:r>
      <w:r>
        <w:rPr>
          <w:rFonts w:ascii="宋体" w:hAnsi="宋体" w:cs="宋体" w:eastAsia="宋体" w:hint="default"/>
          <w:spacing w:val="-60"/>
        </w:rPr>
        <w:t> </w:t>
      </w:r>
      <w:r>
        <w:rPr/>
        <w:t>个月不减</w:t>
      </w:r>
      <w:r>
        <w:rPr>
          <w:spacing w:val="-28"/>
        </w:rPr>
        <w:t>持</w:t>
      </w:r>
      <w:r>
        <w:rPr/>
        <w:t>（该承诺为对股份的自愿锁定</w:t>
      </w:r>
      <w:r>
        <w:rPr>
          <w:spacing w:val="-120"/>
        </w:rPr>
        <w:t>）</w:t>
      </w:r>
      <w:r>
        <w:rPr>
          <w:spacing w:val="-28"/>
        </w:rPr>
        <w:t>。</w:t>
      </w:r>
      <w:r>
        <w:rPr/>
        <w:t>具体</w:t>
      </w:r>
    </w:p>
    <w:p>
      <w:pPr>
        <w:pStyle w:val="BodyText"/>
        <w:spacing w:line="240" w:lineRule="auto" w:before="154"/>
        <w:ind w:right="0"/>
        <w:jc w:val="both"/>
      </w:pPr>
      <w:r>
        <w:rPr/>
        <w:t>情况请参见公司在巨潮资讯网于</w:t>
      </w:r>
      <w:r>
        <w:rPr>
          <w:spacing w:val="-34"/>
        </w:rPr>
        <w:t> </w:t>
      </w:r>
      <w:r>
        <w:rPr>
          <w:rFonts w:ascii="宋体" w:hAnsi="宋体" w:cs="宋体" w:eastAsia="宋体" w:hint="default"/>
        </w:rPr>
        <w:t>2015</w:t>
      </w:r>
      <w:r>
        <w:rPr>
          <w:rFonts w:ascii="宋体" w:hAnsi="宋体" w:cs="宋体" w:eastAsia="宋体" w:hint="default"/>
          <w:spacing w:val="-34"/>
        </w:rPr>
        <w:t> </w:t>
      </w:r>
      <w:r>
        <w:rPr/>
        <w:t>年</w:t>
      </w:r>
      <w:r>
        <w:rPr>
          <w:spacing w:val="-34"/>
        </w:rPr>
        <w:t> </w:t>
      </w:r>
      <w:r>
        <w:rPr>
          <w:rFonts w:ascii="宋体" w:hAnsi="宋体" w:cs="宋体" w:eastAsia="宋体" w:hint="default"/>
        </w:rPr>
        <w:t>7</w:t>
      </w:r>
      <w:r>
        <w:rPr>
          <w:rFonts w:ascii="宋体" w:hAnsi="宋体" w:cs="宋体" w:eastAsia="宋体" w:hint="default"/>
          <w:spacing w:val="-34"/>
        </w:rPr>
        <w:t> </w:t>
      </w:r>
      <w:r>
        <w:rPr/>
        <w:t>月</w:t>
      </w:r>
      <w:r>
        <w:rPr>
          <w:spacing w:val="-34"/>
        </w:rPr>
        <w:t> </w:t>
      </w:r>
      <w:r>
        <w:rPr>
          <w:rFonts w:ascii="宋体" w:hAnsi="宋体" w:cs="宋体" w:eastAsia="宋体" w:hint="default"/>
        </w:rPr>
        <w:t>10</w:t>
      </w:r>
      <w:r>
        <w:rPr>
          <w:rFonts w:ascii="宋体" w:hAnsi="宋体" w:cs="宋体" w:eastAsia="宋体" w:hint="default"/>
          <w:spacing w:val="-34"/>
        </w:rPr>
        <w:t> </w:t>
      </w:r>
      <w:r>
        <w:rPr/>
        <w:t>日披露的《关于维护公司股价稳定的公告》</w:t>
      </w:r>
    </w:p>
    <w:p>
      <w:pPr>
        <w:pStyle w:val="BodyText"/>
        <w:spacing w:line="240" w:lineRule="auto" w:before="154"/>
        <w:ind w:right="0"/>
        <w:jc w:val="both"/>
      </w:pPr>
      <w:r>
        <w:rPr/>
        <w:t>（公告编号</w:t>
      </w:r>
      <w:r>
        <w:rPr>
          <w:spacing w:val="-20"/>
        </w:rPr>
        <w:t>：</w:t>
      </w:r>
      <w:r>
        <w:rPr>
          <w:rFonts w:ascii="宋体" w:hAnsi="宋体" w:cs="宋体" w:eastAsia="宋体" w:hint="default"/>
        </w:rPr>
        <w:t>2015-061</w:t>
      </w:r>
      <w:r>
        <w:rPr>
          <w:spacing w:val="-120"/>
        </w:rPr>
        <w:t>）</w:t>
      </w:r>
      <w:r>
        <w:rPr>
          <w:spacing w:val="-21"/>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日披露</w:t>
      </w:r>
      <w:r>
        <w:rPr>
          <w:spacing w:val="-21"/>
        </w:rPr>
        <w:t>的</w:t>
      </w:r>
      <w:r>
        <w:rPr/>
        <w:t>《关于控股股东</w:t>
      </w:r>
      <w:r>
        <w:rPr>
          <w:spacing w:val="-21"/>
        </w:rPr>
        <w:t>、</w:t>
      </w:r>
      <w:r>
        <w:rPr/>
        <w:t>持股</w:t>
      </w:r>
      <w:r>
        <w:rPr>
          <w:spacing w:val="-60"/>
        </w:rPr>
        <w:t> </w:t>
      </w:r>
      <w:r>
        <w:rPr>
          <w:rFonts w:ascii="宋体" w:hAnsi="宋体" w:cs="宋体" w:eastAsia="宋体" w:hint="default"/>
        </w:rPr>
        <w:t>5%</w:t>
      </w:r>
      <w:r>
        <w:rPr/>
        <w:t>以上股东及部分</w:t>
      </w:r>
    </w:p>
    <w:p>
      <w:pPr>
        <w:spacing w:after="0" w:line="240" w:lineRule="auto"/>
        <w:jc w:val="both"/>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left="1734" w:right="1033" w:hanging="601"/>
        <w:jc w:val="left"/>
      </w:pPr>
      <w:r>
        <w:rPr>
          <w:spacing w:val="-10"/>
        </w:rPr>
        <w:t>高级管理人员完成增持公司股份计划的公告》（公告编号：</w:t>
      </w:r>
      <w:r>
        <w:rPr>
          <w:rFonts w:ascii="宋体" w:hAnsi="宋体" w:cs="宋体" w:eastAsia="宋体" w:hint="default"/>
          <w:spacing w:val="-10"/>
        </w:rPr>
        <w:t>2015-089</w:t>
      </w:r>
      <w:r>
        <w:rPr>
          <w:spacing w:val="-10"/>
        </w:rPr>
        <w:t>）。</w:t>
      </w:r>
      <w:r>
        <w:rPr>
          <w:spacing w:val="-120"/>
        </w:rPr>
        <w:t> </w:t>
      </w:r>
      <w:r>
        <w:rPr>
          <w:rFonts w:ascii="宋体" w:hAnsi="宋体" w:cs="宋体" w:eastAsia="宋体" w:hint="default"/>
        </w:rPr>
        <w:t>2</w:t>
      </w:r>
      <w:r>
        <w:rPr/>
        <w:t>）经公司董事会、监事会及股东大会审议同意公司实施第一期员工持股计划，本员工</w:t>
      </w:r>
    </w:p>
    <w:p>
      <w:pPr>
        <w:pStyle w:val="BodyText"/>
        <w:spacing w:line="357" w:lineRule="auto" w:before="36"/>
        <w:ind w:right="1130"/>
        <w:jc w:val="both"/>
      </w:pPr>
      <w:r>
        <w:rPr>
          <w:spacing w:val="-3"/>
        </w:rPr>
        <w:t>持股计划委托广发证券资产管理（广东）有限公司管理成立“广发恒众·依米康</w:t>
      </w:r>
      <w:r>
        <w:rPr>
          <w:rFonts w:ascii="宋体" w:hAnsi="宋体" w:cs="宋体" w:eastAsia="宋体" w:hint="default"/>
          <w:spacing w:val="-3"/>
        </w:rPr>
        <w:t>1</w:t>
      </w:r>
      <w:r>
        <w:rPr>
          <w:spacing w:val="-3"/>
        </w:rPr>
        <w:t>号集合资产</w:t>
      </w:r>
      <w:r>
        <w:rPr>
          <w:spacing w:val="-80"/>
        </w:rPr>
        <w:t> </w:t>
      </w:r>
      <w:r>
        <w:rPr>
          <w:spacing w:val="-4"/>
        </w:rPr>
        <w:t>管理计划”进行管理，该计划通过二级市场以竞价方式累计买入本公司股票</w:t>
      </w:r>
      <w:r>
        <w:rPr>
          <w:rFonts w:ascii="宋体" w:hAnsi="宋体" w:cs="宋体" w:eastAsia="宋体" w:hint="default"/>
          <w:spacing w:val="-4"/>
        </w:rPr>
        <w:t>2,810,126</w:t>
      </w:r>
      <w:r>
        <w:rPr>
          <w:spacing w:val="-4"/>
        </w:rPr>
        <w:t>股，</w:t>
      </w:r>
      <w:r>
        <w:rPr>
          <w:spacing w:val="-34"/>
        </w:rPr>
        <w:t> </w:t>
      </w:r>
      <w:r>
        <w:rPr/>
        <w:t>该</w:t>
      </w:r>
      <w:r>
        <w:rPr>
          <w:spacing w:val="-114"/>
        </w:rPr>
        <w:t> </w:t>
      </w:r>
      <w:r>
        <w:rPr>
          <w:spacing w:val="-114"/>
        </w:rPr>
      </w:r>
      <w:r>
        <w:rPr/>
        <w:t>计划所购买的股票锁定期为</w:t>
      </w:r>
      <w:r>
        <w:rPr>
          <w:rFonts w:ascii="宋体" w:hAnsi="宋体" w:cs="宋体" w:eastAsia="宋体" w:hint="default"/>
        </w:rPr>
        <w:t>12</w:t>
      </w:r>
      <w:r>
        <w:rPr/>
        <w:t>个月，自</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31</w:t>
      </w:r>
      <w:r>
        <w:rPr/>
        <w:t>日。</w:t>
      </w:r>
    </w:p>
    <w:p>
      <w:pPr>
        <w:spacing w:line="240" w:lineRule="auto" w:before="11"/>
        <w:rPr>
          <w:rFonts w:ascii="宋体" w:hAnsi="宋体" w:cs="宋体" w:eastAsia="宋体" w:hint="default"/>
          <w:sz w:val="19"/>
          <w:szCs w:val="19"/>
        </w:rPr>
      </w:pPr>
    </w:p>
    <w:p>
      <w:pPr>
        <w:pStyle w:val="Heading3"/>
        <w:spacing w:line="468" w:lineRule="auto"/>
        <w:ind w:left="1133" w:right="5472"/>
        <w:jc w:val="left"/>
        <w:rPr>
          <w:b w:val="0"/>
          <w:bCs w:val="0"/>
        </w:rPr>
      </w:pPr>
      <w:bookmarkStart w:name="二、证券发行与上市情况" w:id="108"/>
      <w:bookmarkEnd w:id="108"/>
      <w:r>
        <w:rPr>
          <w:b w:val="0"/>
          <w:bCs w:val="0"/>
        </w:rPr>
      </w:r>
      <w:r>
        <w:rPr/>
        <w:t>二、证券发行与上市情况</w:t>
      </w:r>
      <w:r>
        <w:rPr>
          <w:w w:val="99"/>
        </w:rPr>
        <w:t> </w:t>
      </w:r>
      <w:bookmarkStart w:name="1、报告期内证券发行（不含优先股）情况" w:id="109"/>
      <w:bookmarkEnd w:id="109"/>
      <w:r>
        <w:rPr>
          <w:w w:val="99"/>
        </w:rPr>
      </w:r>
      <w:r>
        <w:rPr>
          <w:rFonts w:ascii="宋体" w:hAnsi="宋体" w:cs="宋体" w:eastAsia="宋体" w:hint="default"/>
          <w:w w:val="95"/>
        </w:rPr>
        <w:t>1</w:t>
      </w:r>
      <w:r>
        <w:rPr>
          <w:w w:val="95"/>
        </w:rPr>
        <w:t>、报告期内证券发行（不含优先股）情况</w:t>
      </w:r>
      <w:r>
        <w:rPr>
          <w:b w:val="0"/>
          <w:bCs w:val="0"/>
        </w:rPr>
      </w:r>
    </w:p>
    <w:p>
      <w:pPr>
        <w:pStyle w:val="BodyText"/>
        <w:spacing w:line="357" w:lineRule="auto" w:before="148"/>
        <w:ind w:left="1134" w:right="5232"/>
        <w:jc w:val="left"/>
      </w:pPr>
      <w:r>
        <w:rPr/>
        <w:t>□ 适用 √ 不适用 报告期内公司未发生证券发行（不含优先股）事项。</w:t>
      </w:r>
    </w:p>
    <w:p>
      <w:pPr>
        <w:spacing w:line="240" w:lineRule="auto" w:before="11"/>
        <w:rPr>
          <w:rFonts w:ascii="宋体" w:hAnsi="宋体" w:cs="宋体" w:eastAsia="宋体" w:hint="default"/>
          <w:sz w:val="19"/>
          <w:szCs w:val="19"/>
        </w:rPr>
      </w:pPr>
    </w:p>
    <w:p>
      <w:pPr>
        <w:pStyle w:val="Heading3"/>
        <w:spacing w:line="240" w:lineRule="auto"/>
        <w:ind w:left="1133" w:right="0"/>
        <w:jc w:val="both"/>
        <w:rPr>
          <w:b w:val="0"/>
          <w:bCs w:val="0"/>
        </w:rPr>
      </w:pPr>
      <w:bookmarkStart w:name="2、公司股份总数及股东结构的变动、公司资产和负债结构的变动情况说明" w:id="110"/>
      <w:bookmarkEnd w:id="110"/>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ind w:right="1873"/>
        <w:jc w:val="left"/>
      </w:pPr>
      <w:r>
        <w:rPr/>
        <w:t>□ 适用 √ 不适用 报告期内公司未发生股份总数及股东结构的变动、公司资产和负债结构的变动事项。</w:t>
      </w:r>
    </w:p>
    <w:p>
      <w:pPr>
        <w:spacing w:line="240" w:lineRule="auto" w:before="11"/>
        <w:rPr>
          <w:rFonts w:ascii="宋体" w:hAnsi="宋体" w:cs="宋体" w:eastAsia="宋体" w:hint="default"/>
          <w:sz w:val="19"/>
          <w:szCs w:val="19"/>
        </w:rPr>
      </w:pPr>
    </w:p>
    <w:p>
      <w:pPr>
        <w:pStyle w:val="Heading3"/>
        <w:spacing w:line="240" w:lineRule="auto"/>
        <w:ind w:left="1133" w:right="0"/>
        <w:jc w:val="both"/>
        <w:rPr>
          <w:b w:val="0"/>
          <w:bCs w:val="0"/>
        </w:rPr>
      </w:pPr>
      <w:bookmarkStart w:name="3、现存的内部职工股情况" w:id="111"/>
      <w:bookmarkEnd w:id="111"/>
      <w:r>
        <w:rPr>
          <w:b w:val="0"/>
          <w:bCs w:val="0"/>
        </w:rPr>
      </w:r>
      <w:r>
        <w:rPr>
          <w:rFonts w:ascii="宋体" w:hAnsi="宋体" w:cs="宋体" w:eastAsia="宋体" w:hint="default"/>
        </w:rPr>
        <w:t>3</w:t>
      </w:r>
      <w:r>
        <w:rPr/>
        <w:t>、现存的内部职工股情况</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right="0"/>
        <w:jc w:val="both"/>
      </w:pPr>
      <w:r>
        <w:rPr/>
        <w:t>□ 适用 √ 不适用</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3"/>
        <w:spacing w:line="585" w:lineRule="auto"/>
        <w:ind w:left="1133" w:right="5472"/>
        <w:jc w:val="left"/>
        <w:rPr>
          <w:b w:val="0"/>
          <w:bCs w:val="0"/>
        </w:rPr>
      </w:pPr>
      <w:r>
        <w:rPr/>
        <w:t>三、股东和实际控制人情况</w:t>
      </w:r>
      <w:r>
        <w:rPr>
          <w:w w:val="99"/>
        </w:rPr>
        <w:t> </w:t>
      </w:r>
      <w:bookmarkStart w:name="1、公司股东数量及持股情况" w:id="112"/>
      <w:bookmarkEnd w:id="112"/>
      <w:r>
        <w:rPr>
          <w:w w:val="99"/>
        </w:rPr>
      </w:r>
      <w:r>
        <w:rPr>
          <w:rFonts w:ascii="宋体" w:hAnsi="宋体" w:cs="宋体" w:eastAsia="宋体" w:hint="default"/>
          <w:w w:val="95"/>
        </w:rPr>
        <w:t>1</w:t>
      </w:r>
      <w:r>
        <w:rPr>
          <w:w w:val="95"/>
        </w:rPr>
        <w:t>、公司股东数量及持股情况</w:t>
      </w:r>
      <w:r>
        <w:rPr>
          <w:b w:val="0"/>
          <w:bCs w:val="0"/>
        </w:rPr>
      </w:r>
    </w:p>
    <w:p>
      <w:pPr>
        <w:spacing w:before="54"/>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1294"/>
        <w:gridCol w:w="836"/>
        <w:gridCol w:w="410"/>
        <w:gridCol w:w="850"/>
        <w:gridCol w:w="178"/>
        <w:gridCol w:w="956"/>
        <w:gridCol w:w="262"/>
        <w:gridCol w:w="872"/>
        <w:gridCol w:w="434"/>
        <w:gridCol w:w="559"/>
        <w:gridCol w:w="528"/>
        <w:gridCol w:w="606"/>
        <w:gridCol w:w="700"/>
        <w:gridCol w:w="139"/>
        <w:gridCol w:w="932"/>
      </w:tblGrid>
      <w:tr>
        <w:trPr>
          <w:trHeight w:val="162" w:hRule="exact"/>
        </w:trPr>
        <w:tc>
          <w:tcPr>
            <w:tcW w:w="1294" w:type="dxa"/>
            <w:vMerge w:val="restart"/>
            <w:tcBorders>
              <w:top w:val="single" w:sz="4" w:space="0" w:color="000000"/>
              <w:left w:val="single" w:sz="4" w:space="0" w:color="000000"/>
              <w:right w:val="single" w:sz="4" w:space="0" w:color="000000"/>
            </w:tcBorders>
            <w:shd w:val="clear" w:color="auto" w:fill="D2D2D2"/>
          </w:tcPr>
          <w:p>
            <w:pPr/>
          </w:p>
        </w:tc>
        <w:tc>
          <w:tcPr>
            <w:tcW w:w="83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5" w:right="0"/>
              <w:jc w:val="left"/>
              <w:rPr>
                <w:rFonts w:ascii="宋体" w:hAnsi="宋体" w:cs="宋体" w:eastAsia="宋体" w:hint="default"/>
                <w:sz w:val="21"/>
                <w:szCs w:val="21"/>
              </w:rPr>
            </w:pPr>
            <w:r>
              <w:rPr>
                <w:rFonts w:ascii="宋体"/>
                <w:sz w:val="21"/>
              </w:rPr>
              <w:t>5261</w:t>
            </w:r>
          </w:p>
        </w:tc>
        <w:tc>
          <w:tcPr>
            <w:tcW w:w="1439"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7" w:right="0"/>
              <w:jc w:val="left"/>
              <w:rPr>
                <w:rFonts w:ascii="宋体" w:hAnsi="宋体" w:cs="宋体" w:eastAsia="宋体" w:hint="default"/>
                <w:sz w:val="21"/>
                <w:szCs w:val="21"/>
              </w:rPr>
            </w:pPr>
            <w:r>
              <w:rPr>
                <w:rFonts w:ascii="宋体"/>
                <w:sz w:val="21"/>
              </w:rPr>
              <w:t>5302</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1" w:right="9"/>
              <w:jc w:val="both"/>
              <w:rPr>
                <w:rFonts w:ascii="宋体" w:hAnsi="宋体" w:cs="宋体" w:eastAsia="宋体" w:hint="default"/>
                <w:sz w:val="21"/>
                <w:szCs w:val="21"/>
              </w:rPr>
            </w:pPr>
            <w:r>
              <w:rPr>
                <w:rFonts w:ascii="宋体" w:hAnsi="宋体" w:cs="宋体" w:eastAsia="宋体" w:hint="default"/>
                <w:sz w:val="21"/>
                <w:szCs w:val="21"/>
              </w:rPr>
              <w:t>年度报告披露 日前上一月末 表决权恢复的 优先股股东总 </w:t>
            </w:r>
            <w:r>
              <w:rPr>
                <w:rFonts w:ascii="宋体" w:hAnsi="宋体" w:cs="宋体" w:eastAsia="宋体" w:hint="default"/>
                <w:spacing w:val="-29"/>
                <w:sz w:val="21"/>
                <w:szCs w:val="21"/>
              </w:rPr>
              <w:t>数（如有）（参</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见注</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z w:val="21"/>
                <w:szCs w:val="21"/>
              </w:rPr>
              <w:t>）</w:t>
            </w:r>
          </w:p>
        </w:tc>
        <w:tc>
          <w:tcPr>
            <w:tcW w:w="1071"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156" w:hRule="exact"/>
        </w:trPr>
        <w:tc>
          <w:tcPr>
            <w:tcW w:w="1294"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6"/>
              <w:ind w:left="11" w:right="23"/>
              <w:jc w:val="both"/>
              <w:rPr>
                <w:rFonts w:ascii="宋体" w:hAnsi="宋体" w:cs="宋体" w:eastAsia="宋体" w:hint="default"/>
                <w:sz w:val="21"/>
                <w:szCs w:val="21"/>
              </w:rPr>
            </w:pPr>
            <w:r>
              <w:rPr>
                <w:rFonts w:ascii="宋体" w:hAnsi="宋体" w:cs="宋体" w:eastAsia="宋体" w:hint="default"/>
                <w:sz w:val="21"/>
                <w:szCs w:val="21"/>
              </w:rPr>
              <w:t>报告期末表决 权恢复的优先 股股东总数</w:t>
            </w:r>
          </w:p>
          <w:p>
            <w:pPr>
              <w:pStyle w:val="TableParagraph"/>
              <w:spacing w:line="273" w:lineRule="auto" w:before="10"/>
              <w:ind w:left="11" w:right="9"/>
              <w:jc w:val="both"/>
              <w:rPr>
                <w:rFonts w:ascii="宋体" w:hAnsi="宋体" w:cs="宋体" w:eastAsia="宋体" w:hint="default"/>
                <w:sz w:val="21"/>
                <w:szCs w:val="21"/>
              </w:rPr>
            </w:pPr>
            <w:r>
              <w:rPr>
                <w:rFonts w:ascii="宋体" w:hAnsi="宋体" w:cs="宋体" w:eastAsia="宋体" w:hint="default"/>
                <w:spacing w:val="-29"/>
                <w:sz w:val="21"/>
                <w:szCs w:val="21"/>
              </w:rPr>
              <w:t>（如有）（参见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z w:val="21"/>
                <w:szCs w:val="21"/>
              </w:rPr>
              <w:t>）</w:t>
            </w: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71" w:type="dxa"/>
            <w:gridSpan w:val="2"/>
            <w:vMerge/>
            <w:tcBorders>
              <w:left w:val="single" w:sz="13" w:space="0" w:color="D2D2D2"/>
              <w:right w:val="single" w:sz="4" w:space="0" w:color="000000"/>
            </w:tcBorders>
          </w:tcPr>
          <w:p>
            <w:pPr/>
          </w:p>
        </w:tc>
      </w:tr>
      <w:tr>
        <w:trPr>
          <w:trHeight w:val="31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 w:right="155"/>
              <w:jc w:val="both"/>
              <w:rPr>
                <w:rFonts w:ascii="宋体" w:hAnsi="宋体" w:cs="宋体" w:eastAsia="宋体" w:hint="default"/>
                <w:sz w:val="21"/>
                <w:szCs w:val="21"/>
              </w:rPr>
            </w:pPr>
            <w:r>
              <w:rPr>
                <w:rFonts w:ascii="宋体" w:hAnsi="宋体" w:cs="宋体" w:eastAsia="宋体" w:hint="default"/>
                <w:sz w:val="21"/>
                <w:szCs w:val="21"/>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71" w:type="dxa"/>
            <w:gridSpan w:val="2"/>
            <w:vMerge/>
            <w:tcBorders>
              <w:left w:val="single" w:sz="13" w:space="0" w:color="D2D2D2"/>
              <w:right w:val="single" w:sz="4" w:space="0" w:color="000000"/>
            </w:tcBorders>
          </w:tcPr>
          <w:p>
            <w:pP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12"/>
              <w:jc w:val="left"/>
              <w:rPr>
                <w:rFonts w:ascii="宋体" w:hAnsi="宋体" w:cs="宋体" w:eastAsia="宋体" w:hint="default"/>
                <w:sz w:val="21"/>
                <w:szCs w:val="21"/>
              </w:rPr>
            </w:pPr>
            <w:r>
              <w:rPr>
                <w:rFonts w:ascii="宋体" w:hAnsi="宋体" w:cs="宋体" w:eastAsia="宋体" w:hint="default"/>
                <w:sz w:val="21"/>
                <w:szCs w:val="21"/>
              </w:rPr>
              <w:t>报告期末普通 股股东总数</w:t>
            </w:r>
          </w:p>
        </w:tc>
        <w:tc>
          <w:tcPr>
            <w:tcW w:w="836" w:type="dxa"/>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71" w:type="dxa"/>
            <w:gridSpan w:val="2"/>
            <w:vMerge/>
            <w:tcBorders>
              <w:left w:val="single" w:sz="13" w:space="0" w:color="D2D2D2"/>
              <w:right w:val="single" w:sz="4" w:space="0" w:color="000000"/>
            </w:tcBorders>
          </w:tcPr>
          <w:p>
            <w:pPr/>
          </w:p>
        </w:tc>
      </w:tr>
      <w:tr>
        <w:trPr>
          <w:trHeight w:val="31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71" w:type="dxa"/>
            <w:gridSpan w:val="2"/>
            <w:vMerge/>
            <w:tcBorders>
              <w:left w:val="single" w:sz="13" w:space="0" w:color="D2D2D2"/>
              <w:right w:val="single" w:sz="4" w:space="0" w:color="000000"/>
            </w:tcBorders>
          </w:tcPr>
          <w:p>
            <w:pPr/>
          </w:p>
        </w:tc>
      </w:tr>
      <w:tr>
        <w:trPr>
          <w:trHeight w:val="156" w:hRule="exact"/>
        </w:trPr>
        <w:tc>
          <w:tcPr>
            <w:tcW w:w="1294"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71" w:type="dxa"/>
            <w:gridSpan w:val="2"/>
            <w:vMerge/>
            <w:tcBorders>
              <w:left w:val="single" w:sz="13" w:space="0" w:color="D2D2D2"/>
              <w:right w:val="single" w:sz="4" w:space="0" w:color="000000"/>
            </w:tcBorders>
          </w:tcPr>
          <w:p>
            <w:pPr/>
          </w:p>
        </w:tc>
      </w:tr>
      <w:tr>
        <w:trPr>
          <w:trHeight w:val="167"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9" w:space="0" w:color="D2D2D2"/>
              <w:bottom w:val="single" w:sz="4" w:space="0" w:color="000000"/>
              <w:right w:val="single" w:sz="9" w:space="0" w:color="D2D2D2"/>
            </w:tcBorders>
          </w:tcPr>
          <w:p>
            <w:pPr/>
          </w:p>
        </w:tc>
        <w:tc>
          <w:tcPr>
            <w:tcW w:w="1439"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1071" w:type="dxa"/>
            <w:gridSpan w:val="2"/>
            <w:vMerge/>
            <w:tcBorders>
              <w:left w:val="single" w:sz="13" w:space="0" w:color="D2D2D2"/>
              <w:bottom w:val="single" w:sz="4" w:space="0" w:color="000000"/>
              <w:right w:val="single" w:sz="4" w:space="0" w:color="000000"/>
            </w:tcBorders>
          </w:tcPr>
          <w:p>
            <w:pPr/>
          </w:p>
        </w:tc>
      </w:tr>
      <w:tr>
        <w:trPr>
          <w:trHeight w:val="392"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798"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211" w:hRule="exact"/>
        </w:trPr>
        <w:tc>
          <w:tcPr>
            <w:tcW w:w="1294" w:type="dxa"/>
            <w:vMerge w:val="restart"/>
            <w:tcBorders>
              <w:top w:val="single" w:sz="4" w:space="0" w:color="000000"/>
              <w:left w:val="single" w:sz="4" w:space="0" w:color="000000"/>
              <w:right w:val="single" w:sz="4" w:space="0" w:color="000000"/>
            </w:tcBorders>
            <w:shd w:val="clear" w:color="auto" w:fill="D2D2D2"/>
          </w:tcPr>
          <w:p>
            <w:pPr/>
          </w:p>
        </w:tc>
        <w:tc>
          <w:tcPr>
            <w:tcW w:w="1247"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70" w:right="70"/>
              <w:jc w:val="both"/>
              <w:rPr>
                <w:rFonts w:ascii="宋体" w:hAnsi="宋体" w:cs="宋体" w:eastAsia="宋体" w:hint="default"/>
                <w:sz w:val="21"/>
                <w:szCs w:val="21"/>
              </w:rPr>
            </w:pPr>
            <w:r>
              <w:rPr>
                <w:rFonts w:ascii="宋体" w:hAnsi="宋体" w:cs="宋体" w:eastAsia="宋体" w:hint="default"/>
                <w:sz w:val="21"/>
                <w:szCs w:val="21"/>
              </w:rPr>
              <w:t>持有有限 售条件的 股份数量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36" w:right="36"/>
              <w:jc w:val="center"/>
              <w:rPr>
                <w:rFonts w:ascii="宋体" w:hAnsi="宋体" w:cs="宋体" w:eastAsia="宋体" w:hint="default"/>
                <w:sz w:val="21"/>
                <w:szCs w:val="21"/>
              </w:rPr>
            </w:pPr>
            <w:r>
              <w:rPr>
                <w:rFonts w:ascii="宋体" w:hAnsi="宋体" w:cs="宋体" w:eastAsia="宋体" w:hint="default"/>
                <w:sz w:val="21"/>
                <w:szCs w:val="21"/>
              </w:rPr>
              <w:t>持有无限售 条件的股份 数量</w:t>
            </w:r>
          </w:p>
        </w:tc>
        <w:tc>
          <w:tcPr>
            <w:tcW w:w="17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2"/>
              <w:ind w:left="144"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73"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1247"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15" w:right="103" w:hanging="210"/>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46" w:right="36" w:hanging="210"/>
              <w:jc w:val="left"/>
              <w:rPr>
                <w:rFonts w:ascii="宋体" w:hAnsi="宋体" w:cs="宋体" w:eastAsia="宋体" w:hint="default"/>
                <w:sz w:val="21"/>
                <w:szCs w:val="21"/>
              </w:rPr>
            </w:pPr>
            <w:r>
              <w:rPr>
                <w:rFonts w:ascii="宋体" w:hAnsi="宋体" w:cs="宋体" w:eastAsia="宋体" w:hint="default"/>
                <w:sz w:val="21"/>
                <w:szCs w:val="21"/>
              </w:rPr>
              <w:t>报告期末持 股数量</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6" w:right="36"/>
              <w:jc w:val="left"/>
              <w:rPr>
                <w:rFonts w:ascii="宋体" w:hAnsi="宋体" w:cs="宋体" w:eastAsia="宋体" w:hint="default"/>
                <w:sz w:val="21"/>
                <w:szCs w:val="21"/>
              </w:rPr>
            </w:pPr>
            <w:r>
              <w:rPr>
                <w:rFonts w:ascii="宋体" w:hAnsi="宋体" w:cs="宋体" w:eastAsia="宋体" w:hint="default"/>
                <w:sz w:val="21"/>
                <w:szCs w:val="21"/>
              </w:rPr>
              <w:t>报告期内增 减变动情况</w:t>
            </w:r>
          </w:p>
        </w:tc>
        <w:tc>
          <w:tcPr>
            <w:tcW w:w="993"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771" w:type="dxa"/>
            <w:gridSpan w:val="3"/>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0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4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8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50"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315" w:right="91" w:hanging="210"/>
              <w:jc w:val="left"/>
              <w:rPr>
                <w:rFonts w:ascii="宋体" w:hAnsi="宋体" w:cs="宋体" w:eastAsia="宋体" w:hint="default"/>
                <w:sz w:val="21"/>
                <w:szCs w:val="21"/>
              </w:rPr>
            </w:pPr>
            <w:r>
              <w:rPr>
                <w:rFonts w:ascii="宋体" w:hAnsi="宋体" w:cs="宋体" w:eastAsia="宋体" w:hint="default"/>
                <w:sz w:val="21"/>
                <w:szCs w:val="21"/>
              </w:rPr>
              <w:t>股份状 态</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1247"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38" w:type="dxa"/>
            <w:gridSpan w:val="2"/>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56"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78"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1247"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38" w:type="dxa"/>
            <w:gridSpan w:val="2"/>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1247" w:type="dxa"/>
            <w:gridSpan w:val="2"/>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38" w:type="dxa"/>
            <w:gridSpan w:val="2"/>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5.95pt;mso-position-horizontal-relative:page;mso-position-vertical-relative:page;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277"/>
                    <w:gridCol w:w="328"/>
                    <w:gridCol w:w="522"/>
                    <w:gridCol w:w="1134"/>
                    <w:gridCol w:w="1134"/>
                    <w:gridCol w:w="994"/>
                    <w:gridCol w:w="1134"/>
                    <w:gridCol w:w="420"/>
                    <w:gridCol w:w="430"/>
                    <w:gridCol w:w="920"/>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21"/>
                            <w:szCs w:val="21"/>
                          </w:rPr>
                        </w:pPr>
                        <w:r>
                          <w:rPr>
                            <w:rFonts w:ascii="宋体"/>
                            <w:sz w:val="21"/>
                          </w:rPr>
                          <w:t>17.84%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31,398,200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-8,166,800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30,298,6</w:t>
                        </w:r>
                      </w:p>
                      <w:p>
                        <w:pPr>
                          <w:pStyle w:val="TableParagraph"/>
                          <w:spacing w:line="240" w:lineRule="auto" w:before="38"/>
                          <w:ind w:right="20"/>
                          <w:jc w:val="right"/>
                          <w:rPr>
                            <w:rFonts w:ascii="宋体" w:hAnsi="宋体" w:cs="宋体" w:eastAsia="宋体" w:hint="default"/>
                            <w:sz w:val="21"/>
                            <w:szCs w:val="21"/>
                          </w:rPr>
                        </w:pPr>
                        <w:r>
                          <w:rPr>
                            <w:rFonts w:ascii="宋体"/>
                            <w:sz w:val="21"/>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1,099,550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21"/>
                            <w:szCs w:val="21"/>
                          </w:rPr>
                        </w:pPr>
                        <w:r>
                          <w:rPr>
                            <w:rFonts w:ascii="宋体"/>
                            <w:sz w:val="21"/>
                          </w:rPr>
                          <w:t>17.14%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30,161,800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-8,273,000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29,371,3</w:t>
                        </w:r>
                      </w:p>
                      <w:p>
                        <w:pPr>
                          <w:pStyle w:val="TableParagraph"/>
                          <w:spacing w:line="240" w:lineRule="auto" w:before="38"/>
                          <w:ind w:right="20"/>
                          <w:jc w:val="right"/>
                          <w:rPr>
                            <w:rFonts w:ascii="宋体" w:hAnsi="宋体" w:cs="宋体" w:eastAsia="宋体" w:hint="default"/>
                            <w:sz w:val="21"/>
                            <w:szCs w:val="21"/>
                          </w:rPr>
                        </w:pPr>
                        <w:r>
                          <w:rPr>
                            <w:rFonts w:ascii="宋体"/>
                            <w:sz w:val="21"/>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790,450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17,500,0</w:t>
                        </w:r>
                      </w:p>
                      <w:p>
                        <w:pPr>
                          <w:pStyle w:val="TableParagraph"/>
                          <w:spacing w:line="240" w:lineRule="auto" w:before="38"/>
                          <w:ind w:right="1"/>
                          <w:jc w:val="center"/>
                          <w:rPr>
                            <w:rFonts w:ascii="宋体" w:hAnsi="宋体" w:cs="宋体" w:eastAsia="宋体" w:hint="default"/>
                            <w:sz w:val="21"/>
                            <w:szCs w:val="21"/>
                          </w:rPr>
                        </w:pPr>
                        <w:r>
                          <w:rPr>
                            <w:rFonts w:ascii="宋体"/>
                            <w:sz w:val="21"/>
                          </w:rPr>
                          <w:t>00</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1"/>
                          <w:jc w:val="both"/>
                          <w:rPr>
                            <w:rFonts w:ascii="宋体" w:hAnsi="宋体" w:cs="宋体" w:eastAsia="宋体" w:hint="default"/>
                            <w:sz w:val="21"/>
                            <w:szCs w:val="21"/>
                          </w:rPr>
                        </w:pPr>
                        <w:r>
                          <w:rPr>
                            <w:rFonts w:ascii="宋体" w:hAnsi="宋体" w:cs="宋体" w:eastAsia="宋体" w:hint="default"/>
                            <w:sz w:val="21"/>
                            <w:szCs w:val="21"/>
                          </w:rPr>
                          <w:t>上海亨升投 资管理有限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191"/>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57" w:right="0"/>
                          <w:jc w:val="left"/>
                          <w:rPr>
                            <w:rFonts w:ascii="宋体" w:hAnsi="宋体" w:cs="宋体" w:eastAsia="宋体" w:hint="default"/>
                            <w:sz w:val="21"/>
                            <w:szCs w:val="21"/>
                          </w:rPr>
                        </w:pPr>
                        <w:r>
                          <w:rPr>
                            <w:rFonts w:ascii="宋体"/>
                            <w:sz w:val="21"/>
                          </w:rPr>
                          <w:t>8.22%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宋体" w:hAnsi="宋体" w:cs="宋体" w:eastAsia="宋体" w:hint="default"/>
                            <w:sz w:val="21"/>
                            <w:szCs w:val="21"/>
                          </w:rPr>
                        </w:pPr>
                        <w:r>
                          <w:rPr>
                            <w:rFonts w:ascii="宋体"/>
                            <w:sz w:val="21"/>
                          </w:rPr>
                          <w:t>14,473,000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-5,527,000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宋体" w:hAnsi="宋体" w:cs="宋体" w:eastAsia="宋体" w:hint="default"/>
                            <w:sz w:val="21"/>
                            <w:szCs w:val="21"/>
                          </w:rPr>
                        </w:pPr>
                        <w:r>
                          <w:rPr>
                            <w:rFonts w:ascii="宋体"/>
                            <w:sz w:val="21"/>
                          </w:rPr>
                          <w:t>14,473,000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宋正兴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0" w:right="0"/>
                          <w:jc w:val="left"/>
                          <w:rPr>
                            <w:rFonts w:ascii="宋体" w:hAnsi="宋体" w:cs="宋体" w:eastAsia="宋体" w:hint="default"/>
                            <w:sz w:val="21"/>
                            <w:szCs w:val="21"/>
                          </w:rPr>
                        </w:pPr>
                        <w:r>
                          <w:rPr>
                            <w:rFonts w:ascii="宋体"/>
                            <w:sz w:val="21"/>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8,270,823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8,270,823</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孙晶晶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21"/>
                            <w:szCs w:val="21"/>
                          </w:rPr>
                        </w:pPr>
                        <w:r>
                          <w:rPr>
                            <w:rFonts w:ascii="宋体"/>
                            <w:sz w:val="21"/>
                          </w:rPr>
                          <w:t>4.55%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6,000,00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2,000,000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5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周良丽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21"/>
                            <w:szCs w:val="21"/>
                          </w:rPr>
                        </w:pPr>
                        <w:r>
                          <w:rPr>
                            <w:rFonts w:ascii="宋体"/>
                            <w:sz w:val="21"/>
                          </w:rPr>
                          <w:t>2.53%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4,444,949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-3,089,7</w:t>
                        </w:r>
                      </w:p>
                      <w:p>
                        <w:pPr>
                          <w:pStyle w:val="TableParagraph"/>
                          <w:spacing w:line="240" w:lineRule="auto" w:before="78"/>
                          <w:ind w:left="22" w:right="0"/>
                          <w:jc w:val="left"/>
                          <w:rPr>
                            <w:rFonts w:ascii="宋体" w:hAnsi="宋体" w:cs="宋体" w:eastAsia="宋体" w:hint="default"/>
                            <w:sz w:val="21"/>
                            <w:szCs w:val="21"/>
                          </w:rPr>
                        </w:pPr>
                        <w:r>
                          <w:rPr>
                            <w:rFonts w:ascii="宋体"/>
                            <w:sz w:val="21"/>
                          </w:rPr>
                          <w:t>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4,444,949</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1"/>
                          <w:jc w:val="both"/>
                          <w:rPr>
                            <w:rFonts w:ascii="宋体" w:hAnsi="宋体" w:cs="宋体" w:eastAsia="宋体" w:hint="default"/>
                            <w:sz w:val="21"/>
                            <w:szCs w:val="21"/>
                          </w:rPr>
                        </w:pPr>
                        <w:r>
                          <w:rPr>
                            <w:rFonts w:ascii="宋体" w:hAnsi="宋体" w:cs="宋体" w:eastAsia="宋体" w:hint="default"/>
                            <w:sz w:val="21"/>
                            <w:szCs w:val="21"/>
                          </w:rPr>
                          <w:t>上海添惠投 资管理有限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3" w:right="191"/>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57" w:right="0"/>
                          <w:jc w:val="left"/>
                          <w:rPr>
                            <w:rFonts w:ascii="宋体" w:hAnsi="宋体" w:cs="宋体" w:eastAsia="宋体" w:hint="default"/>
                            <w:sz w:val="21"/>
                            <w:szCs w:val="21"/>
                          </w:rPr>
                        </w:pPr>
                        <w:r>
                          <w:rPr>
                            <w:rFonts w:ascii="宋体"/>
                            <w:sz w:val="21"/>
                          </w:rPr>
                          <w:t>1.41%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2,481,247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2,481,24</w:t>
                        </w:r>
                      </w:p>
                      <w:p>
                        <w:pPr>
                          <w:pStyle w:val="TableParagraph"/>
                          <w:spacing w:line="240" w:lineRule="auto" w:before="37"/>
                          <w:ind w:right="21"/>
                          <w:jc w:val="right"/>
                          <w:rPr>
                            <w:rFonts w:ascii="宋体" w:hAnsi="宋体" w:cs="宋体" w:eastAsia="宋体" w:hint="default"/>
                            <w:sz w:val="21"/>
                            <w:szCs w:val="21"/>
                          </w:rPr>
                        </w:pPr>
                        <w:r>
                          <w:rPr>
                            <w:rFonts w:ascii="宋体"/>
                            <w:sz w:val="21"/>
                          </w:rPr>
                          <w:t>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5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孟宪威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21"/>
                            <w:szCs w:val="21"/>
                          </w:rPr>
                        </w:pPr>
                        <w:r>
                          <w:rPr>
                            <w:rFonts w:ascii="宋体"/>
                            <w:sz w:val="21"/>
                          </w:rPr>
                          <w:t>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2,225,114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2,225,11</w:t>
                        </w:r>
                      </w:p>
                      <w:p>
                        <w:pPr>
                          <w:pStyle w:val="TableParagraph"/>
                          <w:spacing w:line="240" w:lineRule="auto" w:before="76"/>
                          <w:ind w:left="22" w:right="0"/>
                          <w:jc w:val="left"/>
                          <w:rPr>
                            <w:rFonts w:ascii="宋体" w:hAnsi="宋体" w:cs="宋体" w:eastAsia="宋体" w:hint="default"/>
                            <w:sz w:val="21"/>
                            <w:szCs w:val="21"/>
                          </w:rPr>
                        </w:pPr>
                        <w:r>
                          <w:rPr>
                            <w:rFonts w:ascii="宋体"/>
                            <w:sz w:val="21"/>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2,225,114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5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聂根红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21"/>
                            <w:szCs w:val="21"/>
                          </w:rPr>
                        </w:pPr>
                        <w:r>
                          <w:rPr>
                            <w:rFonts w:ascii="宋体"/>
                            <w:sz w:val="21"/>
                          </w:rPr>
                          <w:t>1.24%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2,180,442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2,180,44</w:t>
                        </w:r>
                      </w:p>
                      <w:p>
                        <w:pPr>
                          <w:pStyle w:val="TableParagraph"/>
                          <w:spacing w:line="240" w:lineRule="auto" w:before="78"/>
                          <w:ind w:left="22" w:right="0"/>
                          <w:jc w:val="left"/>
                          <w:rPr>
                            <w:rFonts w:ascii="宋体" w:hAnsi="宋体" w:cs="宋体" w:eastAsia="宋体" w:hint="default"/>
                            <w:sz w:val="21"/>
                            <w:szCs w:val="21"/>
                          </w:rPr>
                        </w:pPr>
                        <w:r>
                          <w:rPr>
                            <w:rFonts w:ascii="宋体"/>
                            <w:sz w:val="21"/>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2,180,442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33"/>
                          <w:jc w:val="left"/>
                          <w:rPr>
                            <w:rFonts w:ascii="宋体" w:hAnsi="宋体" w:cs="宋体" w:eastAsia="宋体" w:hint="default"/>
                            <w:sz w:val="21"/>
                            <w:szCs w:val="21"/>
                          </w:rPr>
                        </w:pPr>
                        <w:r>
                          <w:rPr>
                            <w:rFonts w:ascii="宋体" w:hAnsi="宋体" w:cs="宋体" w:eastAsia="宋体" w:hint="default"/>
                            <w:sz w:val="21"/>
                            <w:szCs w:val="21"/>
                          </w:rPr>
                          <w:t>广发证券资 管－工商银 行－广发恒 众·依米康</w:t>
                        </w:r>
                        <w:r>
                          <w:rPr>
                            <w:rFonts w:ascii="宋体" w:hAnsi="宋体" w:cs="宋体" w:eastAsia="宋体" w:hint="default"/>
                            <w:spacing w:val="-52"/>
                            <w:sz w:val="21"/>
                            <w:szCs w:val="21"/>
                          </w:rPr>
                          <w:t> </w:t>
                        </w:r>
                        <w:r>
                          <w:rPr>
                            <w:rFonts w:ascii="宋体" w:hAnsi="宋体" w:cs="宋体" w:eastAsia="宋体" w:hint="default"/>
                            <w:sz w:val="21"/>
                            <w:szCs w:val="21"/>
                          </w:rPr>
                          <w:t>1 </w:t>
                        </w:r>
                        <w:r>
                          <w:rPr>
                            <w:rFonts w:ascii="宋体" w:hAnsi="宋体" w:cs="宋体" w:eastAsia="宋体" w:hint="default"/>
                            <w:sz w:val="21"/>
                            <w:szCs w:val="21"/>
                          </w:rPr>
                          <w:t>号集合资产 管理计划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7"/>
                            <w:sz w:val="21"/>
                            <w:szCs w:val="21"/>
                          </w:rPr>
                          <w:t>基金、理财产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品等</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21"/>
                            <w:szCs w:val="21"/>
                          </w:rPr>
                        </w:pPr>
                        <w:r>
                          <w:rPr>
                            <w:rFonts w:ascii="宋体"/>
                            <w:sz w:val="21"/>
                          </w:rPr>
                          <w:t>1.09%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sz w:val="21"/>
                          </w:rPr>
                          <w:t>1,926,356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2" w:right="0"/>
                          <w:jc w:val="left"/>
                          <w:rPr>
                            <w:rFonts w:ascii="宋体" w:hAnsi="宋体" w:cs="宋体" w:eastAsia="宋体" w:hint="default"/>
                            <w:sz w:val="21"/>
                            <w:szCs w:val="21"/>
                          </w:rPr>
                        </w:pPr>
                        <w:r>
                          <w:rPr>
                            <w:rFonts w:ascii="宋体"/>
                            <w:sz w:val="21"/>
                          </w:rPr>
                          <w:t>1,926,35</w:t>
                        </w:r>
                      </w:p>
                      <w:p>
                        <w:pPr>
                          <w:pStyle w:val="TableParagraph"/>
                          <w:spacing w:line="240" w:lineRule="auto" w:before="76"/>
                          <w:ind w:left="22" w:right="0"/>
                          <w:jc w:val="left"/>
                          <w:rPr>
                            <w:rFonts w:ascii="宋体" w:hAnsi="宋体" w:cs="宋体" w:eastAsia="宋体" w:hint="default"/>
                            <w:sz w:val="21"/>
                            <w:szCs w:val="21"/>
                          </w:rPr>
                        </w:pPr>
                        <w:r>
                          <w:rPr>
                            <w:rFonts w:ascii="宋体"/>
                            <w:sz w:val="21"/>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sz w:val="21"/>
                          </w:rPr>
                          <w:t>1,926,356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1026"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3" w:right="62" w:firstLine="51"/>
                          <w:jc w:val="left"/>
                          <w:rPr>
                            <w:rFonts w:ascii="宋体" w:hAnsi="宋体" w:cs="宋体" w:eastAsia="宋体" w:hint="default"/>
                            <w:sz w:val="21"/>
                            <w:szCs w:val="21"/>
                          </w:rPr>
                        </w:pPr>
                        <w:r>
                          <w:rPr>
                            <w:rFonts w:ascii="宋体" w:hAnsi="宋体" w:cs="宋体" w:eastAsia="宋体" w:hint="default"/>
                            <w:sz w:val="21"/>
                            <w:szCs w:val="21"/>
                          </w:rPr>
                          <w:t>战略投资者或一般法人因 配售新股成为前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w:t>
                        </w:r>
                      </w:p>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的情况（如有</w:t>
                        </w:r>
                        <w:r>
                          <w:rPr>
                            <w:rFonts w:ascii="宋体" w:hAnsi="宋体" w:cs="宋体" w:eastAsia="宋体" w:hint="default"/>
                            <w:spacing w:val="-105"/>
                            <w:sz w:val="21"/>
                            <w:szCs w:val="21"/>
                          </w:rPr>
                          <w:t>）</w:t>
                        </w:r>
                        <w:r>
                          <w:rPr>
                            <w:rFonts w:ascii="宋体" w:hAnsi="宋体" w:cs="宋体" w:eastAsia="宋体" w:hint="default"/>
                            <w:sz w:val="21"/>
                            <w:szCs w:val="21"/>
                          </w:rPr>
                          <w:t>（参见注</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7016"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无</w:t>
                        </w:r>
                      </w:p>
                      <w:p>
                        <w:pPr>
                          <w:pStyle w:val="TableParagraph"/>
                          <w:spacing w:line="240" w:lineRule="auto" w:before="38"/>
                          <w:ind w:left="-174"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473" w:hRule="exact"/>
                    </w:trPr>
                    <w:tc>
                      <w:tcPr>
                        <w:tcW w:w="2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6" w:type="dxa"/>
                        <w:gridSpan w:val="9"/>
                        <w:vMerge w:val="restart"/>
                        <w:tcBorders>
                          <w:top w:val="single" w:sz="4" w:space="0" w:color="000000"/>
                          <w:left w:val="single" w:sz="10" w:space="0" w:color="D2D2D2"/>
                          <w:right w:val="single" w:sz="4" w:space="0" w:color="000000"/>
                        </w:tcBorders>
                      </w:tcPr>
                      <w:p>
                        <w:pPr>
                          <w:pStyle w:val="TableParagraph"/>
                          <w:spacing w:line="273" w:lineRule="auto" w:before="26"/>
                          <w:ind w:left="15" w:right="51"/>
                          <w:jc w:val="left"/>
                          <w:rPr>
                            <w:rFonts w:ascii="宋体" w:hAnsi="宋体" w:cs="宋体" w:eastAsia="宋体" w:hint="default"/>
                            <w:sz w:val="21"/>
                            <w:szCs w:val="21"/>
                          </w:rPr>
                        </w:pPr>
                        <w:r>
                          <w:rPr>
                            <w:rFonts w:ascii="宋体" w:hAnsi="宋体" w:cs="宋体" w:eastAsia="宋体" w:hint="default"/>
                            <w:spacing w:val="-3"/>
                            <w:sz w:val="21"/>
                            <w:szCs w:val="21"/>
                          </w:rPr>
                          <w:t>上述股东中孙屹峥、张菀为夫妻关系，孙晶晶为孙屹峥夫妇的女儿，孙屹峥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张菀、孙晶晶为一致行动人；宋正兴、叶春娥为夫妻关系，宋丽娜为宋正兴 夫妇的女儿，宋正兴、叶春娥、宋丽娜为一致行动人。除此以外，公司未知 </w:t>
                        </w:r>
                        <w:r>
                          <w:rPr>
                            <w:rFonts w:ascii="宋体" w:hAnsi="宋体" w:cs="宋体" w:eastAsia="宋体" w:hint="default"/>
                            <w:spacing w:val="-3"/>
                            <w:sz w:val="21"/>
                            <w:szCs w:val="21"/>
                          </w:rPr>
                          <w:t>其他股东之间是否存在关联关系，也未知是否属于《上市公司收购管理办法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规定的一致行动人。</w:t>
                        </w:r>
                      </w:p>
                    </w:tc>
                  </w:tr>
                  <w:tr>
                    <w:trPr>
                      <w:trHeight w:val="704" w:hRule="exact"/>
                    </w:trPr>
                    <w:tc>
                      <w:tcPr>
                        <w:tcW w:w="255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745" w:right="117" w:hanging="631"/>
                          <w:jc w:val="left"/>
                          <w:rPr>
                            <w:rFonts w:ascii="宋体" w:hAnsi="宋体" w:cs="宋体" w:eastAsia="宋体" w:hint="default"/>
                            <w:sz w:val="21"/>
                            <w:szCs w:val="21"/>
                          </w:rPr>
                        </w:pPr>
                        <w:r>
                          <w:rPr>
                            <w:rFonts w:ascii="宋体" w:hAnsi="宋体" w:cs="宋体" w:eastAsia="宋体" w:hint="default"/>
                            <w:sz w:val="21"/>
                            <w:szCs w:val="21"/>
                          </w:rPr>
                          <w:t>上述股东关联关系或一致 行动的说明</w:t>
                        </w:r>
                      </w:p>
                    </w:tc>
                    <w:tc>
                      <w:tcPr>
                        <w:tcW w:w="7016" w:type="dxa"/>
                        <w:gridSpan w:val="9"/>
                        <w:vMerge/>
                        <w:tcBorders>
                          <w:left w:val="single" w:sz="10" w:space="0" w:color="D2D2D2"/>
                          <w:right w:val="single" w:sz="4" w:space="0" w:color="000000"/>
                        </w:tcBorders>
                      </w:tcPr>
                      <w:p>
                        <w:pPr/>
                      </w:p>
                    </w:tc>
                  </w:tr>
                  <w:tr>
                    <w:trPr>
                      <w:trHeight w:val="473" w:hRule="exact"/>
                    </w:trPr>
                    <w:tc>
                      <w:tcPr>
                        <w:tcW w:w="2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6" w:type="dxa"/>
                        <w:gridSpan w:val="9"/>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206" w:hRule="exact"/>
                    </w:trPr>
                    <w:tc>
                      <w:tcPr>
                        <w:tcW w:w="288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78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90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1" w:hRule="exact"/>
                    </w:trPr>
                    <w:tc>
                      <w:tcPr>
                        <w:tcW w:w="288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784"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10"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904"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3"/>
                        <w:vMerge/>
                        <w:tcBorders>
                          <w:left w:val="single" w:sz="4" w:space="0" w:color="000000"/>
                          <w:bottom w:val="nil" w:sz="6" w:space="0" w:color="auto"/>
                          <w:right w:val="single" w:sz="4" w:space="0" w:color="000000"/>
                        </w:tcBorders>
                        <w:shd w:val="clear" w:color="auto" w:fill="D2D2D2"/>
                      </w:tcPr>
                      <w:p>
                        <w:pPr/>
                      </w:p>
                    </w:tc>
                    <w:tc>
                      <w:tcPr>
                        <w:tcW w:w="3784" w:type="dxa"/>
                        <w:gridSpan w:val="4"/>
                        <w:vMerge/>
                        <w:tcBorders>
                          <w:left w:val="single" w:sz="4" w:space="0" w:color="000000"/>
                          <w:bottom w:val="nil" w:sz="6" w:space="0" w:color="auto"/>
                          <w:right w:val="single" w:sz="4" w:space="0" w:color="000000"/>
                        </w:tcBorders>
                        <w:shd w:val="clear" w:color="auto" w:fill="D2D2D2"/>
                      </w:tcPr>
                      <w:p>
                        <w:pPr/>
                      </w:p>
                    </w:tc>
                    <w:tc>
                      <w:tcPr>
                        <w:tcW w:w="15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351"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07" w:hRule="exact"/>
                    </w:trPr>
                    <w:tc>
                      <w:tcPr>
                        <w:tcW w:w="288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78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554"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4" w:right="0"/>
                          <w:jc w:val="left"/>
                          <w:rPr>
                            <w:rFonts w:ascii="宋体" w:hAnsi="宋体" w:cs="宋体" w:eastAsia="宋体" w:hint="default"/>
                            <w:sz w:val="21"/>
                            <w:szCs w:val="21"/>
                          </w:rPr>
                        </w:pPr>
                        <w:r>
                          <w:rPr>
                            <w:rFonts w:ascii="宋体" w:hAnsi="宋体" w:cs="宋体" w:eastAsia="宋体" w:hint="default"/>
                            <w:sz w:val="21"/>
                            <w:szCs w:val="21"/>
                          </w:rPr>
                          <w:t>上海亨升投资管理有限公司</w:t>
                        </w:r>
                      </w:p>
                    </w:tc>
                    <w:tc>
                      <w:tcPr>
                        <w:tcW w:w="37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14,473,000</w:t>
                        </w:r>
                      </w:p>
                    </w:tc>
                    <w:tc>
                      <w:tcPr>
                        <w:tcW w:w="1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5" w:right="0"/>
                          <w:jc w:val="left"/>
                          <w:rPr>
                            <w:rFonts w:ascii="宋体" w:hAnsi="宋体" w:cs="宋体" w:eastAsia="宋体" w:hint="default"/>
                            <w:sz w:val="21"/>
                            <w:szCs w:val="21"/>
                          </w:rPr>
                        </w:pPr>
                        <w:r>
                          <w:rPr>
                            <w:rFonts w:ascii="宋体"/>
                            <w:sz w:val="21"/>
                          </w:rPr>
                          <w:t>14,473,000</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周良丽</w:t>
                        </w:r>
                      </w:p>
                    </w:tc>
                    <w:tc>
                      <w:tcPr>
                        <w:tcW w:w="37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4,444,949</w:t>
                        </w:r>
                      </w:p>
                    </w:tc>
                    <w:tc>
                      <w:tcPr>
                        <w:tcW w:w="1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7" w:right="0"/>
                          <w:jc w:val="left"/>
                          <w:rPr>
                            <w:rFonts w:ascii="宋体" w:hAnsi="宋体" w:cs="宋体" w:eastAsia="宋体" w:hint="default"/>
                            <w:sz w:val="21"/>
                            <w:szCs w:val="21"/>
                          </w:rPr>
                        </w:pPr>
                        <w:r>
                          <w:rPr>
                            <w:rFonts w:ascii="宋体"/>
                            <w:sz w:val="21"/>
                          </w:rPr>
                          <w:t>4,444,949</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孟宪威</w:t>
                        </w:r>
                      </w:p>
                    </w:tc>
                    <w:tc>
                      <w:tcPr>
                        <w:tcW w:w="37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2,225,114</w:t>
                        </w:r>
                      </w:p>
                    </w:tc>
                    <w:tc>
                      <w:tcPr>
                        <w:tcW w:w="1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7" w:right="0"/>
                          <w:jc w:val="left"/>
                          <w:rPr>
                            <w:rFonts w:ascii="宋体" w:hAnsi="宋体" w:cs="宋体" w:eastAsia="宋体" w:hint="default"/>
                            <w:sz w:val="21"/>
                            <w:szCs w:val="21"/>
                          </w:rPr>
                        </w:pPr>
                        <w:r>
                          <w:rPr>
                            <w:rFonts w:ascii="宋体"/>
                            <w:sz w:val="21"/>
                          </w:rPr>
                          <w:t>2,225,114</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line="312" w:lineRule="exact"/>
        <w:ind w:left="369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50.3pt;height:15.6pt;mso-position-horizontal-relative:char;mso-position-vertical-relative:line" coordorigin="0,0" coordsize="7006,312">
            <v:group style="position:absolute;left:0;top:0;width:7006;height:312" coordorigin="0,0" coordsize="7006,312">
              <v:shape style="position:absolute;left:0;top:0;width:7006;height:312" coordorigin="0,0" coordsize="7006,312" path="m0,312l7005,312,7005,0,0,0,0,312xe" filled="true" fillcolor="#ffffff" stroked="false">
                <v:path arrowok="t"/>
                <v:fill type="solid"/>
              </v:shape>
            </v:group>
          </v:group>
        </w:pict>
      </w:r>
      <w:r>
        <w:rPr>
          <w:rFonts w:ascii="宋体" w:hAnsi="宋体" w:cs="宋体" w:eastAsia="宋体" w:hint="default"/>
          <w:position w:val="-5"/>
          <w:sz w:val="20"/>
          <w:szCs w:val="20"/>
        </w:rPr>
      </w:r>
    </w:p>
    <w:p>
      <w:pPr>
        <w:spacing w:before="35"/>
        <w:ind w:left="0" w:right="112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35"/>
        <w:ind w:left="0" w:right="1126"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80"/>
        <w:gridCol w:w="3784"/>
        <w:gridCol w:w="1554"/>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聂根红</w:t>
            </w:r>
          </w:p>
        </w:tc>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2,180,442</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2,180,442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孙晶晶</w:t>
            </w:r>
          </w:p>
        </w:tc>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2,000,000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2,000,000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9" w:right="68" w:hanging="1"/>
              <w:jc w:val="center"/>
              <w:rPr>
                <w:rFonts w:ascii="宋体" w:hAnsi="宋体" w:cs="宋体" w:eastAsia="宋体" w:hint="default"/>
                <w:sz w:val="21"/>
                <w:szCs w:val="21"/>
              </w:rPr>
            </w:pPr>
            <w:r>
              <w:rPr>
                <w:rFonts w:ascii="宋体" w:hAnsi="宋体" w:cs="宋体" w:eastAsia="宋体" w:hint="default"/>
                <w:sz w:val="21"/>
                <w:szCs w:val="21"/>
              </w:rPr>
              <w:t>广发证券资管－工商银行－广 发恒众·依米康</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号集合资产 管理计划</w:t>
            </w:r>
          </w:p>
        </w:tc>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1,926,356</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1,926,356</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9" w:right="69" w:hanging="210"/>
              <w:jc w:val="left"/>
              <w:rPr>
                <w:rFonts w:ascii="宋体" w:hAnsi="宋体" w:cs="宋体" w:eastAsia="宋体" w:hint="default"/>
                <w:sz w:val="21"/>
                <w:szCs w:val="21"/>
              </w:rPr>
            </w:pPr>
            <w:r>
              <w:rPr>
                <w:rFonts w:ascii="宋体" w:hAnsi="宋体" w:cs="宋体" w:eastAsia="宋体" w:hint="default"/>
                <w:sz w:val="21"/>
                <w:szCs w:val="21"/>
              </w:rPr>
              <w:t>工银瑞信投资－工商银行－中 国工商银行股份有限公司</w:t>
            </w:r>
          </w:p>
        </w:tc>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1,602,000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1,602,000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孙屹峥</w:t>
            </w:r>
          </w:p>
        </w:tc>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1,099,550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1,099,550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徐朋</w:t>
            </w:r>
          </w:p>
        </w:tc>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1,016,600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1,016,600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7"/>
              <w:jc w:val="both"/>
              <w:rPr>
                <w:rFonts w:ascii="宋体" w:hAnsi="宋体" w:cs="宋体" w:eastAsia="宋体" w:hint="default"/>
                <w:sz w:val="21"/>
                <w:szCs w:val="21"/>
              </w:rPr>
            </w:pPr>
            <w:r>
              <w:rPr>
                <w:rFonts w:ascii="宋体" w:hAnsi="宋体" w:cs="宋体" w:eastAsia="宋体" w:hint="default"/>
                <w:sz w:val="21"/>
                <w:szCs w:val="21"/>
              </w:rPr>
              <w:t>华润深国投信托有限公司－民 森</w:t>
            </w:r>
            <w:r>
              <w:rPr>
                <w:rFonts w:ascii="宋体" w:hAnsi="宋体" w:cs="宋体" w:eastAsia="宋体" w:hint="default"/>
                <w:spacing w:val="-54"/>
                <w:sz w:val="21"/>
                <w:szCs w:val="21"/>
              </w:rPr>
              <w:t> </w:t>
            </w: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z w:val="21"/>
                <w:szCs w:val="21"/>
              </w:rPr>
              <w:t>号证券投资集合资金信托 计划</w:t>
            </w:r>
          </w:p>
        </w:tc>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962,676</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962,676</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名无限售流通股股东之</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pacing w:val="-3"/>
                <w:sz w:val="21"/>
                <w:szCs w:val="21"/>
              </w:rPr>
              <w:t>间，以及前</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名无限售流通股</w:t>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z w:val="21"/>
                <w:szCs w:val="21"/>
              </w:rPr>
              <w:t>股东和前</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名股东之间关联关 系或一致行动的说明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2"/>
              <w:jc w:val="both"/>
              <w:rPr>
                <w:rFonts w:ascii="宋体" w:hAnsi="宋体" w:cs="宋体" w:eastAsia="宋体" w:hint="default"/>
                <w:sz w:val="21"/>
                <w:szCs w:val="21"/>
              </w:rPr>
            </w:pPr>
            <w:r>
              <w:rPr>
                <w:rFonts w:ascii="宋体" w:hAnsi="宋体" w:cs="宋体" w:eastAsia="宋体" w:hint="default"/>
                <w:spacing w:val="-3"/>
                <w:sz w:val="21"/>
                <w:szCs w:val="21"/>
              </w:rPr>
              <w:t>上述股东中孙晶晶为孙屹峥的女儿，为一致行动人；除此以外，公司未知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其他股东之间是否存在关联关系，也未知是否属于《上市公司收购管理办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法》规定的一致行动人。</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17"/>
              <w:jc w:val="left"/>
              <w:rPr>
                <w:rFonts w:ascii="宋体" w:hAnsi="宋体" w:cs="宋体" w:eastAsia="宋体" w:hint="default"/>
                <w:sz w:val="21"/>
                <w:szCs w:val="21"/>
              </w:rPr>
            </w:pPr>
            <w:r>
              <w:rPr>
                <w:rFonts w:ascii="宋体" w:hAnsi="宋体" w:cs="宋体" w:eastAsia="宋体" w:hint="default"/>
                <w:sz w:val="21"/>
                <w:szCs w:val="21"/>
              </w:rPr>
              <w:t>参与融资融券业务股东情况说 </w:t>
            </w:r>
            <w:r>
              <w:rPr>
                <w:rFonts w:ascii="宋体" w:hAnsi="宋体" w:cs="宋体" w:eastAsia="宋体" w:hint="default"/>
                <w:spacing w:val="-12"/>
                <w:sz w:val="21"/>
                <w:szCs w:val="21"/>
              </w:rPr>
              <w:t>明（如有）（参见注</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公司股东聂根红通过普通证券账户持有</w:t>
            </w:r>
            <w:r>
              <w:rPr>
                <w:rFonts w:ascii="宋体" w:hAnsi="宋体" w:cs="宋体" w:eastAsia="宋体" w:hint="default"/>
                <w:spacing w:val="-52"/>
                <w:sz w:val="21"/>
                <w:szCs w:val="21"/>
              </w:rPr>
              <w:t> </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股</w:t>
            </w:r>
            <w:r>
              <w:rPr>
                <w:rFonts w:ascii="宋体" w:hAnsi="宋体" w:cs="宋体" w:eastAsia="宋体" w:hint="default"/>
                <w:spacing w:val="-89"/>
                <w:sz w:val="21"/>
                <w:szCs w:val="21"/>
              </w:rPr>
              <w:t>，</w:t>
            </w:r>
            <w:r>
              <w:rPr>
                <w:rFonts w:ascii="宋体" w:hAnsi="宋体" w:cs="宋体" w:eastAsia="宋体" w:hint="default"/>
                <w:spacing w:val="-2"/>
                <w:sz w:val="21"/>
                <w:szCs w:val="21"/>
              </w:rPr>
              <w:t>通</w:t>
            </w:r>
            <w:r>
              <w:rPr>
                <w:rFonts w:ascii="宋体" w:hAnsi="宋体" w:cs="宋体" w:eastAsia="宋体" w:hint="default"/>
                <w:sz w:val="21"/>
                <w:szCs w:val="21"/>
              </w:rPr>
              <w:t>过西部证券股份有限公司</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客户信用交易担保证券账户持股</w:t>
            </w:r>
            <w:r>
              <w:rPr>
                <w:rFonts w:ascii="宋体" w:hAnsi="宋体" w:cs="宋体" w:eastAsia="宋体" w:hint="default"/>
                <w:spacing w:val="-52"/>
                <w:sz w:val="21"/>
                <w:szCs w:val="21"/>
              </w:rPr>
              <w:t> </w:t>
            </w:r>
            <w:r>
              <w:rPr>
                <w:rFonts w:ascii="宋体" w:hAnsi="宋体" w:cs="宋体" w:eastAsia="宋体" w:hint="default"/>
                <w:sz w:val="21"/>
                <w:szCs w:val="21"/>
              </w:rPr>
              <w:t>2,180,442</w:t>
            </w:r>
            <w:r>
              <w:rPr>
                <w:rFonts w:ascii="宋体" w:hAnsi="宋体" w:cs="宋体" w:eastAsia="宋体" w:hint="default"/>
                <w:spacing w:val="-52"/>
                <w:sz w:val="21"/>
                <w:szCs w:val="21"/>
              </w:rPr>
              <w:t> </w:t>
            </w:r>
            <w:r>
              <w:rPr>
                <w:rFonts w:ascii="宋体" w:hAnsi="宋体" w:cs="宋体" w:eastAsia="宋体" w:hint="default"/>
                <w:spacing w:val="-5"/>
                <w:sz w:val="21"/>
                <w:szCs w:val="21"/>
              </w:rPr>
              <w:t>股，实际合计持有</w:t>
            </w:r>
            <w:r>
              <w:rPr>
                <w:rFonts w:ascii="宋体" w:hAnsi="宋体" w:cs="宋体" w:eastAsia="宋体" w:hint="default"/>
                <w:spacing w:val="-52"/>
                <w:sz w:val="21"/>
                <w:szCs w:val="21"/>
              </w:rPr>
              <w:t> </w:t>
            </w:r>
            <w:r>
              <w:rPr>
                <w:rFonts w:ascii="宋体" w:hAnsi="宋体" w:cs="宋体" w:eastAsia="宋体" w:hint="default"/>
                <w:sz w:val="21"/>
                <w:szCs w:val="21"/>
              </w:rPr>
              <w:t>2,180,442 </w:t>
            </w:r>
            <w:r>
              <w:rPr>
                <w:rFonts w:ascii="宋体" w:hAnsi="宋体" w:cs="宋体" w:eastAsia="宋体" w:hint="default"/>
                <w:sz w:val="21"/>
                <w:szCs w:val="21"/>
              </w:rPr>
              <w:t>股。</w:t>
            </w:r>
          </w:p>
        </w:tc>
      </w:tr>
    </w:tbl>
    <w:p>
      <w:pPr>
        <w:spacing w:line="240" w:lineRule="auto" w:before="0"/>
        <w:rPr>
          <w:rFonts w:ascii="宋体" w:hAnsi="宋体" w:cs="宋体" w:eastAsia="宋体" w:hint="default"/>
          <w:sz w:val="20"/>
          <w:szCs w:val="20"/>
        </w:rPr>
      </w:pPr>
    </w:p>
    <w:p>
      <w:pPr>
        <w:pStyle w:val="Heading3"/>
        <w:spacing w:line="240" w:lineRule="auto" w:before="172"/>
        <w:ind w:right="1033"/>
        <w:jc w:val="left"/>
        <w:rPr>
          <w:b w:val="0"/>
          <w:bCs w:val="0"/>
        </w:rPr>
      </w:pPr>
      <w:r>
        <w:rPr/>
        <w:t>公司前</w:t>
      </w:r>
      <w:r>
        <w:rPr>
          <w:spacing w:val="-69"/>
        </w:rPr>
        <w:t> </w:t>
      </w:r>
      <w:r>
        <w:rPr>
          <w:rFonts w:ascii="宋体" w:hAnsi="宋体" w:cs="宋体" w:eastAsia="宋体" w:hint="default"/>
        </w:rPr>
        <w:t>10</w:t>
      </w:r>
      <w:r>
        <w:rPr>
          <w:rFonts w:ascii="宋体" w:hAnsi="宋体" w:cs="宋体" w:eastAsia="宋体" w:hint="default"/>
          <w:spacing w:val="-70"/>
        </w:rPr>
        <w:t> </w:t>
      </w:r>
      <w:r>
        <w:rPr/>
        <w:t>名普通股股东、前</w:t>
      </w:r>
      <w:r>
        <w:rPr>
          <w:spacing w:val="-68"/>
        </w:rPr>
        <w:t> </w:t>
      </w:r>
      <w:r>
        <w:rPr>
          <w:rFonts w:ascii="宋体" w:hAnsi="宋体" w:cs="宋体" w:eastAsia="宋体" w:hint="default"/>
        </w:rPr>
        <w:t>10</w:t>
      </w:r>
      <w:r>
        <w:rPr>
          <w:rFonts w:ascii="宋体" w:hAnsi="宋体" w:cs="宋体" w:eastAsia="宋体" w:hint="default"/>
          <w:spacing w:val="-70"/>
        </w:rPr>
        <w:t> </w:t>
      </w:r>
      <w:r>
        <w:rPr/>
        <w:t>名无限售条件普通股股东在报告期内是否进行约定购回交易</w:t>
      </w:r>
      <w:r>
        <w:rPr>
          <w:b w:val="0"/>
          <w:bCs w:val="0"/>
        </w:rPr>
      </w:r>
    </w:p>
    <w:p>
      <w:pPr>
        <w:pStyle w:val="BodyText"/>
        <w:spacing w:line="240" w:lineRule="auto" w:before="193"/>
        <w:ind w:left="1134" w:right="1033"/>
        <w:jc w:val="left"/>
      </w:pPr>
      <w:r>
        <w:rPr/>
        <w:t>□ 是 √ 否</w:t>
      </w:r>
    </w:p>
    <w:p>
      <w:pPr>
        <w:pStyle w:val="BodyText"/>
        <w:spacing w:line="585" w:lineRule="auto" w:before="194"/>
        <w:ind w:right="1153"/>
        <w:jc w:val="left"/>
        <w:rPr>
          <w:rFonts w:ascii="宋体" w:hAnsi="宋体" w:cs="宋体" w:eastAsia="宋体" w:hint="default"/>
        </w:rPr>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名无限售条件普通股股东在报告期内未进行约定购回交易。 </w:t>
      </w:r>
      <w:bookmarkStart w:name="2、公司控股股东情况" w:id="113"/>
      <w:bookmarkEnd w:id="113"/>
      <w:r>
        <w:rPr/>
      </w:r>
      <w:r>
        <w:rPr>
          <w:rFonts w:ascii="宋体" w:hAnsi="宋体" w:cs="宋体" w:eastAsia="宋体" w:hint="default"/>
          <w:b/>
          <w:bCs/>
        </w:rPr>
        <w:t>2</w:t>
      </w:r>
      <w:r>
        <w:rPr>
          <w:rFonts w:ascii="宋体" w:hAnsi="宋体" w:cs="宋体" w:eastAsia="宋体" w:hint="default"/>
          <w:b/>
          <w:bCs/>
        </w:rPr>
        <w:t>、公司控股股东情况</w:t>
      </w:r>
      <w:r>
        <w:rPr>
          <w:rFonts w:ascii="宋体" w:hAnsi="宋体" w:cs="宋体" w:eastAsia="宋体" w:hint="default"/>
        </w:rPr>
      </w:r>
    </w:p>
    <w:p>
      <w:pPr>
        <w:pStyle w:val="BodyText"/>
        <w:spacing w:line="388" w:lineRule="auto" w:before="109"/>
        <w:ind w:right="7873"/>
        <w:jc w:val="left"/>
      </w:pPr>
      <w:r>
        <w:rPr/>
        <w:t>控股股东性质：自然人控股 控股股东类型：自然人</w:t>
      </w:r>
    </w:p>
    <w:p>
      <w:pPr>
        <w:pStyle w:val="BodyText"/>
        <w:spacing w:line="240" w:lineRule="auto" w:before="44"/>
        <w:ind w:left="1134" w:right="1033"/>
        <w:jc w:val="left"/>
      </w:pPr>
      <w:r>
        <w:rPr/>
        <w:t>公司控股股东为孙屹峥、张菀夫妇（合计持有</w:t>
      </w:r>
      <w:r>
        <w:rPr>
          <w:spacing w:val="-60"/>
        </w:rPr>
        <w:t> </w:t>
      </w:r>
      <w:r>
        <w:rPr>
          <w:rFonts w:ascii="宋体" w:hAnsi="宋体" w:cs="宋体" w:eastAsia="宋体" w:hint="default"/>
        </w:rPr>
        <w:t>34.98%</w:t>
      </w:r>
      <w:r>
        <w:rPr/>
        <w:t>公司股份</w:t>
      </w:r>
      <w:r>
        <w:rPr>
          <w:spacing w:val="-120"/>
        </w:rPr>
        <w:t>）</w:t>
      </w:r>
      <w:r>
        <w:rPr/>
        <w:t>，具体情况如下：</w:t>
      </w:r>
    </w:p>
    <w:p>
      <w:pPr>
        <w:spacing w:line="240" w:lineRule="auto" w:before="10"/>
        <w:rPr>
          <w:rFonts w:ascii="宋体" w:hAnsi="宋体" w:cs="宋体" w:eastAsia="宋体" w:hint="default"/>
          <w:sz w:val="11"/>
          <w:szCs w:val="11"/>
        </w:rPr>
      </w:pP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孙屹峥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张菀</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8" w:right="0"/>
              <w:jc w:val="left"/>
              <w:rPr>
                <w:rFonts w:ascii="宋体" w:hAnsi="宋体" w:cs="宋体" w:eastAsia="宋体" w:hint="default"/>
                <w:sz w:val="21"/>
                <w:szCs w:val="21"/>
              </w:rPr>
            </w:pPr>
            <w:r>
              <w:rPr>
                <w:rFonts w:ascii="宋体" w:hAnsi="宋体" w:cs="宋体" w:eastAsia="宋体" w:hint="default"/>
                <w:sz w:val="21"/>
                <w:szCs w:val="21"/>
              </w:rPr>
              <w:t>孙屹峥吓先生自</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起</w:t>
            </w:r>
            <w:r>
              <w:rPr>
                <w:rFonts w:ascii="宋体" w:hAnsi="宋体" w:cs="宋体" w:eastAsia="宋体" w:hint="default"/>
                <w:sz w:val="21"/>
                <w:szCs w:val="21"/>
              </w:rPr>
              <w:t>连任本公司董事长</w:t>
            </w:r>
            <w:r>
              <w:rPr>
                <w:rFonts w:ascii="宋体" w:hAnsi="宋体" w:cs="宋体" w:eastAsia="宋体" w:hint="default"/>
                <w:spacing w:val="-101"/>
                <w:sz w:val="21"/>
                <w:szCs w:val="21"/>
              </w:rPr>
              <w:t>，</w:t>
            </w:r>
            <w:r>
              <w:rPr>
                <w:rFonts w:ascii="宋体" w:hAnsi="宋体" w:cs="宋体" w:eastAsia="宋体" w:hint="default"/>
                <w:sz w:val="21"/>
                <w:szCs w:val="21"/>
              </w:rPr>
              <w:t>公司于</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日进行董事会换届选举，孙屹峥连任董事长，任期</w:t>
            </w:r>
          </w:p>
          <w:p>
            <w:pPr>
              <w:pStyle w:val="TableParagraph"/>
              <w:spacing w:line="273" w:lineRule="auto" w:before="37"/>
              <w:ind w:left="22" w:right="26"/>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日；并担任公司控股公司深 圳龙控、西安华西、江苏亿金董事长及参股公司上海虹港的董事；</w:t>
            </w:r>
          </w:p>
        </w:tc>
      </w:tr>
    </w:tbl>
    <w:p>
      <w:pPr>
        <w:spacing w:after="0" w:line="273"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17"/>
        <w:gridCol w:w="6151"/>
      </w:tblGrid>
      <w:tr>
        <w:trPr>
          <w:trHeight w:val="161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9" w:right="0"/>
              <w:jc w:val="left"/>
              <w:rPr>
                <w:rFonts w:ascii="宋体" w:hAnsi="宋体" w:cs="宋体" w:eastAsia="宋体" w:hint="default"/>
                <w:sz w:val="21"/>
                <w:szCs w:val="21"/>
              </w:rPr>
            </w:pPr>
            <w:r>
              <w:rPr>
                <w:rFonts w:ascii="宋体" w:hAnsi="宋体" w:cs="宋体" w:eastAsia="宋体" w:hint="default"/>
                <w:sz w:val="21"/>
                <w:szCs w:val="21"/>
              </w:rPr>
              <w:t>张菀女士自</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日起连任</w:t>
            </w:r>
            <w:r>
              <w:rPr>
                <w:rFonts w:ascii="宋体" w:hAnsi="宋体" w:cs="宋体" w:eastAsia="宋体" w:hint="default"/>
                <w:spacing w:val="-2"/>
                <w:sz w:val="21"/>
                <w:szCs w:val="21"/>
              </w:rPr>
              <w:t>本</w:t>
            </w:r>
            <w:r>
              <w:rPr>
                <w:rFonts w:ascii="宋体" w:hAnsi="宋体" w:cs="宋体" w:eastAsia="宋体" w:hint="default"/>
                <w:sz w:val="21"/>
                <w:szCs w:val="21"/>
              </w:rPr>
              <w:t>公司董事</w:t>
            </w:r>
            <w:r>
              <w:rPr>
                <w:rFonts w:ascii="宋体" w:hAnsi="宋体" w:cs="宋体" w:eastAsia="宋体" w:hint="default"/>
                <w:spacing w:val="-101"/>
                <w:sz w:val="21"/>
                <w:szCs w:val="21"/>
              </w:rPr>
              <w:t>、</w:t>
            </w:r>
            <w:r>
              <w:rPr>
                <w:rFonts w:ascii="宋体" w:hAnsi="宋体" w:cs="宋体" w:eastAsia="宋体" w:hint="default"/>
                <w:sz w:val="21"/>
                <w:szCs w:val="21"/>
              </w:rPr>
              <w:t>总经理兼法定</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代表人，公司于</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日进行董事会换届选举，张菀连任</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5"/>
                <w:sz w:val="21"/>
                <w:szCs w:val="21"/>
              </w:rPr>
              <w:t>，</w:t>
            </w:r>
            <w:r>
              <w:rPr>
                <w:rFonts w:ascii="宋体" w:hAnsi="宋体" w:cs="宋体" w:eastAsia="宋体" w:hint="default"/>
                <w:sz w:val="21"/>
                <w:szCs w:val="21"/>
              </w:rPr>
              <w:t>并聘</w:t>
            </w:r>
            <w:r>
              <w:rPr>
                <w:rFonts w:ascii="宋体" w:hAnsi="宋体" w:cs="宋体" w:eastAsia="宋体" w:hint="default"/>
                <w:spacing w:val="-2"/>
                <w:sz w:val="21"/>
                <w:szCs w:val="21"/>
              </w:rPr>
              <w:t>为</w:t>
            </w:r>
            <w:r>
              <w:rPr>
                <w:rFonts w:ascii="宋体" w:hAnsi="宋体" w:cs="宋体" w:eastAsia="宋体" w:hint="default"/>
                <w:sz w:val="21"/>
                <w:szCs w:val="21"/>
              </w:rPr>
              <w:t>总经理兼法定代表人</w:t>
            </w:r>
            <w:r>
              <w:rPr>
                <w:rFonts w:ascii="宋体" w:hAnsi="宋体" w:cs="宋体" w:eastAsia="宋体" w:hint="default"/>
                <w:spacing w:val="-105"/>
                <w:sz w:val="21"/>
                <w:szCs w:val="21"/>
              </w:rPr>
              <w:t>，</w:t>
            </w:r>
            <w:r>
              <w:rPr>
                <w:rFonts w:ascii="宋体" w:hAnsi="宋体" w:cs="宋体" w:eastAsia="宋体" w:hint="default"/>
                <w:spacing w:val="-2"/>
                <w:sz w:val="21"/>
                <w:szCs w:val="21"/>
              </w:rPr>
              <w:t>任</w:t>
            </w:r>
            <w:r>
              <w:rPr>
                <w:rFonts w:ascii="宋体" w:hAnsi="宋体" w:cs="宋体" w:eastAsia="宋体" w:hint="default"/>
                <w:sz w:val="21"/>
                <w:szCs w:val="21"/>
              </w:rPr>
              <w:t>期为</w:t>
            </w:r>
            <w:r>
              <w:rPr>
                <w:rFonts w:ascii="宋体" w:hAnsi="宋体" w:cs="宋体" w:eastAsia="宋体" w:hint="default"/>
                <w:spacing w:val="-59"/>
                <w:sz w:val="21"/>
                <w:szCs w:val="21"/>
              </w:rPr>
              <w:t> </w:t>
            </w: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日至</w:t>
            </w:r>
            <w:r>
              <w:rPr>
                <w:rFonts w:ascii="宋体" w:hAnsi="宋体" w:cs="宋体" w:eastAsia="宋体" w:hint="default"/>
                <w:spacing w:val="-61"/>
                <w:sz w:val="21"/>
                <w:szCs w:val="21"/>
              </w:rPr>
              <w:t> </w:t>
            </w:r>
            <w:r>
              <w:rPr>
                <w:rFonts w:ascii="宋体" w:hAnsi="宋体" w:cs="宋体" w:eastAsia="宋体" w:hint="default"/>
                <w:sz w:val="21"/>
                <w:szCs w:val="21"/>
              </w:rPr>
              <w:t>2018</w:t>
            </w:r>
          </w:p>
          <w:p>
            <w:pPr>
              <w:pStyle w:val="TableParagraph"/>
              <w:spacing w:line="273" w:lineRule="auto" w:before="37"/>
              <w:ind w:left="23" w:right="22"/>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5"/>
                <w:sz w:val="21"/>
                <w:szCs w:val="21"/>
              </w:rPr>
              <w:t>日；并担任公司控股公司深圳龙控、西安华西、江苏亿金</w:t>
            </w:r>
            <w:r>
              <w:rPr>
                <w:rFonts w:ascii="宋体" w:hAnsi="宋体" w:cs="宋体" w:eastAsia="宋体" w:hint="default"/>
                <w:sz w:val="21"/>
                <w:szCs w:val="21"/>
              </w:rPr>
              <w:t> 董事。</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报告期内控股和参股的其他境内外上 市公司的股权情况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pStyle w:val="BodyText"/>
        <w:spacing w:line="240" w:lineRule="auto" w:before="170"/>
        <w:ind w:left="1134" w:right="1033"/>
        <w:jc w:val="left"/>
      </w:pPr>
      <w:r>
        <w:rPr/>
        <w:t>实际控制人报告期内变更</w:t>
      </w:r>
    </w:p>
    <w:p>
      <w:pPr>
        <w:pStyle w:val="BodyText"/>
        <w:spacing w:line="357" w:lineRule="auto" w:before="154"/>
        <w:ind w:right="5233"/>
        <w:jc w:val="left"/>
      </w:pPr>
      <w:r>
        <w:rPr/>
        <w:t>□ 适用 √ 不适用 公司报告期实际控制人未发生变更。 公司与实际控制人之间的产权及控制关系的方框图：</w:t>
      </w:r>
    </w:p>
    <w:p>
      <w:pPr>
        <w:spacing w:line="240" w:lineRule="auto" w:before="4"/>
        <w:rPr>
          <w:rFonts w:ascii="宋体" w:hAnsi="宋体" w:cs="宋体" w:eastAsia="宋体" w:hint="default"/>
          <w:sz w:val="8"/>
          <w:szCs w:val="8"/>
        </w:rPr>
      </w:pPr>
    </w:p>
    <w:p>
      <w:pPr>
        <w:spacing w:line="3600" w:lineRule="exact"/>
        <w:ind w:left="1134"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5317697" cy="22860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6" cstate="print"/>
                    <a:stretch>
                      <a:fillRect/>
                    </a:stretch>
                  </pic:blipFill>
                  <pic:spPr>
                    <a:xfrm>
                      <a:off x="0" y="0"/>
                      <a:ext cx="5317697" cy="2286000"/>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9"/>
        <w:rPr>
          <w:rFonts w:ascii="宋体" w:hAnsi="宋体" w:cs="宋体" w:eastAsia="宋体" w:hint="default"/>
          <w:sz w:val="17"/>
          <w:szCs w:val="17"/>
        </w:rPr>
      </w:pPr>
    </w:p>
    <w:p>
      <w:pPr>
        <w:pStyle w:val="BodyText"/>
        <w:spacing w:line="240" w:lineRule="auto"/>
        <w:ind w:right="1033"/>
        <w:jc w:val="left"/>
      </w:pPr>
      <w:r>
        <w:rPr/>
        <w:t>实际控制人通过信托或其他资产管理方式控制公司</w:t>
      </w:r>
    </w:p>
    <w:p>
      <w:pPr>
        <w:spacing w:line="240" w:lineRule="auto" w:before="4"/>
        <w:rPr>
          <w:rFonts w:ascii="宋体" w:hAnsi="宋体" w:cs="宋体" w:eastAsia="宋体" w:hint="default"/>
          <w:sz w:val="21"/>
          <w:szCs w:val="21"/>
        </w:rPr>
      </w:pPr>
    </w:p>
    <w:p>
      <w:pPr>
        <w:pStyle w:val="BodyText"/>
        <w:spacing w:line="240" w:lineRule="auto"/>
        <w:ind w:right="1033"/>
        <w:jc w:val="left"/>
      </w:pPr>
      <w:r>
        <w:rPr/>
        <w:t>□ 适用 √ 不适用</w:t>
      </w:r>
    </w:p>
    <w:p>
      <w:pPr>
        <w:spacing w:line="240" w:lineRule="auto" w:before="9"/>
        <w:rPr>
          <w:rFonts w:ascii="宋体" w:hAnsi="宋体" w:cs="宋体" w:eastAsia="宋体" w:hint="default"/>
          <w:sz w:val="34"/>
          <w:szCs w:val="34"/>
        </w:rPr>
      </w:pPr>
    </w:p>
    <w:p>
      <w:pPr>
        <w:pStyle w:val="Heading3"/>
        <w:spacing w:line="240" w:lineRule="auto"/>
        <w:ind w:left="1254" w:right="1033"/>
        <w:jc w:val="left"/>
        <w:rPr>
          <w:b w:val="0"/>
          <w:bCs w:val="0"/>
        </w:rPr>
      </w:pPr>
      <w:bookmarkStart w:name="4、其他持股在10%以上的法人股东" w:id="114"/>
      <w:bookmarkEnd w:id="114"/>
      <w:r>
        <w:rPr>
          <w:b w:val="0"/>
          <w:bCs w:val="0"/>
        </w:rPr>
      </w:r>
      <w:r>
        <w:rPr>
          <w:rFonts w:ascii="宋体" w:hAnsi="宋体" w:cs="宋体" w:eastAsia="宋体" w:hint="default"/>
        </w:rPr>
        <w:t>4</w:t>
      </w:r>
      <w:r>
        <w:rPr/>
        <w:t>、其他持股在</w:t>
      </w:r>
      <w:r>
        <w:rPr>
          <w:spacing w:val="-71"/>
        </w:rPr>
        <w:t> </w:t>
      </w:r>
      <w:r>
        <w:rPr>
          <w:rFonts w:ascii="宋体" w:hAnsi="宋体" w:cs="宋体" w:eastAsia="宋体" w:hint="default"/>
        </w:rPr>
        <w:t>10%</w:t>
      </w:r>
      <w:r>
        <w:rPr/>
        <w:t>以上的法人股东</w:t>
      </w:r>
      <w:r>
        <w:rPr>
          <w:b w:val="0"/>
          <w:bCs w:val="0"/>
        </w:rPr>
      </w:r>
    </w:p>
    <w:p>
      <w:pPr>
        <w:spacing w:line="240" w:lineRule="auto" w:before="9"/>
        <w:rPr>
          <w:rFonts w:ascii="宋体" w:hAnsi="宋体" w:cs="宋体" w:eastAsia="宋体" w:hint="default"/>
          <w:b/>
          <w:bCs/>
          <w:sz w:val="34"/>
          <w:szCs w:val="34"/>
        </w:rPr>
      </w:pPr>
    </w:p>
    <w:p>
      <w:pPr>
        <w:spacing w:line="388" w:lineRule="auto" w:before="0"/>
        <w:ind w:left="1134" w:right="2113" w:firstLine="0"/>
        <w:jc w:val="left"/>
        <w:rPr>
          <w:rFonts w:ascii="宋体" w:hAnsi="宋体" w:cs="宋体" w:eastAsia="宋体" w:hint="default"/>
          <w:sz w:val="24"/>
          <w:szCs w:val="24"/>
        </w:rPr>
      </w:pPr>
      <w:r>
        <w:rPr>
          <w:rFonts w:ascii="宋体" w:hAnsi="宋体" w:cs="宋体" w:eastAsia="宋体" w:hint="default"/>
          <w:sz w:val="24"/>
          <w:szCs w:val="24"/>
        </w:rPr>
        <w:t>□ 适用 √不适用 </w:t>
      </w:r>
      <w:r>
        <w:rPr>
          <w:rFonts w:ascii="宋体" w:hAnsi="宋体" w:cs="宋体" w:eastAsia="宋体" w:hint="default"/>
          <w:b/>
          <w:bCs/>
          <w:w w:val="95"/>
          <w:sz w:val="24"/>
          <w:szCs w:val="24"/>
        </w:rPr>
        <w:t>5</w:t>
      </w:r>
      <w:r>
        <w:rPr>
          <w:rFonts w:ascii="宋体" w:hAnsi="宋体" w:cs="宋体" w:eastAsia="宋体" w:hint="default"/>
          <w:b/>
          <w:bCs/>
          <w:w w:val="95"/>
          <w:sz w:val="24"/>
          <w:szCs w:val="24"/>
        </w:rPr>
        <w:t>、控股股东、实际控制人、重组方及其他承诺主体股份限制减持情况</w:t>
      </w:r>
      <w:r>
        <w:rPr>
          <w:rFonts w:ascii="宋体" w:hAnsi="宋体" w:cs="宋体" w:eastAsia="宋体" w:hint="default"/>
          <w:sz w:val="24"/>
          <w:szCs w:val="24"/>
        </w:rPr>
      </w:r>
    </w:p>
    <w:p>
      <w:pPr>
        <w:pStyle w:val="BodyText"/>
        <w:spacing w:line="240" w:lineRule="auto" w:before="46"/>
        <w:ind w:right="1033"/>
        <w:jc w:val="left"/>
      </w:pPr>
      <w:r>
        <w:rPr/>
        <w:t>□ 适用 √不适用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1"/>
        <w:spacing w:line="240" w:lineRule="auto"/>
        <w:ind w:right="993"/>
        <w:jc w:val="center"/>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9"/>
          <w:szCs w:val="29"/>
        </w:rPr>
      </w:pPr>
    </w:p>
    <w:p>
      <w:pPr>
        <w:pStyle w:val="BodyText"/>
        <w:spacing w:line="240" w:lineRule="auto" w:before="26"/>
        <w:ind w:left="1134" w:right="1033"/>
        <w:jc w:val="left"/>
      </w:pPr>
      <w:r>
        <w:rPr/>
        <w:t>报告期公司不存在优先股。</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1033"/>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黑体" w:hAnsi="黑体" w:cs="黑体" w:eastAsia="黑体" w:hint="default"/>
          <w:b/>
          <w:bCs/>
          <w:sz w:val="38"/>
          <w:szCs w:val="38"/>
        </w:rPr>
      </w:pPr>
    </w:p>
    <w:p>
      <w:pPr>
        <w:pStyle w:val="Heading3"/>
        <w:spacing w:line="240" w:lineRule="auto"/>
        <w:ind w:left="1133" w:right="1033"/>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12"/>
        <w:rPr>
          <w:rFonts w:ascii="宋体" w:hAnsi="宋体" w:cs="宋体" w:eastAsia="宋体" w:hint="default"/>
          <w:b/>
          <w:bCs/>
          <w:sz w:val="21"/>
          <w:szCs w:val="21"/>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586"/>
        <w:gridCol w:w="709"/>
        <w:gridCol w:w="1098"/>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8" w:right="74" w:hanging="212"/>
              <w:jc w:val="left"/>
              <w:rPr>
                <w:rFonts w:ascii="宋体" w:hAnsi="宋体" w:cs="宋体" w:eastAsia="宋体" w:hint="default"/>
                <w:sz w:val="21"/>
                <w:szCs w:val="21"/>
              </w:rPr>
            </w:pPr>
            <w:r>
              <w:rPr>
                <w:rFonts w:ascii="宋体" w:hAnsi="宋体" w:cs="宋体" w:eastAsia="宋体" w:hint="default"/>
                <w:b/>
                <w:bCs/>
                <w:sz w:val="21"/>
                <w:szCs w:val="21"/>
              </w:rPr>
              <w:t>任职状</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态</w:t>
            </w:r>
            <w:r>
              <w:rPr>
                <w:rFonts w:ascii="宋体" w:hAnsi="宋体" w:cs="宋体" w:eastAsia="宋体" w:hint="default"/>
                <w:sz w:val="21"/>
                <w:szCs w:val="21"/>
              </w:rPr>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7" w:right="0"/>
              <w:jc w:val="left"/>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32" w:right="120" w:hanging="212"/>
              <w:jc w:val="left"/>
              <w:rPr>
                <w:rFonts w:ascii="宋体" w:hAnsi="宋体" w:cs="宋体" w:eastAsia="宋体" w:hint="default"/>
                <w:sz w:val="21"/>
                <w:szCs w:val="21"/>
              </w:rPr>
            </w:pPr>
            <w:r>
              <w:rPr>
                <w:rFonts w:ascii="宋体" w:hAnsi="宋体" w:cs="宋体" w:eastAsia="宋体" w:hint="default"/>
                <w:b/>
                <w:bCs/>
                <w:sz w:val="21"/>
                <w:szCs w:val="21"/>
              </w:rPr>
              <w:t>任期起始</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6" w:right="77"/>
              <w:jc w:val="left"/>
              <w:rPr>
                <w:rFonts w:ascii="宋体" w:hAnsi="宋体" w:cs="宋体" w:eastAsia="宋体" w:hint="default"/>
                <w:sz w:val="21"/>
                <w:szCs w:val="21"/>
              </w:rPr>
            </w:pPr>
            <w:r>
              <w:rPr>
                <w:rFonts w:ascii="宋体" w:hAnsi="宋体" w:cs="宋体" w:eastAsia="宋体" w:hint="default"/>
                <w:b/>
                <w:bCs/>
                <w:sz w:val="21"/>
                <w:szCs w:val="21"/>
              </w:rPr>
              <w:t>任期终</w:t>
            </w:r>
            <w:r>
              <w:rPr>
                <w:rFonts w:ascii="宋体" w:hAnsi="宋体" w:cs="宋体" w:eastAsia="宋体" w:hint="default"/>
                <w:b/>
                <w:bCs/>
                <w:spacing w:val="1"/>
                <w:w w:val="99"/>
                <w:sz w:val="21"/>
                <w:szCs w:val="21"/>
              </w:rPr>
              <w:t> </w:t>
            </w:r>
            <w:r>
              <w:rPr>
                <w:rFonts w:ascii="宋体" w:hAnsi="宋体" w:cs="宋体" w:eastAsia="宋体" w:hint="default"/>
                <w:b/>
                <w:bCs/>
                <w:sz w:val="21"/>
                <w:szCs w:val="21"/>
              </w:rPr>
              <w:t>止日期</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1" w:lineRule="auto"/>
              <w:ind w:left="182" w:right="77" w:hanging="106"/>
              <w:jc w:val="left"/>
              <w:rPr>
                <w:rFonts w:ascii="宋体" w:hAnsi="宋体" w:cs="宋体" w:eastAsia="宋体" w:hint="default"/>
                <w:sz w:val="21"/>
                <w:szCs w:val="21"/>
              </w:rPr>
            </w:pPr>
            <w:r>
              <w:rPr>
                <w:rFonts w:ascii="宋体" w:hAnsi="宋体" w:cs="宋体" w:eastAsia="宋体" w:hint="default"/>
                <w:b/>
                <w:bCs/>
                <w:sz w:val="21"/>
                <w:szCs w:val="21"/>
              </w:rPr>
              <w:t>期初持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p>
            <w:pPr>
              <w:pStyle w:val="TableParagraph"/>
              <w:spacing w:line="240" w:lineRule="auto" w:before="11"/>
              <w:ind w:left="76" w:right="0"/>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6" w:right="76"/>
              <w:jc w:val="both"/>
              <w:rPr>
                <w:rFonts w:ascii="宋体" w:hAnsi="宋体" w:cs="宋体" w:eastAsia="宋体" w:hint="default"/>
                <w:sz w:val="21"/>
                <w:szCs w:val="21"/>
              </w:rPr>
            </w:pPr>
            <w:r>
              <w:rPr>
                <w:rFonts w:ascii="宋体" w:hAnsi="宋体" w:cs="宋体" w:eastAsia="宋体" w:hint="default"/>
                <w:b/>
                <w:bCs/>
                <w:sz w:val="21"/>
                <w:szCs w:val="21"/>
              </w:rPr>
              <w:t>本期增</w:t>
            </w:r>
            <w:r>
              <w:rPr>
                <w:rFonts w:ascii="宋体" w:hAnsi="宋体" w:cs="宋体" w:eastAsia="宋体" w:hint="default"/>
                <w:b/>
                <w:bCs/>
                <w:spacing w:val="1"/>
                <w:w w:val="99"/>
                <w:sz w:val="21"/>
                <w:szCs w:val="21"/>
              </w:rPr>
              <w:t> </w:t>
            </w:r>
            <w:r>
              <w:rPr>
                <w:rFonts w:ascii="宋体" w:hAnsi="宋体" w:cs="宋体" w:eastAsia="宋体" w:hint="default"/>
                <w:b/>
                <w:bCs/>
                <w:sz w:val="21"/>
                <w:szCs w:val="21"/>
              </w:rPr>
              <w:t>持股份</w:t>
            </w:r>
            <w:r>
              <w:rPr>
                <w:rFonts w:ascii="宋体" w:hAnsi="宋体" w:cs="宋体" w:eastAsia="宋体" w:hint="default"/>
                <w:b/>
                <w:bCs/>
                <w:spacing w:val="1"/>
                <w:w w:val="99"/>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p>
            <w:pPr>
              <w:pStyle w:val="TableParagraph"/>
              <w:spacing w:line="240" w:lineRule="auto" w:before="11"/>
              <w:ind w:left="76" w:right="0"/>
              <w:jc w:val="both"/>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6" w:right="77"/>
              <w:jc w:val="both"/>
              <w:rPr>
                <w:rFonts w:ascii="宋体" w:hAnsi="宋体" w:cs="宋体" w:eastAsia="宋体" w:hint="default"/>
                <w:sz w:val="21"/>
                <w:szCs w:val="21"/>
              </w:rPr>
            </w:pPr>
            <w:r>
              <w:rPr>
                <w:rFonts w:ascii="宋体" w:hAnsi="宋体" w:cs="宋体" w:eastAsia="宋体" w:hint="default"/>
                <w:b/>
                <w:bCs/>
                <w:sz w:val="21"/>
                <w:szCs w:val="21"/>
              </w:rPr>
              <w:t>本期减</w:t>
            </w:r>
            <w:r>
              <w:rPr>
                <w:rFonts w:ascii="宋体" w:hAnsi="宋体" w:cs="宋体" w:eastAsia="宋体" w:hint="default"/>
                <w:b/>
                <w:bCs/>
                <w:spacing w:val="1"/>
                <w:w w:val="99"/>
                <w:sz w:val="21"/>
                <w:szCs w:val="21"/>
              </w:rPr>
              <w:t> </w:t>
            </w:r>
            <w:r>
              <w:rPr>
                <w:rFonts w:ascii="宋体" w:hAnsi="宋体" w:cs="宋体" w:eastAsia="宋体" w:hint="default"/>
                <w:b/>
                <w:bCs/>
                <w:sz w:val="21"/>
                <w:szCs w:val="21"/>
              </w:rPr>
              <w:t>持股份</w:t>
            </w:r>
            <w:r>
              <w:rPr>
                <w:rFonts w:ascii="宋体" w:hAnsi="宋体" w:cs="宋体" w:eastAsia="宋体" w:hint="default"/>
                <w:b/>
                <w:bCs/>
                <w:spacing w:val="1"/>
                <w:w w:val="99"/>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p>
            <w:pPr>
              <w:pStyle w:val="TableParagraph"/>
              <w:spacing w:line="240" w:lineRule="auto" w:before="11"/>
              <w:ind w:left="76" w:right="0"/>
              <w:jc w:val="both"/>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1" w:lineRule="auto"/>
              <w:ind w:left="76" w:right="77"/>
              <w:jc w:val="left"/>
              <w:rPr>
                <w:rFonts w:ascii="宋体" w:hAnsi="宋体" w:cs="宋体" w:eastAsia="宋体" w:hint="default"/>
                <w:sz w:val="21"/>
                <w:szCs w:val="21"/>
              </w:rPr>
            </w:pPr>
            <w:r>
              <w:rPr>
                <w:rFonts w:ascii="宋体" w:hAnsi="宋体" w:cs="宋体" w:eastAsia="宋体" w:hint="default"/>
                <w:b/>
                <w:bCs/>
                <w:sz w:val="21"/>
                <w:szCs w:val="21"/>
              </w:rPr>
              <w:t>其他增</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减变动</w:t>
            </w:r>
            <w:r>
              <w:rPr>
                <w:rFonts w:ascii="宋体" w:hAnsi="宋体" w:cs="宋体" w:eastAsia="宋体" w:hint="default"/>
                <w:sz w:val="21"/>
                <w:szCs w:val="21"/>
              </w:rPr>
            </w:r>
          </w:p>
          <w:p>
            <w:pPr>
              <w:pStyle w:val="TableParagraph"/>
              <w:spacing w:line="240" w:lineRule="auto" w:before="11"/>
              <w:ind w:left="76" w:right="0"/>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1" w:lineRule="auto"/>
              <w:ind w:left="182" w:right="77" w:hanging="106"/>
              <w:jc w:val="left"/>
              <w:rPr>
                <w:rFonts w:ascii="宋体" w:hAnsi="宋体" w:cs="宋体" w:eastAsia="宋体" w:hint="default"/>
                <w:sz w:val="21"/>
                <w:szCs w:val="21"/>
              </w:rPr>
            </w:pPr>
            <w:r>
              <w:rPr>
                <w:rFonts w:ascii="宋体" w:hAnsi="宋体" w:cs="宋体" w:eastAsia="宋体" w:hint="default"/>
                <w:b/>
                <w:bCs/>
                <w:sz w:val="21"/>
                <w:szCs w:val="21"/>
              </w:rPr>
              <w:t>期末持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p>
            <w:pPr>
              <w:pStyle w:val="TableParagraph"/>
              <w:spacing w:line="240" w:lineRule="auto" w:before="11"/>
              <w:ind w:left="76" w:right="0"/>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56</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39,565,</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833,200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9,000,0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31,398,</w:t>
            </w:r>
          </w:p>
          <w:p>
            <w:pPr>
              <w:pStyle w:val="TableParagraph"/>
              <w:spacing w:line="240" w:lineRule="auto" w:before="37"/>
              <w:ind w:left="22" w:right="0"/>
              <w:jc w:val="left"/>
              <w:rPr>
                <w:rFonts w:ascii="宋体" w:hAnsi="宋体" w:cs="宋体" w:eastAsia="宋体" w:hint="default"/>
                <w:sz w:val="21"/>
                <w:szCs w:val="21"/>
              </w:rPr>
            </w:pPr>
            <w:r>
              <w:rPr>
                <w:rFonts w:ascii="宋体"/>
                <w:sz w:val="21"/>
              </w:rPr>
              <w:t>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pacing w:val="-25"/>
                <w:sz w:val="21"/>
                <w:szCs w:val="21"/>
              </w:rPr>
              <w:t>董事、总</w:t>
            </w:r>
            <w:r>
              <w:rPr>
                <w:rFonts w:ascii="宋体" w:hAnsi="宋体" w:cs="宋体" w:eastAsia="宋体" w:hint="default"/>
                <w:sz w:val="21"/>
                <w:szCs w:val="21"/>
              </w:rPr>
              <w:t>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54</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38,434,</w:t>
            </w:r>
          </w:p>
          <w:p>
            <w:pPr>
              <w:pStyle w:val="TableParagraph"/>
              <w:spacing w:line="240" w:lineRule="auto" w:before="37"/>
              <w:ind w:left="22" w:right="0"/>
              <w:jc w:val="left"/>
              <w:rPr>
                <w:rFonts w:ascii="宋体" w:hAnsi="宋体" w:cs="宋体" w:eastAsia="宋体" w:hint="default"/>
                <w:sz w:val="21"/>
                <w:szCs w:val="21"/>
              </w:rPr>
            </w:pPr>
            <w:r>
              <w:rPr>
                <w:rFonts w:ascii="宋体"/>
                <w:sz w:val="21"/>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727,000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9,000,0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30,161,</w:t>
            </w:r>
          </w:p>
          <w:p>
            <w:pPr>
              <w:pStyle w:val="TableParagraph"/>
              <w:spacing w:line="240" w:lineRule="auto" w:before="37"/>
              <w:ind w:left="22" w:right="0"/>
              <w:jc w:val="left"/>
              <w:rPr>
                <w:rFonts w:ascii="宋体" w:hAnsi="宋体" w:cs="宋体" w:eastAsia="宋体" w:hint="default"/>
                <w:sz w:val="21"/>
                <w:szCs w:val="21"/>
              </w:rPr>
            </w:pPr>
            <w:r>
              <w:rPr>
                <w:rFonts w:ascii="宋体"/>
                <w:sz w:val="21"/>
              </w:rPr>
              <w:t>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徐晓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45</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赵洪功</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36"/>
                <w:sz w:val="21"/>
                <w:szCs w:val="21"/>
              </w:rPr>
              <w:t>独立董</w:t>
            </w:r>
            <w:r>
              <w:rPr>
                <w:rFonts w:ascii="宋体" w:hAnsi="宋体" w:cs="宋体" w:eastAsia="宋体" w:hint="default"/>
                <w:spacing w:val="-103"/>
                <w:sz w:val="21"/>
                <w:szCs w:val="21"/>
              </w:rPr>
              <w:t> </w:t>
            </w:r>
            <w:r>
              <w:rPr>
                <w:rFonts w:ascii="宋体" w:hAnsi="宋体" w:cs="宋体" w:eastAsia="宋体" w:hint="default"/>
                <w:sz w:val="21"/>
                <w:szCs w:val="21"/>
              </w:rPr>
              <w:t>事</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49</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陈维亮</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36"/>
                <w:sz w:val="21"/>
                <w:szCs w:val="21"/>
              </w:rPr>
              <w:t>独立董</w:t>
            </w:r>
            <w:r>
              <w:rPr>
                <w:rFonts w:ascii="宋体" w:hAnsi="宋体" w:cs="宋体" w:eastAsia="宋体" w:hint="default"/>
                <w:spacing w:val="-103"/>
                <w:sz w:val="21"/>
                <w:szCs w:val="21"/>
              </w:rPr>
              <w:t> </w:t>
            </w:r>
            <w:r>
              <w:rPr>
                <w:rFonts w:ascii="宋体" w:hAnsi="宋体" w:cs="宋体" w:eastAsia="宋体" w:hint="default"/>
                <w:sz w:val="21"/>
                <w:szCs w:val="21"/>
              </w:rPr>
              <w:t>事</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47</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36"/>
                <w:sz w:val="21"/>
                <w:szCs w:val="21"/>
              </w:rPr>
              <w:t>独立董</w:t>
            </w:r>
            <w:r>
              <w:rPr>
                <w:rFonts w:ascii="宋体" w:hAnsi="宋体" w:cs="宋体" w:eastAsia="宋体" w:hint="default"/>
                <w:spacing w:val="-103"/>
                <w:sz w:val="21"/>
                <w:szCs w:val="21"/>
              </w:rPr>
              <w:t> </w:t>
            </w:r>
            <w:r>
              <w:rPr>
                <w:rFonts w:ascii="宋体" w:hAnsi="宋体" w:cs="宋体" w:eastAsia="宋体" w:hint="default"/>
                <w:sz w:val="21"/>
                <w:szCs w:val="21"/>
              </w:rPr>
              <w:t>事</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47</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张云鹃</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36"/>
                <w:sz w:val="21"/>
                <w:szCs w:val="21"/>
              </w:rPr>
              <w:t>监事会</w:t>
            </w:r>
            <w:r>
              <w:rPr>
                <w:rFonts w:ascii="宋体" w:hAnsi="宋体" w:cs="宋体" w:eastAsia="宋体" w:hint="default"/>
                <w:spacing w:val="-103"/>
                <w:sz w:val="21"/>
                <w:szCs w:val="21"/>
              </w:rPr>
              <w:t> </w:t>
            </w:r>
            <w:r>
              <w:rPr>
                <w:rFonts w:ascii="宋体" w:hAnsi="宋体" w:cs="宋体" w:eastAsia="宋体" w:hint="default"/>
                <w:sz w:val="21"/>
                <w:szCs w:val="21"/>
              </w:rPr>
              <w:t>主席</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36</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36"/>
                <w:sz w:val="21"/>
                <w:szCs w:val="21"/>
              </w:rPr>
              <w:t>监事会</w:t>
            </w:r>
            <w:r>
              <w:rPr>
                <w:rFonts w:ascii="宋体" w:hAnsi="宋体" w:cs="宋体" w:eastAsia="宋体" w:hint="default"/>
                <w:spacing w:val="-103"/>
                <w:sz w:val="21"/>
                <w:szCs w:val="21"/>
              </w:rPr>
              <w:t> </w:t>
            </w:r>
            <w:r>
              <w:rPr>
                <w:rFonts w:ascii="宋体" w:hAnsi="宋体" w:cs="宋体" w:eastAsia="宋体" w:hint="default"/>
                <w:sz w:val="21"/>
                <w:szCs w:val="21"/>
              </w:rPr>
              <w:t>主席</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48</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170,000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135,000</w:t>
            </w:r>
          </w:p>
        </w:tc>
      </w:tr>
      <w:tr>
        <w:trPr>
          <w:trHeight w:val="40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48</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167,800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167,800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王华</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7"/>
              <w:ind w:left="22" w:right="-43"/>
              <w:jc w:val="left"/>
              <w:rPr>
                <w:rFonts w:ascii="宋体" w:hAnsi="宋体" w:cs="宋体" w:eastAsia="宋体" w:hint="default"/>
                <w:sz w:val="21"/>
                <w:szCs w:val="21"/>
              </w:rPr>
            </w:pPr>
            <w:r>
              <w:rPr>
                <w:rFonts w:ascii="宋体" w:hAnsi="宋体" w:cs="宋体" w:eastAsia="宋体" w:hint="default"/>
                <w:spacing w:val="36"/>
                <w:sz w:val="21"/>
                <w:szCs w:val="21"/>
              </w:rPr>
              <w:t>职工监</w:t>
            </w:r>
            <w:r>
              <w:rPr>
                <w:rFonts w:ascii="宋体" w:hAnsi="宋体" w:cs="宋体" w:eastAsia="宋体" w:hint="default"/>
                <w:spacing w:val="-103"/>
                <w:sz w:val="21"/>
                <w:szCs w:val="21"/>
              </w:rPr>
              <w:t> </w:t>
            </w:r>
            <w:r>
              <w:rPr>
                <w:rFonts w:ascii="宋体" w:hAnsi="宋体" w:cs="宋体" w:eastAsia="宋体" w:hint="default"/>
                <w:sz w:val="21"/>
                <w:szCs w:val="21"/>
              </w:rPr>
              <w:t>事</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48</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汤华林</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27"/>
              <w:ind w:left="22" w:right="-43"/>
              <w:jc w:val="left"/>
              <w:rPr>
                <w:rFonts w:ascii="宋体" w:hAnsi="宋体" w:cs="宋体" w:eastAsia="宋体" w:hint="default"/>
                <w:sz w:val="21"/>
                <w:szCs w:val="21"/>
              </w:rPr>
            </w:pPr>
            <w:r>
              <w:rPr>
                <w:rFonts w:ascii="宋体" w:hAnsi="宋体" w:cs="宋体" w:eastAsia="宋体" w:hint="default"/>
                <w:spacing w:val="36"/>
                <w:sz w:val="21"/>
                <w:szCs w:val="21"/>
              </w:rPr>
              <w:t>职工监</w:t>
            </w:r>
            <w:r>
              <w:rPr>
                <w:rFonts w:ascii="宋体" w:hAnsi="宋体" w:cs="宋体" w:eastAsia="宋体" w:hint="default"/>
                <w:spacing w:val="-50"/>
                <w:sz w:val="21"/>
                <w:szCs w:val="21"/>
              </w:rPr>
              <w:t> </w:t>
            </w:r>
            <w:r>
              <w:rPr>
                <w:rFonts w:ascii="宋体" w:hAnsi="宋体" w:cs="宋体" w:eastAsia="宋体" w:hint="default"/>
                <w:sz w:val="21"/>
                <w:szCs w:val="21"/>
              </w:rPr>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36</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586"/>
        <w:gridCol w:w="709"/>
        <w:gridCol w:w="1098"/>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事</w:t>
            </w:r>
          </w:p>
        </w:tc>
        <w:tc>
          <w:tcPr>
            <w:tcW w:w="79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36"/>
                <w:sz w:val="21"/>
                <w:szCs w:val="21"/>
              </w:rPr>
              <w:t>董事会</w:t>
            </w:r>
            <w:r>
              <w:rPr>
                <w:rFonts w:ascii="宋体" w:hAnsi="宋体" w:cs="宋体" w:eastAsia="宋体" w:hint="default"/>
                <w:spacing w:val="-103"/>
                <w:sz w:val="21"/>
                <w:szCs w:val="21"/>
              </w:rPr>
              <w:t> </w:t>
            </w:r>
            <w:r>
              <w:rPr>
                <w:rFonts w:ascii="宋体" w:hAnsi="宋体" w:cs="宋体" w:eastAsia="宋体" w:hint="default"/>
                <w:sz w:val="21"/>
                <w:szCs w:val="21"/>
              </w:rPr>
              <w:t>秘书</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right="342"/>
              <w:jc w:val="righ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51</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36"/>
                <w:sz w:val="21"/>
                <w:szCs w:val="21"/>
              </w:rPr>
              <w:t>财务总</w:t>
            </w:r>
            <w:r>
              <w:rPr>
                <w:rFonts w:ascii="宋体" w:hAnsi="宋体" w:cs="宋体" w:eastAsia="宋体" w:hint="default"/>
                <w:spacing w:val="-103"/>
                <w:sz w:val="21"/>
                <w:szCs w:val="21"/>
              </w:rPr>
              <w:t> </w:t>
            </w:r>
            <w:r>
              <w:rPr>
                <w:rFonts w:ascii="宋体" w:hAnsi="宋体" w:cs="宋体" w:eastAsia="宋体" w:hint="default"/>
                <w:sz w:val="21"/>
                <w:szCs w:val="21"/>
              </w:rPr>
              <w:t>监</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right="342"/>
              <w:jc w:val="righ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45</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375,000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8500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93750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289750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36"/>
                <w:sz w:val="21"/>
                <w:szCs w:val="21"/>
              </w:rPr>
              <w:t>技术总</w:t>
            </w:r>
            <w:r>
              <w:rPr>
                <w:rFonts w:ascii="宋体" w:hAnsi="宋体" w:cs="宋体" w:eastAsia="宋体" w:hint="default"/>
                <w:spacing w:val="-103"/>
                <w:sz w:val="21"/>
                <w:szCs w:val="21"/>
              </w:rPr>
              <w:t> </w:t>
            </w:r>
            <w:r>
              <w:rPr>
                <w:rFonts w:ascii="宋体" w:hAnsi="宋体" w:cs="宋体" w:eastAsia="宋体" w:hint="default"/>
                <w:sz w:val="21"/>
                <w:szCs w:val="21"/>
              </w:rPr>
              <w:t>监</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right="342"/>
              <w:jc w:val="righ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58</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600,000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600,000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孙晶晶</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36"/>
                <w:sz w:val="21"/>
                <w:szCs w:val="21"/>
              </w:rPr>
              <w:t>行政总</w:t>
            </w:r>
            <w:r>
              <w:rPr>
                <w:rFonts w:ascii="宋体" w:hAnsi="宋体" w:cs="宋体" w:eastAsia="宋体" w:hint="default"/>
                <w:spacing w:val="-103"/>
                <w:sz w:val="21"/>
                <w:szCs w:val="21"/>
              </w:rPr>
              <w:t> </w:t>
            </w:r>
            <w:r>
              <w:rPr>
                <w:rFonts w:ascii="宋体" w:hAnsi="宋体" w:cs="宋体" w:eastAsia="宋体" w:hint="default"/>
                <w:sz w:val="21"/>
                <w:szCs w:val="21"/>
              </w:rPr>
              <w:t>监</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right="342"/>
              <w:jc w:val="right"/>
              <w:rPr>
                <w:rFonts w:ascii="宋体" w:hAnsi="宋体" w:cs="宋体" w:eastAsia="宋体" w:hint="default"/>
                <w:sz w:val="21"/>
                <w:szCs w:val="21"/>
              </w:rPr>
            </w:pPr>
            <w:r>
              <w:rPr>
                <w:rFonts w:ascii="宋体" w:hAnsi="宋体" w:cs="宋体" w:eastAsia="宋体" w:hint="default"/>
                <w:sz w:val="21"/>
                <w:szCs w:val="21"/>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28</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8,000,0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8,000,0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付光清</w:t>
            </w:r>
          </w:p>
        </w:tc>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36"/>
                <w:sz w:val="21"/>
                <w:szCs w:val="21"/>
              </w:rPr>
              <w:t>制造总</w:t>
            </w:r>
            <w:r>
              <w:rPr>
                <w:rFonts w:ascii="宋体" w:hAnsi="宋体" w:cs="宋体" w:eastAsia="宋体" w:hint="default"/>
                <w:spacing w:val="-103"/>
                <w:sz w:val="21"/>
                <w:szCs w:val="21"/>
              </w:rPr>
              <w:t> </w:t>
            </w:r>
            <w:r>
              <w:rPr>
                <w:rFonts w:ascii="宋体" w:hAnsi="宋体" w:cs="宋体" w:eastAsia="宋体" w:hint="default"/>
                <w:sz w:val="21"/>
                <w:szCs w:val="21"/>
              </w:rPr>
              <w:t>监</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right="342"/>
              <w:jc w:val="right"/>
              <w:rPr>
                <w:rFonts w:ascii="宋体" w:hAnsi="宋体" w:cs="宋体" w:eastAsia="宋体" w:hint="default"/>
                <w:sz w:val="21"/>
                <w:szCs w:val="21"/>
              </w:rPr>
            </w:pPr>
            <w:r>
              <w:rPr>
                <w:rFonts w:ascii="宋体" w:hAnsi="宋体" w:cs="宋体" w:eastAsia="宋体" w:hint="default"/>
                <w:sz w:val="21"/>
                <w:szCs w:val="21"/>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53</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3</w:t>
            </w:r>
            <w:r>
              <w:rPr>
                <w:rFonts w:ascii="宋体" w:hAnsi="宋体" w:cs="宋体" w:eastAsia="宋体" w:hint="default"/>
                <w:spacing w:val="-7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月</w:t>
            </w:r>
            <w:r>
              <w:rPr>
                <w:rFonts w:ascii="宋体" w:hAnsi="宋体" w:cs="宋体" w:eastAsia="宋体" w:hint="default"/>
                <w:spacing w:val="5"/>
                <w:sz w:val="21"/>
                <w:szCs w:val="21"/>
              </w:rPr>
              <w:t> </w:t>
            </w:r>
            <w:r>
              <w:rPr>
                <w:rFonts w:ascii="宋体" w:hAnsi="宋体" w:cs="宋体" w:eastAsia="宋体" w:hint="default"/>
                <w:sz w:val="21"/>
                <w:szCs w:val="21"/>
              </w:rPr>
              <w:t>23</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7"/>
              <w:jc w:val="right"/>
              <w:rPr>
                <w:rFonts w:ascii="宋体" w:hAnsi="宋体" w:cs="宋体" w:eastAsia="宋体" w:hint="default"/>
                <w:sz w:val="21"/>
                <w:szCs w:val="21"/>
              </w:rPr>
            </w:pPr>
            <w:r>
              <w:rPr>
                <w:rFonts w:ascii="宋体"/>
                <w:sz w:val="21"/>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3" w:right="0"/>
              <w:jc w:val="lef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79,812,</w:t>
            </w:r>
          </w:p>
          <w:p>
            <w:pPr>
              <w:pStyle w:val="TableParagraph"/>
              <w:spacing w:line="240" w:lineRule="auto" w:before="37"/>
              <w:ind w:left="22" w:right="0"/>
              <w:jc w:val="left"/>
              <w:rPr>
                <w:rFonts w:ascii="宋体" w:hAnsi="宋体" w:cs="宋体" w:eastAsia="宋体" w:hint="default"/>
                <w:sz w:val="21"/>
                <w:szCs w:val="21"/>
              </w:rPr>
            </w:pPr>
            <w:r>
              <w:rPr>
                <w:rFonts w:ascii="宋体"/>
                <w:sz w:val="21"/>
              </w:rPr>
              <w:t>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9,568,7</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18,128,</w:t>
            </w:r>
          </w:p>
          <w:p>
            <w:pPr>
              <w:pStyle w:val="TableParagraph"/>
              <w:spacing w:line="240" w:lineRule="auto" w:before="37"/>
              <w:ind w:left="22" w:right="0"/>
              <w:jc w:val="left"/>
              <w:rPr>
                <w:rFonts w:ascii="宋体" w:hAnsi="宋体" w:cs="宋体" w:eastAsia="宋体" w:hint="default"/>
                <w:sz w:val="21"/>
                <w:szCs w:val="21"/>
              </w:rPr>
            </w:pPr>
            <w:r>
              <w:rPr>
                <w:rFonts w:ascii="宋体"/>
                <w:sz w:val="21"/>
              </w:rPr>
              <w:t>750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71,252,</w:t>
            </w:r>
          </w:p>
          <w:p>
            <w:pPr>
              <w:pStyle w:val="TableParagraph"/>
              <w:spacing w:line="240" w:lineRule="auto" w:before="37"/>
              <w:ind w:left="22" w:right="0"/>
              <w:jc w:val="left"/>
              <w:rPr>
                <w:rFonts w:ascii="宋体" w:hAnsi="宋体" w:cs="宋体" w:eastAsia="宋体" w:hint="default"/>
                <w:sz w:val="21"/>
                <w:szCs w:val="21"/>
              </w:rPr>
            </w:pPr>
            <w:r>
              <w:rPr>
                <w:rFonts w:ascii="宋体"/>
                <w:sz w:val="21"/>
              </w:rPr>
              <w:t>550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240" w:lineRule="auto" w:before="26"/>
        <w:ind w:right="1033"/>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822"/>
        <w:gridCol w:w="375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董事会换届选举，连任董事长</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被选举、聘任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pacing w:val="-5"/>
                <w:sz w:val="21"/>
                <w:szCs w:val="21"/>
              </w:rPr>
              <w:t>董事会换届选举，连任董事；董事会聘任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徐晓</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董事会换届选举，连任董事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董事会换届选举，连任董事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陈维亮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董事会换届选举，新任董事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张云鹃</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监事会换届选举，新任监事会主席</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汤华林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职工代表大会选举，新任职工代表监事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李念</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监事会换届选举，连任股东代表监事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董事会聘任，连任董事会秘书</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董事会聘任，连任技术总监</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董事会聘任，连任财务总监</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孙晶晶</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行政总监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董事会聘任，新任行政总监</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赵洪功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任期届满离任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董事会任期满离任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任期届满离任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监事会任期满离任</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822"/>
        <w:gridCol w:w="375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任期届满离任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监事会任期满离任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付光清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制造总监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主动辞职</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因个人原因主动辞职</w:t>
            </w:r>
          </w:p>
        </w:tc>
      </w:tr>
    </w:tbl>
    <w:p>
      <w:pPr>
        <w:spacing w:line="240" w:lineRule="auto" w:before="0"/>
        <w:rPr>
          <w:rFonts w:ascii="宋体" w:hAnsi="宋体" w:cs="宋体" w:eastAsia="宋体" w:hint="default"/>
          <w:b/>
          <w:bCs/>
          <w:sz w:val="20"/>
          <w:szCs w:val="20"/>
        </w:rPr>
      </w:pPr>
    </w:p>
    <w:p>
      <w:pPr>
        <w:spacing w:line="388" w:lineRule="auto" w:before="172"/>
        <w:ind w:left="1133" w:right="5572" w:firstLine="0"/>
        <w:jc w:val="left"/>
        <w:rPr>
          <w:rFonts w:ascii="宋体" w:hAnsi="宋体" w:cs="宋体" w:eastAsia="宋体" w:hint="default"/>
          <w:sz w:val="24"/>
          <w:szCs w:val="24"/>
        </w:rPr>
      </w:pPr>
      <w:bookmarkStart w:name="三、任职情况" w:id="121"/>
      <w:bookmarkEnd w:id="121"/>
      <w:r>
        <w:rPr/>
      </w:r>
      <w:r>
        <w:rPr>
          <w:rFonts w:ascii="宋体" w:hAnsi="宋体" w:cs="宋体" w:eastAsia="宋体" w:hint="default"/>
          <w:b/>
          <w:bCs/>
          <w:sz w:val="24"/>
          <w:szCs w:val="24"/>
        </w:rPr>
        <w:t>三、任职情况</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、公司现任董事、监事、高级管理人员情况简介</w:t>
      </w:r>
      <w:r>
        <w:rPr>
          <w:rFonts w:ascii="宋体" w:hAnsi="宋体" w:cs="宋体" w:eastAsia="宋体" w:hint="default"/>
          <w:sz w:val="24"/>
          <w:szCs w:val="24"/>
        </w:rPr>
      </w:r>
    </w:p>
    <w:p>
      <w:pPr>
        <w:pStyle w:val="BodyText"/>
        <w:spacing w:line="326" w:lineRule="auto" w:before="46"/>
        <w:ind w:left="1613" w:right="1003" w:hanging="23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）董事</w:t>
      </w:r>
      <w:r>
        <w:rPr>
          <w:rFonts w:ascii="宋体" w:hAnsi="宋体" w:cs="宋体" w:eastAsia="宋体" w:hint="default"/>
          <w:b/>
          <w:bCs/>
          <w:w w:val="99"/>
        </w:rPr>
        <w:t> </w:t>
      </w:r>
      <w:r>
        <w:rPr>
          <w:rFonts w:ascii="宋体" w:hAnsi="宋体" w:cs="宋体" w:eastAsia="宋体" w:hint="default"/>
          <w:spacing w:val="-5"/>
        </w:rPr>
        <w:t>1</w:t>
      </w:r>
      <w:r>
        <w:rPr>
          <w:spacing w:val="-5"/>
        </w:rPr>
        <w:t>）孙屹峥先生：男，</w:t>
      </w:r>
      <w:r>
        <w:rPr>
          <w:rFonts w:ascii="宋体" w:hAnsi="宋体" w:cs="宋体" w:eastAsia="宋体" w:hint="default"/>
          <w:spacing w:val="-5"/>
        </w:rPr>
        <w:t>1960</w:t>
      </w:r>
      <w:r>
        <w:rPr>
          <w:spacing w:val="-5"/>
        </w:rPr>
        <w:t>年生，本科学历。曾担任中电集团天津第四十六研究所工程师、</w:t>
      </w:r>
    </w:p>
    <w:p>
      <w:pPr>
        <w:pStyle w:val="BodyText"/>
        <w:spacing w:line="357" w:lineRule="auto" w:before="66"/>
        <w:ind w:right="1131"/>
        <w:jc w:val="both"/>
      </w:pPr>
      <w:r>
        <w:rPr/>
        <w:t>美国力博特公司成都办事处经理、成都启阳通信设备有限公司总经理等职。</w:t>
      </w:r>
      <w:r>
        <w:rPr>
          <w:rFonts w:ascii="宋体" w:hAnsi="宋体" w:cs="宋体" w:eastAsia="宋体" w:hint="default"/>
        </w:rPr>
        <w:t>2002</w:t>
      </w:r>
      <w:r>
        <w:rPr/>
        <w:t>年起任职于</w:t>
      </w:r>
      <w:r>
        <w:rPr>
          <w:spacing w:val="-110"/>
        </w:rPr>
        <w:t> </w:t>
      </w:r>
      <w:r>
        <w:rPr>
          <w:spacing w:val="-110"/>
        </w:rPr>
      </w:r>
      <w:r>
        <w:rPr>
          <w:spacing w:val="-3"/>
        </w:rPr>
        <w:t>四川依米康制冷设备有限公司（依米康前身），历任总经理一职。</w:t>
      </w:r>
      <w:r>
        <w:rPr>
          <w:rFonts w:ascii="宋体" w:hAnsi="宋体" w:cs="宋体" w:eastAsia="宋体" w:hint="default"/>
          <w:spacing w:val="-3"/>
        </w:rPr>
        <w:t>2009</w:t>
      </w:r>
      <w:r>
        <w:rPr>
          <w:spacing w:val="-3"/>
        </w:rPr>
        <w:t>年</w:t>
      </w:r>
      <w:r>
        <w:rPr>
          <w:rFonts w:ascii="宋体" w:hAnsi="宋体" w:cs="宋体" w:eastAsia="宋体" w:hint="default"/>
          <w:spacing w:val="-3"/>
        </w:rPr>
        <w:t>9</w:t>
      </w:r>
      <w:r>
        <w:rPr>
          <w:spacing w:val="-3"/>
        </w:rPr>
        <w:t>月起连任本公司董</w:t>
      </w:r>
      <w:r>
        <w:rPr>
          <w:spacing w:val="-102"/>
        </w:rPr>
        <w:t> </w:t>
      </w:r>
      <w:r>
        <w:rPr>
          <w:spacing w:val="-2"/>
        </w:rPr>
        <w:t>事长；</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日起担任公司第三届董事会董事长，任期三年。另外兼任公司控股公司深</w:t>
      </w:r>
      <w:r>
        <w:rPr>
          <w:spacing w:val="-116"/>
        </w:rPr>
        <w:t> </w:t>
      </w:r>
      <w:r>
        <w:rPr>
          <w:spacing w:val="-116"/>
        </w:rPr>
      </w:r>
      <w:r>
        <w:rPr/>
        <w:t>圳龙控、西安华西、江苏亿金董事长及参股公司上海虹港的董事。</w:t>
      </w:r>
    </w:p>
    <w:p>
      <w:pPr>
        <w:pStyle w:val="BodyText"/>
        <w:spacing w:line="357" w:lineRule="auto" w:before="35"/>
        <w:ind w:left="1134" w:right="1002" w:firstLine="480"/>
        <w:jc w:val="left"/>
      </w:pPr>
      <w:r>
        <w:rPr>
          <w:rFonts w:ascii="宋体" w:hAnsi="宋体" w:cs="宋体" w:eastAsia="宋体" w:hint="default"/>
          <w:spacing w:val="-5"/>
        </w:rPr>
        <w:t>2</w:t>
      </w:r>
      <w:r>
        <w:rPr>
          <w:spacing w:val="-5"/>
        </w:rPr>
        <w:t>）张菀女士：女，</w:t>
      </w:r>
      <w:r>
        <w:rPr>
          <w:rFonts w:ascii="宋体" w:hAnsi="宋体" w:cs="宋体" w:eastAsia="宋体" w:hint="default"/>
          <w:spacing w:val="-5"/>
        </w:rPr>
        <w:t>1962</w:t>
      </w:r>
      <w:r>
        <w:rPr>
          <w:spacing w:val="-5"/>
        </w:rPr>
        <w:t>年生，研究生学历。曾担任中电集团天津第四十六研究所工程师、</w:t>
      </w:r>
      <w:r>
        <w:rPr/>
        <w:t> 美国力博特公司成都办事处办公室主任、成都启阳通信设备有限公司副总经理等职。</w:t>
      </w:r>
      <w:r>
        <w:rPr>
          <w:rFonts w:ascii="宋体" w:hAnsi="宋体" w:cs="宋体" w:eastAsia="宋体" w:hint="default"/>
        </w:rPr>
        <w:t>2002</w:t>
      </w:r>
      <w:r>
        <w:rPr/>
        <w:t>年</w:t>
      </w:r>
    </w:p>
    <w:p>
      <w:pPr>
        <w:pStyle w:val="BodyText"/>
        <w:spacing w:line="357" w:lineRule="auto" w:before="35"/>
        <w:ind w:right="1130"/>
        <w:jc w:val="both"/>
      </w:pPr>
      <w:r>
        <w:rPr>
          <w:rFonts w:ascii="宋体" w:hAnsi="宋体" w:cs="宋体" w:eastAsia="宋体" w:hint="default"/>
          <w:spacing w:val="-3"/>
        </w:rPr>
        <w:t>-2009</w:t>
      </w:r>
      <w:r>
        <w:rPr>
          <w:spacing w:val="-3"/>
        </w:rPr>
        <w:t>年</w:t>
      </w:r>
      <w:r>
        <w:rPr>
          <w:rFonts w:ascii="宋体" w:hAnsi="宋体" w:cs="宋体" w:eastAsia="宋体" w:hint="default"/>
          <w:spacing w:val="-3"/>
        </w:rPr>
        <w:t>9</w:t>
      </w:r>
      <w:r>
        <w:rPr>
          <w:spacing w:val="-3"/>
        </w:rPr>
        <w:t>月担任四川依米康制冷设备有限公司法定代表人、董事长（依米康前身），</w:t>
      </w:r>
      <w:r>
        <w:rPr>
          <w:rFonts w:ascii="宋体" w:hAnsi="宋体" w:cs="宋体" w:eastAsia="宋体" w:hint="default"/>
          <w:spacing w:val="-3"/>
        </w:rPr>
        <w:t>2009</w:t>
      </w:r>
      <w:r>
        <w:rPr>
          <w:spacing w:val="-3"/>
        </w:rPr>
        <w:t>年</w:t>
      </w:r>
      <w:r>
        <w:rPr>
          <w:rFonts w:ascii="宋体" w:hAnsi="宋体" w:cs="宋体" w:eastAsia="宋体" w:hint="default"/>
          <w:spacing w:val="-3"/>
        </w:rPr>
        <w:t>9</w:t>
      </w:r>
      <w:r>
        <w:rPr>
          <w:rFonts w:ascii="宋体" w:hAnsi="宋体" w:cs="宋体" w:eastAsia="宋体" w:hint="default"/>
          <w:spacing w:val="-88"/>
        </w:rPr>
        <w:t> </w:t>
      </w:r>
      <w:r>
        <w:rPr>
          <w:spacing w:val="-2"/>
        </w:rPr>
        <w:t>月起连任公司法定代表人、董事兼总经理；</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日起担任公司第三届董事会董事兼总</w:t>
      </w:r>
      <w:r>
        <w:rPr>
          <w:spacing w:val="-114"/>
        </w:rPr>
        <w:t> </w:t>
      </w:r>
      <w:r>
        <w:rPr/>
        <w:t>经理，任期三年；另兼任公司控股公司深圳龙控、西安华西、江苏亿金董事。</w:t>
      </w:r>
    </w:p>
    <w:p>
      <w:pPr>
        <w:pStyle w:val="BodyText"/>
        <w:spacing w:line="357" w:lineRule="auto" w:before="35"/>
        <w:ind w:right="994" w:firstLine="480"/>
        <w:jc w:val="left"/>
      </w:pPr>
      <w:r>
        <w:rPr>
          <w:rFonts w:ascii="宋体" w:hAnsi="宋体" w:cs="宋体" w:eastAsia="宋体" w:hint="default"/>
        </w:rPr>
        <w:t>3</w:t>
      </w:r>
      <w:r>
        <w:rPr/>
        <w:t>）徐晓先生：男，中国国籍，无境外永久居留权。</w:t>
      </w:r>
      <w:r>
        <w:rPr>
          <w:rFonts w:ascii="宋体" w:hAnsi="宋体" w:cs="宋体" w:eastAsia="宋体" w:hint="default"/>
        </w:rPr>
        <w:t>1972</w:t>
      </w:r>
      <w:r>
        <w:rPr/>
        <w:t>年</w:t>
      </w:r>
      <w:r>
        <w:rPr>
          <w:rFonts w:ascii="宋体" w:hAnsi="宋体" w:cs="宋体" w:eastAsia="宋体" w:hint="default"/>
        </w:rPr>
        <w:t>8</w:t>
      </w:r>
      <w:r>
        <w:rPr/>
        <w:t>月出生，</w:t>
      </w:r>
      <w:r>
        <w:rPr>
          <w:rFonts w:ascii="宋体" w:hAnsi="宋体" w:cs="宋体" w:eastAsia="宋体" w:hint="default"/>
        </w:rPr>
        <w:t>1994</w:t>
      </w:r>
      <w:r>
        <w:rPr/>
        <w:t>年</w:t>
      </w:r>
      <w:r>
        <w:rPr>
          <w:rFonts w:ascii="宋体" w:hAnsi="宋体" w:cs="宋体" w:eastAsia="宋体" w:hint="default"/>
        </w:rPr>
        <w:t>7</w:t>
      </w:r>
      <w:r>
        <w:rPr/>
        <w:t>月本科毕业 于同济大学计算机及应用专业并获工学学士学位；</w:t>
      </w:r>
      <w:r>
        <w:rPr>
          <w:rFonts w:ascii="宋体" w:hAnsi="宋体" w:cs="宋体" w:eastAsia="宋体" w:hint="default"/>
        </w:rPr>
        <w:t>1998</w:t>
      </w:r>
      <w:r>
        <w:rPr/>
        <w:t>年</w:t>
      </w:r>
      <w:r>
        <w:rPr>
          <w:rFonts w:ascii="宋体" w:hAnsi="宋体" w:cs="宋体" w:eastAsia="宋体" w:hint="default"/>
        </w:rPr>
        <w:t>3</w:t>
      </w:r>
      <w:r>
        <w:rPr/>
        <w:t>月至 </w:t>
      </w:r>
      <w:r>
        <w:rPr>
          <w:rFonts w:ascii="宋体" w:hAnsi="宋体" w:cs="宋体" w:eastAsia="宋体" w:hint="default"/>
        </w:rPr>
        <w:t>2001</w:t>
      </w:r>
      <w:r>
        <w:rPr/>
        <w:t>年</w:t>
      </w:r>
      <w:r>
        <w:rPr>
          <w:rFonts w:ascii="宋体" w:hAnsi="宋体" w:cs="宋体" w:eastAsia="宋体" w:hint="default"/>
        </w:rPr>
        <w:t>12</w:t>
      </w:r>
      <w:r>
        <w:rPr/>
        <w:t>月，在上海社会科</w:t>
      </w:r>
      <w:r>
        <w:rPr>
          <w:spacing w:val="-106"/>
        </w:rPr>
        <w:t> </w:t>
      </w:r>
      <w:r>
        <w:rPr>
          <w:spacing w:val="-106"/>
        </w:rPr>
      </w:r>
      <w:r>
        <w:rPr/>
        <w:t>学院进修，学习产业经济学并获毕业证书。</w:t>
      </w:r>
      <w:r>
        <w:rPr>
          <w:rFonts w:ascii="宋体" w:hAnsi="宋体" w:cs="宋体" w:eastAsia="宋体" w:hint="default"/>
        </w:rPr>
        <w:t>1994</w:t>
      </w:r>
      <w:r>
        <w:rPr/>
        <w:t>年</w:t>
      </w:r>
      <w:r>
        <w:rPr>
          <w:rFonts w:ascii="宋体" w:hAnsi="宋体" w:cs="宋体" w:eastAsia="宋体" w:hint="default"/>
        </w:rPr>
        <w:t>7</w:t>
      </w:r>
      <w:r>
        <w:rPr/>
        <w:t>月至</w:t>
      </w:r>
      <w:r>
        <w:rPr>
          <w:rFonts w:ascii="宋体" w:hAnsi="宋体" w:cs="宋体" w:eastAsia="宋体" w:hint="default"/>
        </w:rPr>
        <w:t>2007</w:t>
      </w:r>
      <w:r>
        <w:rPr/>
        <w:t>年</w:t>
      </w:r>
      <w:r>
        <w:rPr>
          <w:rFonts w:ascii="宋体" w:hAnsi="宋体" w:cs="宋体" w:eastAsia="宋体" w:hint="default"/>
        </w:rPr>
        <w:t>8</w:t>
      </w:r>
      <w:r>
        <w:rPr/>
        <w:t>月，历任申银万国证券投资</w:t>
      </w:r>
      <w:r>
        <w:rPr>
          <w:spacing w:val="-110"/>
        </w:rPr>
        <w:t> </w:t>
      </w:r>
      <w:r>
        <w:rPr>
          <w:spacing w:val="-110"/>
        </w:rPr>
      </w:r>
      <w:r>
        <w:rPr/>
        <w:t>银行部项目经理、部门经理；</w:t>
      </w:r>
      <w:r>
        <w:rPr>
          <w:rFonts w:ascii="宋体" w:hAnsi="宋体" w:cs="宋体" w:eastAsia="宋体" w:hint="default"/>
        </w:rPr>
        <w:t>2007</w:t>
      </w:r>
      <w:r>
        <w:rPr/>
        <w:t>年</w:t>
      </w:r>
      <w:r>
        <w:rPr>
          <w:rFonts w:ascii="宋体" w:hAnsi="宋体" w:cs="宋体" w:eastAsia="宋体" w:hint="default"/>
        </w:rPr>
        <w:t>9</w:t>
      </w:r>
      <w:r>
        <w:rPr/>
        <w:t>月至今，任上海亨升投资管理有限公司投资经理、投资 </w:t>
      </w:r>
      <w:r>
        <w:rPr>
          <w:spacing w:val="-3"/>
        </w:rPr>
        <w:t>总监。徐晓在投行业务、股权投资方面有着丰富的实务经验，曾先后参加、主持了通宝能源、</w:t>
      </w:r>
      <w:r>
        <w:rPr>
          <w:spacing w:val="-81"/>
        </w:rPr>
        <w:t> </w:t>
      </w:r>
      <w:r>
        <w:rPr>
          <w:spacing w:val="-81"/>
        </w:rPr>
      </w:r>
      <w:r>
        <w:rPr/>
        <w:t>南京中北、南京医药、南京中达、精工科技、南通机床、江南高纤、同济科技、上海梅林等 </w:t>
      </w:r>
      <w:r>
        <w:rPr>
          <w:spacing w:val="-3"/>
        </w:rPr>
        <w:t>多个</w:t>
      </w:r>
      <w:r>
        <w:rPr>
          <w:rFonts w:ascii="宋体" w:hAnsi="宋体" w:cs="宋体" w:eastAsia="宋体" w:hint="default"/>
          <w:spacing w:val="-3"/>
        </w:rPr>
        <w:t>IPO</w:t>
      </w:r>
      <w:r>
        <w:rPr>
          <w:spacing w:val="-3"/>
        </w:rPr>
        <w:t>、配股、增发、资产重组及股改项目；加盟上海亨升投资管理有限公司后，凭借丰富</w:t>
      </w:r>
      <w:r>
        <w:rPr>
          <w:spacing w:val="-79"/>
        </w:rPr>
        <w:t> </w:t>
      </w:r>
      <w:r>
        <w:rPr>
          <w:spacing w:val="-79"/>
        </w:rPr>
      </w:r>
      <w:r>
        <w:rPr/>
        <w:t>的行业和资本市场经验，帮助依米康在内的多家公司完成了融资工作。</w:t>
      </w:r>
      <w:r>
        <w:rPr>
          <w:rFonts w:ascii="宋体" w:hAnsi="宋体" w:cs="宋体" w:eastAsia="宋体" w:hint="default"/>
        </w:rPr>
        <w:t>2013</w:t>
      </w:r>
      <w:r>
        <w:rPr/>
        <w:t>年</w:t>
      </w:r>
      <w:r>
        <w:rPr>
          <w:rFonts w:ascii="宋体" w:hAnsi="宋体" w:cs="宋体" w:eastAsia="宋体" w:hint="default"/>
        </w:rPr>
        <w:t>1</w:t>
      </w:r>
      <w:r>
        <w:rPr/>
        <w:t>月至今担任本 公司董事；</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日起担任公司第三届董事会董事，任期三年。</w:t>
      </w:r>
    </w:p>
    <w:p>
      <w:pPr>
        <w:pStyle w:val="BodyText"/>
        <w:spacing w:line="357" w:lineRule="auto" w:before="35"/>
        <w:ind w:right="1130" w:firstLine="480"/>
        <w:jc w:val="both"/>
      </w:pPr>
      <w:r>
        <w:rPr>
          <w:rFonts w:ascii="宋体" w:hAnsi="宋体" w:cs="宋体" w:eastAsia="宋体" w:hint="default"/>
        </w:rPr>
        <w:t>4</w:t>
      </w:r>
      <w:r>
        <w:rPr/>
        <w:t>）黄兴旺先生：</w:t>
      </w:r>
      <w:r>
        <w:rPr>
          <w:spacing w:val="9"/>
        </w:rPr>
        <w:t> </w:t>
      </w:r>
      <w:r>
        <w:rPr/>
        <w:t>男，中国国籍，无境外永久居留权。</w:t>
      </w:r>
      <w:r>
        <w:rPr>
          <w:rFonts w:ascii="宋体" w:hAnsi="宋体" w:cs="宋体" w:eastAsia="宋体" w:hint="default"/>
        </w:rPr>
        <w:t>1969</w:t>
      </w:r>
      <w:r>
        <w:rPr/>
        <w:t>年出生，研究生学历，四川 省社会科学院法学硕士，中国执业律师，</w:t>
      </w:r>
      <w:r>
        <w:rPr>
          <w:rFonts w:ascii="宋体" w:hAnsi="宋体" w:cs="宋体" w:eastAsia="宋体" w:hint="default"/>
        </w:rPr>
        <w:t>2008</w:t>
      </w:r>
      <w:r>
        <w:rPr/>
        <w:t>年</w:t>
      </w:r>
      <w:r>
        <w:rPr>
          <w:rFonts w:ascii="宋体" w:hAnsi="宋体" w:cs="宋体" w:eastAsia="宋体" w:hint="default"/>
        </w:rPr>
        <w:t>8</w:t>
      </w:r>
      <w:r>
        <w:rPr/>
        <w:t>月取得独立董事资格证书。</w:t>
      </w:r>
      <w:r>
        <w:rPr>
          <w:rFonts w:ascii="宋体" w:hAnsi="宋体" w:cs="宋体" w:eastAsia="宋体" w:hint="default"/>
        </w:rPr>
        <w:t>1992</w:t>
      </w:r>
      <w:r>
        <w:rPr/>
        <w:t>年</w:t>
      </w:r>
      <w:r>
        <w:rPr>
          <w:rFonts w:ascii="宋体" w:hAnsi="宋体" w:cs="宋体" w:eastAsia="宋体" w:hint="default"/>
        </w:rPr>
        <w:t>7</w:t>
      </w:r>
      <w:r>
        <w:rPr/>
        <w:t>月起在</w:t>
      </w:r>
      <w:r>
        <w:rPr>
          <w:spacing w:val="-107"/>
        </w:rPr>
        <w:t> </w:t>
      </w:r>
      <w:r>
        <w:rPr>
          <w:spacing w:val="-2"/>
        </w:rPr>
        <w:t>浙江省人民检察院任书记员，</w:t>
      </w:r>
      <w:r>
        <w:rPr>
          <w:rFonts w:ascii="宋体" w:hAnsi="宋体" w:cs="宋体" w:eastAsia="宋体" w:hint="default"/>
          <w:spacing w:val="-2"/>
        </w:rPr>
        <w:t>1999</w:t>
      </w:r>
      <w:r>
        <w:rPr>
          <w:spacing w:val="-2"/>
        </w:rPr>
        <w:t>年</w:t>
      </w:r>
      <w:r>
        <w:rPr>
          <w:rFonts w:ascii="宋体" w:hAnsi="宋体" w:cs="宋体" w:eastAsia="宋体" w:hint="default"/>
          <w:spacing w:val="-2"/>
        </w:rPr>
        <w:t>7</w:t>
      </w:r>
      <w:r>
        <w:rPr>
          <w:spacing w:val="-2"/>
        </w:rPr>
        <w:t>月在四川省社会科学院法学研究所任实习研究员，</w:t>
      </w:r>
      <w:r>
        <w:rPr>
          <w:rFonts w:ascii="宋体" w:hAnsi="宋体" w:cs="宋体" w:eastAsia="宋体" w:hint="default"/>
          <w:spacing w:val="-2"/>
        </w:rPr>
        <w:t>2001</w:t>
      </w:r>
      <w:r>
        <w:rPr>
          <w:rFonts w:ascii="宋体" w:hAnsi="宋体" w:cs="宋体" w:eastAsia="宋体" w:hint="default"/>
          <w:spacing w:val="-112"/>
        </w:rPr>
        <w:t> </w:t>
      </w:r>
      <w:r>
        <w:rPr>
          <w:spacing w:val="-2"/>
        </w:rPr>
        <w:t>年起在中豪律师集团（四川）事务所任合伙人、主任，</w:t>
      </w:r>
      <w:r>
        <w:rPr>
          <w:rFonts w:ascii="宋体" w:hAnsi="宋体" w:cs="宋体" w:eastAsia="宋体" w:hint="default"/>
          <w:spacing w:val="-2"/>
        </w:rPr>
        <w:t>2011</w:t>
      </w:r>
      <w:r>
        <w:rPr>
          <w:spacing w:val="-2"/>
        </w:rPr>
        <w:t>年</w:t>
      </w:r>
      <w:r>
        <w:rPr>
          <w:rFonts w:ascii="宋体" w:hAnsi="宋体" w:cs="宋体" w:eastAsia="宋体" w:hint="default"/>
          <w:spacing w:val="-2"/>
        </w:rPr>
        <w:t>2</w:t>
      </w:r>
      <w:r>
        <w:rPr>
          <w:spacing w:val="-2"/>
        </w:rPr>
        <w:t>月至今任北京国枫律师事务所</w:t>
      </w:r>
      <w:r>
        <w:rPr>
          <w:spacing w:val="-117"/>
        </w:rPr>
        <w:t> </w:t>
      </w:r>
      <w:r>
        <w:rPr>
          <w:spacing w:val="-2"/>
        </w:rPr>
        <w:t>合伙人、成都所负责人，</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月至今任成都西华盛世信息技术股份有限公司董事长。现任</w:t>
      </w:r>
    </w:p>
    <w:p>
      <w:pPr>
        <w:spacing w:after="0" w:line="357" w:lineRule="auto"/>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57" w:lineRule="auto" w:before="26"/>
        <w:ind w:right="1133"/>
        <w:jc w:val="both"/>
      </w:pPr>
      <w:r>
        <w:rPr/>
        <w:t>四川省上市公司协会中介机构专业委员会副主任、独立董事专业委员会委员，四川省优秀律 师。</w:t>
      </w:r>
      <w:r>
        <w:rPr>
          <w:rFonts w:ascii="宋体" w:hAnsi="宋体" w:cs="宋体" w:eastAsia="宋体" w:hint="default"/>
        </w:rPr>
        <w:t>2012</w:t>
      </w:r>
      <w:r>
        <w:rPr/>
        <w:t>年</w:t>
      </w:r>
      <w:r>
        <w:rPr>
          <w:rFonts w:ascii="宋体" w:hAnsi="宋体" w:cs="宋体" w:eastAsia="宋体" w:hint="default"/>
        </w:rPr>
        <w:t>9</w:t>
      </w:r>
      <w:r>
        <w:rPr/>
        <w:t>月至今担任本公司第二届董事会独立董事，</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日起连任公司第三届董</w:t>
      </w:r>
      <w:r>
        <w:rPr>
          <w:spacing w:val="-110"/>
        </w:rPr>
        <w:t> </w:t>
      </w:r>
      <w:r>
        <w:rPr/>
        <w:t>事会独立董事，任期三年；另担任双马水泥、宜宾纸业、西藏金采、成都天奥等公司独立董 事、成都锦城祥公司监事。</w:t>
      </w:r>
    </w:p>
    <w:p>
      <w:pPr>
        <w:pStyle w:val="BodyText"/>
        <w:spacing w:line="357" w:lineRule="auto" w:before="35"/>
        <w:ind w:right="1033" w:firstLine="480"/>
        <w:jc w:val="left"/>
      </w:pPr>
      <w:r>
        <w:rPr>
          <w:rFonts w:ascii="宋体" w:hAnsi="宋体" w:cs="宋体" w:eastAsia="宋体" w:hint="default"/>
          <w:spacing w:val="-3"/>
        </w:rPr>
        <w:t>5</w:t>
      </w:r>
      <w:r>
        <w:rPr>
          <w:spacing w:val="-3"/>
        </w:rPr>
        <w:t>）陈维亮先生：男，中国国籍，无境外永久居留权。</w:t>
      </w:r>
      <w:r>
        <w:rPr>
          <w:rFonts w:ascii="宋体" w:hAnsi="宋体" w:cs="宋体" w:eastAsia="宋体" w:hint="default"/>
          <w:spacing w:val="-3"/>
        </w:rPr>
        <w:t>1969</w:t>
      </w:r>
      <w:r>
        <w:rPr>
          <w:spacing w:val="-3"/>
        </w:rPr>
        <w:t>年生，硕士研究生，注册会计</w:t>
      </w:r>
      <w:r>
        <w:rPr/>
        <w:t> 师、注册资产评估师，中国注册会计师协会资深会员，中国资产评估协会资深会员，第十届 四川省政协经济委员会特邀委员，第十二届四川省人大代表，四川省上市公司协会中介机构 专业委员会委员。曾担任四川长江液压件有限责任公司会计，泸州市资产评估事务所项目经 </w:t>
      </w:r>
      <w:r>
        <w:rPr>
          <w:spacing w:val="-5"/>
        </w:rPr>
        <w:t>理，泸州市审计师事务所部门经理，四川长信会计师事务所有限公司部门经理，四川华信（集</w:t>
      </w:r>
      <w:r>
        <w:rPr/>
        <w:t> </w:t>
      </w:r>
      <w:r>
        <w:rPr>
          <w:spacing w:val="-2"/>
        </w:rPr>
        <w:t>团）事务所有限责任公司合伙人，现任四川维诚会计师事务所有限公司董事长；</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月取</w:t>
      </w:r>
      <w:r>
        <w:rPr>
          <w:spacing w:val="-117"/>
        </w:rPr>
        <w:t> </w:t>
      </w:r>
      <w:r>
        <w:rPr/>
        <w:t>得独立董事资格证书，</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日起担任公司第三届董事会独立董事和审计委员会主任， 任期三年；另担任成都硅宝科技股份有限公司、四川国栋建设股份有限公司独立董事和审计 委员会主任委员。</w:t>
      </w:r>
    </w:p>
    <w:p>
      <w:pPr>
        <w:pStyle w:val="Heading3"/>
        <w:spacing w:line="240" w:lineRule="auto" w:before="155"/>
        <w:ind w:left="1253" w:right="1033"/>
        <w:jc w:val="left"/>
        <w:rPr>
          <w:b w:val="0"/>
          <w:bCs w:val="0"/>
        </w:rPr>
      </w:pPr>
      <w:r>
        <w:rPr/>
        <w:t>（</w:t>
      </w:r>
      <w:r>
        <w:rPr>
          <w:rFonts w:ascii="宋体" w:hAnsi="宋体" w:cs="宋体" w:eastAsia="宋体" w:hint="default"/>
        </w:rPr>
        <w:t>2</w:t>
      </w:r>
      <w:r>
        <w:rPr/>
        <w:t>）监事</w:t>
      </w:r>
      <w:r>
        <w:rPr>
          <w:b w:val="0"/>
          <w:bCs w:val="0"/>
        </w:rPr>
      </w:r>
    </w:p>
    <w:p>
      <w:pPr>
        <w:pStyle w:val="BodyText"/>
        <w:spacing w:line="357" w:lineRule="auto" w:before="113"/>
        <w:ind w:right="1131" w:firstLine="480"/>
        <w:jc w:val="both"/>
      </w:pPr>
      <w:r>
        <w:rPr>
          <w:rFonts w:ascii="宋体" w:hAnsi="宋体" w:cs="宋体" w:eastAsia="宋体" w:hint="default"/>
          <w:spacing w:val="-3"/>
        </w:rPr>
        <w:t>1</w:t>
      </w:r>
      <w:r>
        <w:rPr>
          <w:spacing w:val="-3"/>
        </w:rPr>
        <w:t>）张云鹃：女，中国国籍，无境外永久居留权。</w:t>
      </w:r>
      <w:r>
        <w:rPr>
          <w:rFonts w:ascii="宋体" w:hAnsi="宋体" w:cs="宋体" w:eastAsia="宋体" w:hint="default"/>
          <w:spacing w:val="-3"/>
        </w:rPr>
        <w:t>1980</w:t>
      </w:r>
      <w:r>
        <w:rPr>
          <w:spacing w:val="-3"/>
        </w:rPr>
        <w:t>年生，研究生学历。曾担任珠海格</w:t>
      </w:r>
      <w:r>
        <w:rPr/>
        <w:t> </w:t>
      </w:r>
      <w:r>
        <w:rPr>
          <w:spacing w:val="-2"/>
        </w:rPr>
        <w:t>力电器股份有限公司制冷研究院研究员，</w:t>
      </w:r>
      <w:r>
        <w:rPr>
          <w:rFonts w:ascii="宋体" w:hAnsi="宋体" w:cs="宋体" w:eastAsia="宋体" w:hint="default"/>
          <w:spacing w:val="-2"/>
        </w:rPr>
        <w:t>2008</w:t>
      </w:r>
      <w:r>
        <w:rPr>
          <w:spacing w:val="-2"/>
        </w:rPr>
        <w:t>年</w:t>
      </w:r>
      <w:r>
        <w:rPr>
          <w:rFonts w:ascii="宋体" w:hAnsi="宋体" w:cs="宋体" w:eastAsia="宋体" w:hint="default"/>
          <w:spacing w:val="-2"/>
        </w:rPr>
        <w:t>5</w:t>
      </w:r>
      <w:r>
        <w:rPr>
          <w:spacing w:val="-2"/>
        </w:rPr>
        <w:t>月起任公司制冷系统工程师、售前技术支持</w:t>
      </w:r>
      <w:r>
        <w:rPr>
          <w:spacing w:val="-115"/>
        </w:rPr>
        <w:t> </w:t>
      </w:r>
      <w:r>
        <w:rPr>
          <w:spacing w:val="-115"/>
        </w:rPr>
      </w:r>
      <w:r>
        <w:rPr>
          <w:spacing w:val="-2"/>
        </w:rPr>
        <w:t>工程师、产品部经理，现任公司技术研发中心经理；</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日起担任公司第三届监事会</w:t>
      </w:r>
      <w:r>
        <w:rPr>
          <w:spacing w:val="-116"/>
        </w:rPr>
        <w:t> </w:t>
      </w:r>
      <w:r>
        <w:rPr>
          <w:spacing w:val="-116"/>
        </w:rPr>
      </w:r>
      <w:r>
        <w:rPr/>
        <w:t>主席，任期三年。</w:t>
      </w:r>
    </w:p>
    <w:p>
      <w:pPr>
        <w:pStyle w:val="BodyText"/>
        <w:spacing w:line="357" w:lineRule="auto" w:before="35"/>
        <w:ind w:right="1130" w:firstLine="480"/>
        <w:jc w:val="both"/>
      </w:pPr>
      <w:r>
        <w:rPr>
          <w:rFonts w:ascii="宋体" w:hAnsi="宋体" w:cs="宋体" w:eastAsia="宋体" w:hint="default"/>
          <w:spacing w:val="-3"/>
        </w:rPr>
        <w:t>2</w:t>
      </w:r>
      <w:r>
        <w:rPr>
          <w:spacing w:val="-3"/>
        </w:rPr>
        <w:t>）李念先生：男，中国国籍，无境外永久居留权。</w:t>
      </w:r>
      <w:r>
        <w:rPr>
          <w:rFonts w:ascii="宋体" w:hAnsi="宋体" w:cs="宋体" w:eastAsia="宋体" w:hint="default"/>
          <w:spacing w:val="-3"/>
        </w:rPr>
        <w:t>1968</w:t>
      </w:r>
      <w:r>
        <w:rPr>
          <w:spacing w:val="-3"/>
        </w:rPr>
        <w:t>年生，专科学历。曾担任成都启</w:t>
      </w:r>
      <w:r>
        <w:rPr/>
        <w:t> 阳通信设备有限公司销售经理、阿尔西制冷工程技术（北京）有限公司成都办事处销售经理 等职。</w:t>
      </w:r>
      <w:r>
        <w:rPr>
          <w:rFonts w:ascii="宋体" w:hAnsi="宋体" w:cs="宋体" w:eastAsia="宋体" w:hint="default"/>
        </w:rPr>
        <w:t>2006</w:t>
      </w:r>
      <w:r>
        <w:rPr/>
        <w:t>年起任四川依米康制冷设备有限公司区域销售经理，现任公司营销中心大客户总</w:t>
      </w:r>
      <w:r>
        <w:rPr>
          <w:spacing w:val="-115"/>
        </w:rPr>
        <w:t> </w:t>
      </w:r>
      <w:r>
        <w:rPr>
          <w:spacing w:val="-115"/>
        </w:rPr>
      </w:r>
      <w:r>
        <w:rPr>
          <w:spacing w:val="-2"/>
        </w:rPr>
        <w:t>监。</w:t>
      </w:r>
      <w:r>
        <w:rPr>
          <w:rFonts w:ascii="宋体" w:hAnsi="宋体" w:cs="宋体" w:eastAsia="宋体" w:hint="default"/>
          <w:spacing w:val="-2"/>
        </w:rPr>
        <w:t>2009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w:t>
      </w:r>
      <w:r>
        <w:rPr>
          <w:spacing w:val="-2"/>
        </w:rPr>
        <w:t>日起担任公司第一届监事会股东代表监事，</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月至今担任公司第二届监</w:t>
      </w:r>
      <w:r>
        <w:rPr>
          <w:spacing w:val="-110"/>
        </w:rPr>
        <w:t> </w:t>
      </w:r>
      <w:r>
        <w:rPr/>
        <w:t>事会股东代表监事；</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日起担任公司第三届监事会股东代表监事，任期三年。</w:t>
      </w:r>
    </w:p>
    <w:p>
      <w:pPr>
        <w:pStyle w:val="BodyText"/>
        <w:spacing w:line="357" w:lineRule="auto" w:before="35"/>
        <w:ind w:right="1130" w:firstLine="480"/>
        <w:jc w:val="both"/>
      </w:pPr>
      <w:r>
        <w:rPr>
          <w:rFonts w:ascii="宋体" w:hAnsi="宋体" w:cs="宋体" w:eastAsia="宋体" w:hint="default"/>
          <w:spacing w:val="-3"/>
        </w:rPr>
        <w:t>3</w:t>
      </w:r>
      <w:r>
        <w:rPr>
          <w:spacing w:val="-3"/>
        </w:rPr>
        <w:t>）汤华林先生：男，中国国籍，无境外永久居留权，</w:t>
      </w:r>
      <w:r>
        <w:rPr>
          <w:rFonts w:ascii="宋体" w:hAnsi="宋体" w:cs="宋体" w:eastAsia="宋体" w:hint="default"/>
          <w:spacing w:val="-3"/>
        </w:rPr>
        <w:t>1980</w:t>
      </w:r>
      <w:r>
        <w:rPr>
          <w:spacing w:val="-3"/>
        </w:rPr>
        <w:t>年生，研究生学历，中国注册</w:t>
      </w:r>
      <w:r>
        <w:rPr/>
        <w:t> 会计师。曾担任金蝶软件（中国）有限公司财务共享服务中心总监、区域财务总监。</w:t>
      </w:r>
      <w:r>
        <w:rPr>
          <w:rFonts w:ascii="宋体" w:hAnsi="宋体" w:cs="宋体" w:eastAsia="宋体" w:hint="default"/>
        </w:rPr>
        <w:t>2014</w:t>
      </w:r>
      <w:r>
        <w:rPr/>
        <w:t>年</w:t>
      </w:r>
      <w:r>
        <w:rPr>
          <w:spacing w:val="-110"/>
        </w:rPr>
        <w:t> </w:t>
      </w:r>
      <w:r>
        <w:rPr/>
        <w:t>起任公司财务经理；</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日起担任公司第三届监事会职工代表监事，任期三年。</w:t>
      </w:r>
    </w:p>
    <w:p>
      <w:pPr>
        <w:spacing w:line="326" w:lineRule="auto" w:before="155"/>
        <w:ind w:left="1613" w:right="4153" w:hanging="36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）高级管理人员</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）张菀女士：总经理，见上述董事关于张菀的相关介绍。</w:t>
      </w:r>
    </w:p>
    <w:p>
      <w:pPr>
        <w:pStyle w:val="BodyText"/>
        <w:spacing w:line="240" w:lineRule="auto" w:before="66"/>
        <w:ind w:left="1613" w:right="1033"/>
        <w:jc w:val="left"/>
      </w:pPr>
      <w:r>
        <w:rPr>
          <w:rFonts w:ascii="宋体" w:hAnsi="宋体" w:cs="宋体" w:eastAsia="宋体" w:hint="default"/>
          <w:spacing w:val="-3"/>
        </w:rPr>
        <w:t>2</w:t>
      </w:r>
      <w:r>
        <w:rPr>
          <w:spacing w:val="-3"/>
        </w:rPr>
        <w:t>）周淑兰女士：女，中国国籍，无境外永久居留权。</w:t>
      </w:r>
      <w:r>
        <w:rPr>
          <w:rFonts w:ascii="宋体" w:hAnsi="宋体" w:cs="宋体" w:eastAsia="宋体" w:hint="default"/>
          <w:spacing w:val="-3"/>
        </w:rPr>
        <w:t>1965</w:t>
      </w:r>
      <w:r>
        <w:rPr>
          <w:spacing w:val="-3"/>
        </w:rPr>
        <w:t>年生，研究生学历。曾担任电</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57" w:lineRule="auto" w:before="26"/>
        <w:ind w:right="999"/>
        <w:jc w:val="left"/>
      </w:pPr>
      <w:r>
        <w:rPr/>
        <w:t>子科技大学讲师、宝隆洋行（香港）成都办事处高级行政人事主管、成都启阳通信设备有限 </w:t>
      </w:r>
      <w:r>
        <w:rPr>
          <w:spacing w:val="-2"/>
        </w:rPr>
        <w:t>公司行政人事经理等职。</w:t>
      </w:r>
      <w:r>
        <w:rPr>
          <w:rFonts w:ascii="宋体" w:hAnsi="宋体" w:cs="宋体" w:eastAsia="宋体" w:hint="default"/>
          <w:spacing w:val="-2"/>
        </w:rPr>
        <w:t>2002</w:t>
      </w:r>
      <w:r>
        <w:rPr>
          <w:spacing w:val="-2"/>
        </w:rPr>
        <w:t>年起任职于四川依米康制冷设备有限公司，任人力资源部经理、</w:t>
      </w:r>
      <w:r>
        <w:rPr>
          <w:spacing w:val="-116"/>
        </w:rPr>
        <w:t> </w:t>
      </w:r>
      <w:r>
        <w:rPr>
          <w:spacing w:val="-116"/>
        </w:rPr>
      </w:r>
      <w:r>
        <w:rPr>
          <w:spacing w:val="-5"/>
        </w:rPr>
        <w:t>行政总监；</w:t>
      </w:r>
      <w:r>
        <w:rPr>
          <w:rFonts w:ascii="宋体" w:hAnsi="宋体" w:cs="宋体" w:eastAsia="宋体" w:hint="default"/>
          <w:spacing w:val="-5"/>
        </w:rPr>
        <w:t>2009</w:t>
      </w:r>
      <w:r>
        <w:rPr>
          <w:rFonts w:ascii="宋体" w:hAnsi="宋体" w:cs="宋体" w:eastAsia="宋体" w:hint="default"/>
          <w:spacing w:val="-18"/>
        </w:rPr>
        <w:t> </w:t>
      </w:r>
      <w:r>
        <w:rPr/>
        <w:t>年</w:t>
      </w:r>
      <w:r>
        <w:rPr>
          <w:rFonts w:ascii="宋体" w:hAnsi="宋体" w:cs="宋体" w:eastAsia="宋体" w:hint="default"/>
        </w:rPr>
        <w:t>9</w:t>
      </w:r>
      <w:r>
        <w:rPr/>
        <w:t>月起担任本公司董事会秘书兼行政总监；</w:t>
      </w:r>
      <w:r>
        <w:rPr>
          <w:rFonts w:ascii="宋体" w:hAnsi="宋体" w:cs="宋体" w:eastAsia="宋体" w:hint="default"/>
        </w:rPr>
        <w:t>2011</w:t>
      </w:r>
      <w:r>
        <w:rPr/>
        <w:t>年</w:t>
      </w:r>
      <w:r>
        <w:rPr>
          <w:rFonts w:ascii="宋体" w:hAnsi="宋体" w:cs="宋体" w:eastAsia="宋体" w:hint="default"/>
        </w:rPr>
        <w:t>9</w:t>
      </w:r>
      <w:r>
        <w:rPr/>
        <w:t>月取得深圳证券交易所 签发的《董事会秘书资格证书》，</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w:t>
      </w:r>
      <w:r>
        <w:rPr/>
        <w:t>日至</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31</w:t>
      </w:r>
      <w:r>
        <w:rPr/>
        <w:t>日担任本公司第一届董事会秘 书兼行政总监，</w:t>
      </w:r>
      <w:r>
        <w:rPr>
          <w:rFonts w:ascii="宋体" w:hAnsi="宋体" w:cs="宋体" w:eastAsia="宋体" w:hint="default"/>
        </w:rPr>
        <w:t>2012</w:t>
      </w:r>
      <w:r>
        <w:rPr/>
        <w:t>年</w:t>
      </w:r>
      <w:r>
        <w:rPr>
          <w:rFonts w:ascii="宋体" w:hAnsi="宋体" w:cs="宋体" w:eastAsia="宋体" w:hint="default"/>
        </w:rPr>
        <w:t>9</w:t>
      </w:r>
      <w:r>
        <w:rPr/>
        <w:t>月起连任本公司第二届董事会秘书兼行政总监；</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日起连</w:t>
      </w:r>
      <w:r>
        <w:rPr>
          <w:spacing w:val="-105"/>
        </w:rPr>
        <w:t> </w:t>
      </w:r>
      <w:r>
        <w:rPr/>
        <w:t>任公司第三届董事会董事会秘书，任期三年；另兼任公司控股子公司深圳龙控董事。</w:t>
      </w:r>
    </w:p>
    <w:p>
      <w:pPr>
        <w:pStyle w:val="BodyText"/>
        <w:spacing w:line="357" w:lineRule="auto" w:before="35"/>
        <w:ind w:right="1129" w:firstLine="480"/>
        <w:jc w:val="both"/>
      </w:pPr>
      <w:r>
        <w:rPr>
          <w:rFonts w:ascii="宋体" w:hAnsi="宋体" w:cs="宋体" w:eastAsia="宋体" w:hint="default"/>
          <w:spacing w:val="-3"/>
        </w:rPr>
        <w:t>3</w:t>
      </w:r>
      <w:r>
        <w:rPr>
          <w:spacing w:val="-3"/>
        </w:rPr>
        <w:t>）黄建军先生：男，中国国籍，无境外永久居留权。</w:t>
      </w:r>
      <w:r>
        <w:rPr>
          <w:rFonts w:ascii="宋体" w:hAnsi="宋体" w:cs="宋体" w:eastAsia="宋体" w:hint="default"/>
          <w:spacing w:val="-3"/>
        </w:rPr>
        <w:t>1971</w:t>
      </w:r>
      <w:r>
        <w:rPr>
          <w:spacing w:val="-3"/>
        </w:rPr>
        <w:t>年生，本科学历。曾担任成都</w:t>
      </w:r>
      <w:r>
        <w:rPr/>
        <w:t> 数字天下软件有限责任公司财务总监；</w:t>
      </w:r>
      <w:r>
        <w:rPr>
          <w:rFonts w:ascii="宋体" w:hAnsi="宋体" w:cs="宋体" w:eastAsia="宋体" w:hint="default"/>
        </w:rPr>
        <w:t>2007</w:t>
      </w:r>
      <w:r>
        <w:rPr/>
        <w:t>年起任职于四川依米康制冷设备有限公司，任财</w:t>
      </w:r>
      <w:r>
        <w:rPr>
          <w:spacing w:val="-112"/>
        </w:rPr>
        <w:t> </w:t>
      </w:r>
      <w:r>
        <w:rPr>
          <w:spacing w:val="-112"/>
        </w:rPr>
      </w:r>
      <w:r>
        <w:rPr/>
        <w:t>务部经理、财务总监；</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w:t>
      </w:r>
      <w:r>
        <w:rPr/>
        <w:t>日至今连任公司财务总监；另兼任公司全资子公司依米康</w:t>
      </w:r>
      <w:r>
        <w:rPr>
          <w:spacing w:val="-102"/>
        </w:rPr>
        <w:t> </w:t>
      </w:r>
      <w:r>
        <w:rPr>
          <w:spacing w:val="-102"/>
        </w:rPr>
      </w:r>
      <w:r>
        <w:rPr/>
        <w:t>软件（前身为“四川多富”）的法人代表、总经理、执行董事，控股子公司西安华西、江苏</w:t>
      </w:r>
      <w:r>
        <w:rPr>
          <w:spacing w:val="-114"/>
        </w:rPr>
        <w:t> </w:t>
      </w:r>
      <w:r>
        <w:rPr>
          <w:spacing w:val="-114"/>
        </w:rPr>
      </w:r>
      <w:r>
        <w:rPr/>
        <w:t>亿金董事，参股公司上海虹港监事。</w:t>
      </w:r>
    </w:p>
    <w:p>
      <w:pPr>
        <w:pStyle w:val="BodyText"/>
        <w:spacing w:line="357" w:lineRule="auto" w:before="35"/>
        <w:ind w:right="1130" w:firstLine="480"/>
        <w:jc w:val="both"/>
      </w:pPr>
      <w:r>
        <w:rPr>
          <w:rFonts w:ascii="宋体" w:hAnsi="宋体" w:cs="宋体" w:eastAsia="宋体" w:hint="default"/>
        </w:rPr>
        <w:t>4</w:t>
      </w:r>
      <w:r>
        <w:rPr/>
        <w:t>）王倩先生：男，中国国籍，无境外永久居留权。</w:t>
      </w:r>
      <w:r>
        <w:rPr>
          <w:rFonts w:ascii="宋体" w:hAnsi="宋体" w:cs="宋体" w:eastAsia="宋体" w:hint="default"/>
        </w:rPr>
        <w:t>1958</w:t>
      </w:r>
      <w:r>
        <w:rPr>
          <w:rFonts w:ascii="宋体" w:hAnsi="宋体" w:cs="宋体" w:eastAsia="宋体" w:hint="default"/>
          <w:spacing w:val="10"/>
        </w:rPr>
        <w:t> </w:t>
      </w:r>
      <w:r>
        <w:rPr/>
        <w:t>年生，专科学历，高级工程师 职称。曾担任广东省煤炭部物探队技术员、成都机器厂电气工程师。</w:t>
      </w:r>
      <w:r>
        <w:rPr>
          <w:rFonts w:ascii="宋体" w:hAnsi="宋体" w:cs="宋体" w:eastAsia="宋体" w:hint="default"/>
        </w:rPr>
        <w:t>2002</w:t>
      </w:r>
      <w:r>
        <w:rPr/>
        <w:t>年起任职于四川依</w:t>
      </w:r>
      <w:r>
        <w:rPr>
          <w:spacing w:val="-111"/>
        </w:rPr>
        <w:t> </w:t>
      </w:r>
      <w:r>
        <w:rPr>
          <w:spacing w:val="-111"/>
        </w:rPr>
      </w:r>
      <w:r>
        <w:rPr/>
        <w:t>米康制冷设备有限公司，历任董事兼副总经理、技术总监等职。</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w:t>
      </w:r>
      <w:r>
        <w:rPr/>
        <w:t>日至今连任本公</w:t>
      </w:r>
      <w:r>
        <w:rPr>
          <w:spacing w:val="-105"/>
        </w:rPr>
        <w:t> </w:t>
      </w:r>
      <w:r>
        <w:rPr>
          <w:spacing w:val="-105"/>
        </w:rPr>
      </w:r>
      <w:r>
        <w:rPr/>
        <w:t>司技术总监，任期三年。</w:t>
      </w:r>
    </w:p>
    <w:p>
      <w:pPr>
        <w:pStyle w:val="BodyText"/>
        <w:spacing w:line="357" w:lineRule="auto" w:before="35"/>
        <w:ind w:right="1132" w:firstLine="480"/>
        <w:jc w:val="both"/>
      </w:pPr>
      <w:r>
        <w:rPr>
          <w:rFonts w:ascii="宋体" w:hAnsi="宋体" w:cs="宋体" w:eastAsia="宋体" w:hint="default"/>
          <w:spacing w:val="-2"/>
        </w:rPr>
        <w:t>5</w:t>
      </w:r>
      <w:r>
        <w:rPr>
          <w:spacing w:val="-2"/>
        </w:rPr>
        <w:t>）孙晶晶：女，</w:t>
      </w:r>
      <w:r>
        <w:rPr>
          <w:rFonts w:ascii="宋体" w:hAnsi="宋体" w:cs="宋体" w:eastAsia="宋体" w:hint="default"/>
          <w:spacing w:val="-2"/>
        </w:rPr>
        <w:t>1988</w:t>
      </w:r>
      <w:r>
        <w:rPr>
          <w:spacing w:val="-2"/>
        </w:rPr>
        <w:t>年生，本科学历，中国国籍，无境外永久居留权，</w:t>
      </w:r>
      <w:r>
        <w:rPr>
          <w:rFonts w:ascii="宋体" w:hAnsi="宋体" w:cs="宋体" w:eastAsia="宋体" w:hint="default"/>
          <w:spacing w:val="-2"/>
        </w:rPr>
        <w:t>2006</w:t>
      </w:r>
      <w:r>
        <w:rPr>
          <w:spacing w:val="-2"/>
        </w:rPr>
        <w:t>年毕业于英</w:t>
      </w:r>
      <w:r>
        <w:rPr/>
        <w:t> 国阿斯顿大学，曾担任英特尔产品（成都）有限公司危机管理专员，</w:t>
      </w:r>
      <w:r>
        <w:rPr>
          <w:rFonts w:ascii="宋体" w:hAnsi="宋体" w:cs="宋体" w:eastAsia="宋体" w:hint="default"/>
        </w:rPr>
        <w:t>2013</w:t>
      </w:r>
      <w:r>
        <w:rPr/>
        <w:t>年任职依米康总经</w:t>
      </w:r>
      <w:r>
        <w:rPr>
          <w:spacing w:val="-111"/>
        </w:rPr>
        <w:t> </w:t>
      </w:r>
      <w:r>
        <w:rPr>
          <w:spacing w:val="-111"/>
        </w:rPr>
      </w:r>
      <w:r>
        <w:rPr/>
        <w:t>办经理；</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日起担任公司行政总监。</w:t>
      </w:r>
    </w:p>
    <w:p>
      <w:pPr>
        <w:pStyle w:val="Heading3"/>
        <w:spacing w:line="240" w:lineRule="auto" w:before="35"/>
        <w:ind w:right="1033"/>
        <w:jc w:val="left"/>
        <w:rPr>
          <w:b w:val="0"/>
          <w:bCs w:val="0"/>
        </w:rPr>
      </w:pPr>
      <w:r>
        <w:rPr>
          <w:rFonts w:ascii="宋体" w:hAnsi="宋体" w:cs="宋体" w:eastAsia="宋体" w:hint="default"/>
        </w:rPr>
        <w:t>2</w:t>
      </w:r>
      <w:r>
        <w:rPr/>
        <w:t>、在股东单位任职情况</w:t>
      </w:r>
      <w:r>
        <w:rPr>
          <w:b w:val="0"/>
          <w:bCs w:val="0"/>
        </w:rPr>
      </w:r>
    </w:p>
    <w:p>
      <w:pPr>
        <w:pStyle w:val="BodyText"/>
        <w:spacing w:line="240" w:lineRule="auto" w:before="152"/>
        <w:ind w:left="1134" w:right="1033"/>
        <w:jc w:val="left"/>
      </w:pPr>
      <w:r>
        <w:rPr/>
        <w:t>√ 适用 □ 不适用</w:t>
      </w:r>
    </w:p>
    <w:p>
      <w:pPr>
        <w:spacing w:line="240" w:lineRule="auto" w:before="9"/>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102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90" w:right="70" w:hanging="421"/>
              <w:jc w:val="left"/>
              <w:rPr>
                <w:rFonts w:ascii="宋体" w:hAnsi="宋体" w:cs="宋体" w:eastAsia="宋体" w:hint="default"/>
                <w:sz w:val="21"/>
                <w:szCs w:val="21"/>
              </w:rPr>
            </w:pPr>
            <w:r>
              <w:rPr>
                <w:rFonts w:ascii="宋体" w:hAnsi="宋体" w:cs="宋体" w:eastAsia="宋体" w:hint="default"/>
                <w:sz w:val="21"/>
                <w:szCs w:val="21"/>
              </w:rPr>
              <w:t>任职人员姓 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5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7" w:right="104"/>
              <w:jc w:val="center"/>
              <w:rPr>
                <w:rFonts w:ascii="宋体" w:hAnsi="宋体" w:cs="宋体" w:eastAsia="宋体" w:hint="default"/>
                <w:sz w:val="21"/>
                <w:szCs w:val="21"/>
              </w:rPr>
            </w:pPr>
            <w:r>
              <w:rPr>
                <w:rFonts w:ascii="宋体" w:hAnsi="宋体" w:cs="宋体" w:eastAsia="宋体" w:hint="default"/>
                <w:sz w:val="21"/>
                <w:szCs w:val="21"/>
              </w:rPr>
              <w:t>在股东单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87" w:right="67"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58" w:right="53" w:hanging="105"/>
              <w:jc w:val="left"/>
              <w:rPr>
                <w:rFonts w:ascii="宋体" w:hAnsi="宋体" w:cs="宋体" w:eastAsia="宋体" w:hint="default"/>
                <w:sz w:val="21"/>
                <w:szCs w:val="21"/>
              </w:rPr>
            </w:pPr>
            <w:r>
              <w:rPr>
                <w:rFonts w:ascii="宋体" w:hAnsi="宋体" w:cs="宋体" w:eastAsia="宋体" w:hint="default"/>
                <w:sz w:val="21"/>
                <w:szCs w:val="21"/>
              </w:rPr>
              <w:t>在股东单位是否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徐晓</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上海亨升投资管理有限公司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投资总监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09</w:t>
            </w:r>
            <w:r>
              <w:rPr>
                <w:rFonts w:ascii="宋体" w:hAnsi="宋体" w:cs="宋体" w:eastAsia="宋体" w:hint="default"/>
                <w:spacing w:val="-75"/>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17"/>
              <w:jc w:val="both"/>
              <w:rPr>
                <w:rFonts w:ascii="宋体" w:hAnsi="宋体" w:cs="宋体" w:eastAsia="宋体" w:hint="default"/>
                <w:sz w:val="21"/>
                <w:szCs w:val="21"/>
              </w:rPr>
            </w:pPr>
            <w:r>
              <w:rPr>
                <w:rFonts w:ascii="宋体" w:hAnsi="宋体" w:cs="宋体" w:eastAsia="宋体" w:hint="default"/>
                <w:sz w:val="21"/>
                <w:szCs w:val="21"/>
              </w:rPr>
              <w:t>在股东单位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2"/>
        <w:rPr>
          <w:rFonts w:ascii="宋体" w:hAnsi="宋体" w:cs="宋体" w:eastAsia="宋体" w:hint="default"/>
          <w:sz w:val="24"/>
          <w:szCs w:val="24"/>
        </w:rPr>
      </w:pPr>
    </w:p>
    <w:p>
      <w:pPr>
        <w:pStyle w:val="Heading3"/>
        <w:spacing w:line="240" w:lineRule="auto" w:before="26"/>
        <w:ind w:right="1033"/>
        <w:jc w:val="left"/>
        <w:rPr>
          <w:b w:val="0"/>
          <w:bCs w:val="0"/>
        </w:rPr>
      </w:pPr>
      <w:r>
        <w:rPr>
          <w:rFonts w:ascii="宋体" w:hAnsi="宋体" w:cs="宋体" w:eastAsia="宋体" w:hint="default"/>
        </w:rPr>
        <w:t>3</w:t>
      </w:r>
      <w:r>
        <w:rPr/>
        <w:t>、在其他单位任职情况</w:t>
      </w:r>
      <w:r>
        <w:rPr>
          <w:b w:val="0"/>
          <w:bCs w:val="0"/>
        </w:rPr>
      </w:r>
    </w:p>
    <w:p>
      <w:pPr>
        <w:pStyle w:val="BodyText"/>
        <w:spacing w:line="240" w:lineRule="auto" w:before="152"/>
        <w:ind w:right="1033"/>
        <w:jc w:val="left"/>
      </w:pPr>
      <w:r>
        <w:rPr/>
        <w:t>√ 适用 □ 不适用</w:t>
      </w:r>
    </w:p>
    <w:p>
      <w:pPr>
        <w:spacing w:line="240" w:lineRule="auto" w:before="2"/>
        <w:rPr>
          <w:rFonts w:ascii="宋体" w:hAnsi="宋体" w:cs="宋体" w:eastAsia="宋体" w:hint="default"/>
          <w:sz w:val="15"/>
          <w:szCs w:val="15"/>
        </w:rPr>
      </w:pPr>
    </w:p>
    <w:tbl>
      <w:tblPr>
        <w:tblW w:w="0" w:type="auto"/>
        <w:jc w:val="left"/>
        <w:tblInd w:w="1271" w:type="dxa"/>
        <w:tblLayout w:type="fixed"/>
        <w:tblCellMar>
          <w:top w:w="0" w:type="dxa"/>
          <w:left w:w="0" w:type="dxa"/>
          <w:bottom w:w="0" w:type="dxa"/>
          <w:right w:w="0" w:type="dxa"/>
        </w:tblCellMar>
        <w:tblLook w:val="01E0"/>
      </w:tblPr>
      <w:tblGrid>
        <w:gridCol w:w="852"/>
        <w:gridCol w:w="2976"/>
        <w:gridCol w:w="992"/>
        <w:gridCol w:w="1842"/>
        <w:gridCol w:w="1844"/>
        <w:gridCol w:w="920"/>
      </w:tblGrid>
      <w:tr>
        <w:trPr>
          <w:trHeight w:val="39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04" w:right="0"/>
              <w:jc w:val="left"/>
              <w:rPr>
                <w:rFonts w:ascii="宋体" w:hAnsi="宋体" w:cs="宋体" w:eastAsia="宋体" w:hint="default"/>
                <w:sz w:val="21"/>
                <w:szCs w:val="21"/>
              </w:rPr>
            </w:pPr>
            <w:r>
              <w:rPr>
                <w:rFonts w:ascii="宋体" w:hAnsi="宋体" w:cs="宋体" w:eastAsia="宋体" w:hint="default"/>
                <w:b/>
                <w:bCs/>
                <w:sz w:val="21"/>
                <w:szCs w:val="21"/>
              </w:rPr>
              <w:t>任职人</w:t>
            </w:r>
            <w:r>
              <w:rPr>
                <w:rFonts w:ascii="宋体" w:hAnsi="宋体" w:cs="宋体" w:eastAsia="宋体" w:hint="default"/>
                <w:sz w:val="21"/>
                <w:szCs w:val="21"/>
              </w:rPr>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849" w:right="0"/>
              <w:jc w:val="left"/>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69" w:right="0"/>
              <w:jc w:val="left"/>
              <w:rPr>
                <w:rFonts w:ascii="宋体" w:hAnsi="宋体" w:cs="宋体" w:eastAsia="宋体" w:hint="default"/>
                <w:sz w:val="21"/>
                <w:szCs w:val="21"/>
              </w:rPr>
            </w:pPr>
            <w:r>
              <w:rPr>
                <w:rFonts w:ascii="宋体" w:hAnsi="宋体" w:cs="宋体" w:eastAsia="宋体" w:hint="default"/>
                <w:b/>
                <w:bCs/>
                <w:sz w:val="21"/>
                <w:szCs w:val="21"/>
              </w:rPr>
              <w:t>在其他单</w:t>
            </w:r>
            <w:r>
              <w:rPr>
                <w:rFonts w:ascii="宋体" w:hAnsi="宋体" w:cs="宋体" w:eastAsia="宋体" w:hint="default"/>
                <w:sz w:val="21"/>
                <w:szCs w:val="21"/>
              </w:rPr>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83" w:right="0"/>
              <w:jc w:val="left"/>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83" w:right="0"/>
              <w:jc w:val="left"/>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3" w:right="0"/>
              <w:jc w:val="left"/>
              <w:rPr>
                <w:rFonts w:ascii="宋体" w:hAnsi="宋体" w:cs="宋体" w:eastAsia="宋体" w:hint="default"/>
                <w:sz w:val="21"/>
                <w:szCs w:val="21"/>
              </w:rPr>
            </w:pPr>
            <w:r>
              <w:rPr>
                <w:rFonts w:ascii="宋体" w:hAnsi="宋体" w:cs="宋体" w:eastAsia="宋体" w:hint="default"/>
                <w:b/>
                <w:bCs/>
                <w:sz w:val="21"/>
                <w:szCs w:val="21"/>
              </w:rPr>
              <w:t>在其他单</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70" w:type="dxa"/>
        <w:tblLayout w:type="fixed"/>
        <w:tblCellMar>
          <w:top w:w="0" w:type="dxa"/>
          <w:left w:w="0" w:type="dxa"/>
          <w:bottom w:w="0" w:type="dxa"/>
          <w:right w:w="0" w:type="dxa"/>
        </w:tblCellMar>
        <w:tblLook w:val="01E0"/>
      </w:tblPr>
      <w:tblGrid>
        <w:gridCol w:w="852"/>
        <w:gridCol w:w="2976"/>
        <w:gridCol w:w="992"/>
        <w:gridCol w:w="1842"/>
        <w:gridCol w:w="1844"/>
        <w:gridCol w:w="920"/>
      </w:tblGrid>
      <w:tr>
        <w:trPr>
          <w:trHeight w:val="986"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员姓名</w:t>
            </w:r>
            <w:r>
              <w:rPr>
                <w:rFonts w:ascii="宋体" w:hAnsi="宋体" w:cs="宋体" w:eastAsia="宋体" w:hint="default"/>
                <w:sz w:val="21"/>
                <w:szCs w:val="21"/>
              </w:rPr>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位担任的</w:t>
            </w:r>
            <w:r>
              <w:rPr>
                <w:rFonts w:ascii="宋体" w:hAnsi="宋体" w:cs="宋体" w:eastAsia="宋体" w:hint="default"/>
                <w:sz w:val="21"/>
                <w:szCs w:val="21"/>
              </w:rPr>
            </w:r>
          </w:p>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3" w:right="0"/>
              <w:jc w:val="left"/>
              <w:rPr>
                <w:rFonts w:ascii="宋体" w:hAnsi="宋体" w:cs="宋体" w:eastAsia="宋体" w:hint="default"/>
                <w:sz w:val="21"/>
                <w:szCs w:val="21"/>
              </w:rPr>
            </w:pPr>
            <w:r>
              <w:rPr>
                <w:rFonts w:ascii="宋体" w:hAnsi="宋体" w:cs="宋体" w:eastAsia="宋体" w:hint="default"/>
                <w:b/>
                <w:bCs/>
                <w:sz w:val="21"/>
                <w:szCs w:val="21"/>
              </w:rPr>
              <w:t>位是否领</w:t>
            </w:r>
            <w:r>
              <w:rPr>
                <w:rFonts w:ascii="宋体" w:hAnsi="宋体" w:cs="宋体" w:eastAsia="宋体" w:hint="default"/>
                <w:sz w:val="21"/>
                <w:szCs w:val="21"/>
              </w:rPr>
            </w:r>
          </w:p>
          <w:p>
            <w:pPr>
              <w:pStyle w:val="TableParagraph"/>
              <w:spacing w:line="273" w:lineRule="auto" w:before="37"/>
              <w:ind w:left="349" w:right="30" w:hanging="316"/>
              <w:jc w:val="left"/>
              <w:rPr>
                <w:rFonts w:ascii="宋体" w:hAnsi="宋体" w:cs="宋体" w:eastAsia="宋体" w:hint="default"/>
                <w:sz w:val="21"/>
                <w:szCs w:val="21"/>
              </w:rPr>
            </w:pPr>
            <w:r>
              <w:rPr>
                <w:rFonts w:ascii="宋体" w:hAnsi="宋体" w:cs="宋体" w:eastAsia="宋体" w:hint="default"/>
                <w:b/>
                <w:bCs/>
                <w:sz w:val="21"/>
                <w:szCs w:val="21"/>
              </w:rPr>
              <w:t>取报酬津</w:t>
            </w:r>
            <w:r>
              <w:rPr>
                <w:rFonts w:ascii="宋体" w:hAnsi="宋体" w:cs="宋体" w:eastAsia="宋体" w:hint="default"/>
                <w:b/>
                <w:bCs/>
                <w:spacing w:val="1"/>
                <w:w w:val="99"/>
                <w:sz w:val="21"/>
                <w:szCs w:val="21"/>
              </w:rPr>
              <w:t> </w:t>
            </w:r>
            <w:r>
              <w:rPr>
                <w:rFonts w:ascii="宋体" w:hAnsi="宋体" w:cs="宋体" w:eastAsia="宋体" w:hint="default"/>
                <w:b/>
                <w:bCs/>
                <w:sz w:val="21"/>
                <w:szCs w:val="21"/>
              </w:rPr>
              <w:t>贴</w:t>
            </w:r>
            <w:r>
              <w:rPr>
                <w:rFonts w:ascii="宋体" w:hAnsi="宋体" w:cs="宋体" w:eastAsia="宋体" w:hint="default"/>
                <w:sz w:val="21"/>
                <w:szCs w:val="21"/>
              </w:rPr>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四川桑瑞思环境技术工程有限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深圳市龙控智能技术有限公司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西安华西智能信息工程有限公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江苏亿金环保科技有限公司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四川桑瑞思环境技术工程有限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董事、总 经理</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深圳市龙控智能技术有限公司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西安华西智能信息工程有限公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江苏亿金环保科技有限公司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2"/>
                <w:sz w:val="21"/>
                <w:szCs w:val="21"/>
              </w:rPr>
              <w:t>北京国枫律师事务所合伙人、成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都所负责人</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中豪律师集团（四川）事务所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
              <w:jc w:val="left"/>
              <w:rPr>
                <w:rFonts w:ascii="宋体" w:hAnsi="宋体" w:cs="宋体" w:eastAsia="宋体" w:hint="default"/>
                <w:sz w:val="21"/>
                <w:szCs w:val="21"/>
              </w:rPr>
            </w:pPr>
            <w:r>
              <w:rPr>
                <w:rFonts w:ascii="宋体" w:hAnsi="宋体" w:cs="宋体" w:eastAsia="宋体" w:hint="default"/>
                <w:spacing w:val="24"/>
                <w:sz w:val="21"/>
                <w:szCs w:val="21"/>
              </w:rPr>
              <w:t>合伙人、</w:t>
            </w:r>
            <w:r>
              <w:rPr>
                <w:rFonts w:ascii="宋体" w:hAnsi="宋体" w:cs="宋体" w:eastAsia="宋体" w:hint="default"/>
                <w:spacing w:val="-73"/>
                <w:sz w:val="21"/>
                <w:szCs w:val="21"/>
              </w:rPr>
              <w:t> </w:t>
            </w:r>
            <w:r>
              <w:rPr>
                <w:rFonts w:ascii="宋体" w:hAnsi="宋体" w:cs="宋体" w:eastAsia="宋体" w:hint="default"/>
                <w:sz w:val="21"/>
                <w:szCs w:val="21"/>
              </w:rPr>
              <w:t>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1"/>
                <w:sz w:val="21"/>
                <w:szCs w:val="21"/>
              </w:rPr>
              <w:t> </w:t>
            </w:r>
            <w:r>
              <w:rPr>
                <w:rFonts w:ascii="宋体" w:hAnsi="宋体" w:cs="宋体" w:eastAsia="宋体" w:hint="default"/>
                <w:sz w:val="21"/>
                <w:szCs w:val="21"/>
              </w:rPr>
              <w:t>年起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宋体" w:hAnsi="宋体" w:cs="宋体" w:eastAsia="宋体" w:hint="default"/>
                <w:sz w:val="21"/>
                <w:szCs w:val="21"/>
              </w:rPr>
            </w:pPr>
            <w:r>
              <w:rPr>
                <w:rFonts w:ascii="宋体" w:hAnsi="宋体" w:cs="宋体" w:eastAsia="宋体" w:hint="default"/>
                <w:spacing w:val="14"/>
                <w:sz w:val="21"/>
                <w:szCs w:val="21"/>
              </w:rPr>
              <w:t>成都西华盛世信息技术股份有</w:t>
            </w:r>
            <w:r>
              <w:rPr>
                <w:rFonts w:ascii="宋体" w:hAnsi="宋体" w:cs="宋体" w:eastAsia="宋体" w:hint="default"/>
                <w:sz w:val="21"/>
                <w:szCs w:val="21"/>
              </w:rPr>
              <w:t>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成都天奥电子股份有限公司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四川双马水泥股份有限公司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宜宾纸业股份有限公司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西藏金采科技股份有限公司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成都锦城祥投资有限公司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陈维亮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四川维诚会计师事务所有限公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陈维亮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成都金亚科技股份有限公司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陈维亮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成都硅宝科技股份有限公司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陈维亮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成都国栋建设股份有限公司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深圳市龙控智能技术有限公司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四川依米康软件有限责任公司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执行董 事、法定 代表人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70" w:type="dxa"/>
        <w:tblLayout w:type="fixed"/>
        <w:tblCellMar>
          <w:top w:w="0" w:type="dxa"/>
          <w:left w:w="0" w:type="dxa"/>
          <w:bottom w:w="0" w:type="dxa"/>
          <w:right w:w="0" w:type="dxa"/>
        </w:tblCellMar>
        <w:tblLook w:val="01E0"/>
      </w:tblPr>
      <w:tblGrid>
        <w:gridCol w:w="852"/>
        <w:gridCol w:w="2976"/>
        <w:gridCol w:w="992"/>
        <w:gridCol w:w="1842"/>
        <w:gridCol w:w="1844"/>
        <w:gridCol w:w="920"/>
      </w:tblGrid>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江苏亿金环保科技有限公司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西安华西智能信息工程有限公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四川桑瑞思环境技术工程有限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38"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 w:right="186"/>
              <w:jc w:val="both"/>
              <w:rPr>
                <w:rFonts w:ascii="宋体" w:hAnsi="宋体" w:cs="宋体" w:eastAsia="宋体" w:hint="default"/>
                <w:sz w:val="21"/>
                <w:szCs w:val="21"/>
              </w:rPr>
            </w:pPr>
            <w:r>
              <w:rPr>
                <w:rFonts w:ascii="宋体" w:hAnsi="宋体" w:cs="宋体" w:eastAsia="宋体" w:hint="default"/>
                <w:sz w:val="21"/>
                <w:szCs w:val="21"/>
              </w:rPr>
              <w:t>在其他 单位任 职情况 的说明</w:t>
            </w:r>
          </w:p>
        </w:tc>
        <w:tc>
          <w:tcPr>
            <w:tcW w:w="85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Times New Roman" w:hAnsi="Times New Roman" w:cs="Times New Roman" w:eastAsia="Times New Roman" w:hint="default"/>
          <w:sz w:val="20"/>
          <w:szCs w:val="20"/>
        </w:rPr>
      </w:pPr>
    </w:p>
    <w:p>
      <w:pPr>
        <w:pStyle w:val="Heading3"/>
        <w:spacing w:line="240" w:lineRule="auto" w:before="202"/>
        <w:ind w:left="1254" w:right="1033"/>
        <w:jc w:val="left"/>
        <w:rPr>
          <w:b w:val="0"/>
          <w:bCs w:val="0"/>
        </w:rPr>
      </w:pPr>
      <w:r>
        <w:rPr>
          <w:rFonts w:ascii="宋体" w:hAnsi="宋体" w:cs="宋体" w:eastAsia="宋体" w:hint="default"/>
        </w:rPr>
        <w:t>4</w:t>
      </w:r>
      <w:r>
        <w:rPr/>
        <w:t>、公司现任及报告期内离任董事、监事和高级管理人员近三年证券监管机构处罚的情况</w:t>
      </w:r>
      <w:r>
        <w:rPr>
          <w:b w:val="0"/>
          <w:bCs w:val="0"/>
        </w:rPr>
      </w:r>
    </w:p>
    <w:p>
      <w:pPr>
        <w:pStyle w:val="BodyText"/>
        <w:tabs>
          <w:tab w:pos="1613" w:val="left" w:leader="none"/>
        </w:tabs>
        <w:spacing w:line="357" w:lineRule="auto" w:before="154"/>
        <w:ind w:left="1614" w:right="1130" w:hanging="480"/>
        <w:jc w:val="left"/>
      </w:pPr>
      <w:r>
        <w:rPr/>
        <w:t>√</w:t>
        <w:tab/>
        <w:t>适用 □ 不适用 </w:t>
      </w:r>
      <w:r>
        <w:rPr>
          <w:spacing w:val="-3"/>
        </w:rPr>
        <w:t>公司董事长孙屹峥先生、董事兼总经理张菀女士因超比例减持公司股票于</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月受</w:t>
      </w:r>
    </w:p>
    <w:p>
      <w:pPr>
        <w:pStyle w:val="BodyText"/>
        <w:spacing w:line="357" w:lineRule="auto" w:before="36"/>
        <w:ind w:right="1117"/>
        <w:jc w:val="left"/>
      </w:pPr>
      <w:r>
        <w:rPr/>
        <w:t>到中国证监会行政处罚，具体内容请参见本报告“第五节</w:t>
      </w:r>
      <w:r>
        <w:rPr>
          <w:spacing w:val="-24"/>
        </w:rPr>
        <w:t> </w:t>
      </w:r>
      <w:r>
        <w:rPr>
          <w:spacing w:val="-4"/>
        </w:rPr>
        <w:t>重要事项”之“十二、处罚及整改</w:t>
      </w:r>
      <w:r>
        <w:rPr/>
        <w:t> 情况”中关于“董事、监事、高级管理人员、持股</w:t>
      </w:r>
      <w:r>
        <w:rPr>
          <w:spacing w:val="-54"/>
        </w:rPr>
        <w:t> </w:t>
      </w:r>
      <w:r>
        <w:rPr>
          <w:rFonts w:ascii="宋体" w:hAnsi="宋体" w:cs="宋体" w:eastAsia="宋体" w:hint="default"/>
          <w:spacing w:val="-7"/>
        </w:rPr>
        <w:t>5%</w:t>
      </w:r>
      <w:r>
        <w:rPr>
          <w:spacing w:val="-7"/>
        </w:rPr>
        <w:t>以上股东违规买卖公司股票情况”。</w:t>
      </w:r>
    </w:p>
    <w:p>
      <w:pPr>
        <w:pStyle w:val="BodyText"/>
        <w:spacing w:line="357" w:lineRule="auto" w:before="36"/>
        <w:ind w:right="1033" w:firstLine="480"/>
        <w:jc w:val="left"/>
      </w:pPr>
      <w:r>
        <w:rPr/>
        <w:t>公司其他现任及报告期离任董事、监事和高级管理人员近三年均未发生受到证券监管机 构处罚的情形。</w:t>
      </w:r>
    </w:p>
    <w:p>
      <w:pPr>
        <w:spacing w:line="240" w:lineRule="auto" w:before="10"/>
        <w:rPr>
          <w:rFonts w:ascii="宋体" w:hAnsi="宋体" w:cs="宋体" w:eastAsia="宋体" w:hint="default"/>
          <w:sz w:val="25"/>
          <w:szCs w:val="25"/>
        </w:rPr>
      </w:pPr>
    </w:p>
    <w:p>
      <w:pPr>
        <w:pStyle w:val="Heading3"/>
        <w:spacing w:line="525" w:lineRule="auto"/>
        <w:ind w:left="1133" w:right="1033"/>
        <w:jc w:val="left"/>
        <w:rPr>
          <w:b w:val="0"/>
          <w:bCs w:val="0"/>
        </w:rPr>
      </w:pPr>
      <w:r>
        <w:rPr/>
        <w:pict>
          <v:shape style="position:absolute;margin-left:56.459999pt;margin-top:59.735622pt;width:479.2pt;height:123.2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3"/>
                    <w:gridCol w:w="7016"/>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z w:val="21"/>
                            <w:szCs w:val="21"/>
                          </w:rPr>
                          <w:t> 报酬的决策程序</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1"/>
                          <w:jc w:val="left"/>
                          <w:rPr>
                            <w:rFonts w:ascii="宋体" w:hAnsi="宋体" w:cs="宋体" w:eastAsia="宋体" w:hint="default"/>
                            <w:sz w:val="21"/>
                            <w:szCs w:val="21"/>
                          </w:rPr>
                        </w:pPr>
                        <w:r>
                          <w:rPr>
                            <w:rFonts w:ascii="宋体" w:hAnsi="宋体" w:cs="宋体" w:eastAsia="宋体" w:hint="default"/>
                            <w:sz w:val="21"/>
                            <w:szCs w:val="21"/>
                          </w:rPr>
                          <w:t>公司董事、监事、高级管理人员的薪酬（包括津贴）由薪酬与考核委员会提 出，经董事会、监事会批准后，提交股东大会审议通过后实施。</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z w:val="21"/>
                            <w:szCs w:val="21"/>
                          </w:rPr>
                          <w:t> 报酬确定依据</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日，经公司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1"/>
                            <w:sz w:val="21"/>
                            <w:szCs w:val="21"/>
                          </w:rPr>
                          <w:t> </w:t>
                        </w:r>
                        <w:r>
                          <w:rPr>
                            <w:rFonts w:ascii="宋体" w:hAnsi="宋体" w:cs="宋体" w:eastAsia="宋体" w:hint="default"/>
                            <w:sz w:val="21"/>
                            <w:szCs w:val="21"/>
                          </w:rPr>
                          <w:t>年度股东大会审议通过了公司《董事、监 </w:t>
                        </w:r>
                        <w:r>
                          <w:rPr>
                            <w:rFonts w:ascii="宋体" w:hAnsi="宋体" w:cs="宋体" w:eastAsia="宋体" w:hint="default"/>
                            <w:spacing w:val="-6"/>
                            <w:sz w:val="21"/>
                            <w:szCs w:val="21"/>
                          </w:rPr>
                          <w:t>事、高级管理人员薪酬管理办法》。报告期，公司董事、监事、高管人员的薪</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酬均依此为依据发放。</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w:t>
                        </w:r>
                        <w:r>
                          <w:rPr>
                            <w:rFonts w:ascii="宋体" w:hAnsi="宋体" w:cs="宋体" w:eastAsia="宋体" w:hint="default"/>
                            <w:sz w:val="21"/>
                            <w:szCs w:val="21"/>
                          </w:rPr>
                          <w:t> 报酬的实际支付情况</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年，公司严格按照经股东大会审议通过的报酬标准执行。</w:t>
                        </w:r>
                      </w:p>
                    </w:tc>
                  </w:tr>
                </w:tbl>
                <w:p>
                  <w:pPr/>
                </w:p>
              </w:txbxContent>
            </v:textbox>
            <w10:wrap type="none"/>
          </v:shape>
        </w:pict>
      </w:r>
      <w:bookmarkStart w:name="四、董事、监事、高级管理人员报酬情况" w:id="122"/>
      <w:bookmarkEnd w:id="122"/>
      <w:r>
        <w:rPr>
          <w:b w:val="0"/>
          <w:bCs w:val="0"/>
        </w:rPr>
      </w:r>
      <w:r>
        <w:rPr/>
        <w:t>四、董事、监事、高级管理人员报酬情况</w:t>
      </w:r>
      <w:r>
        <w:rPr>
          <w:w w:val="99"/>
        </w:rPr>
        <w:t> </w:t>
      </w:r>
      <w:bookmarkStart w:name="1、董事、监事、高级管理人员报酬的决策程序、确定依据" w:id="123"/>
      <w:bookmarkEnd w:id="123"/>
      <w:r>
        <w:rPr>
          <w:w w:val="99"/>
        </w:rPr>
      </w:r>
      <w:r>
        <w:rPr>
          <w:rFonts w:ascii="宋体" w:hAnsi="宋体" w:cs="宋体" w:eastAsia="宋体" w:hint="default"/>
          <w:w w:val="95"/>
        </w:rPr>
        <w:t>1</w:t>
      </w:r>
      <w:r>
        <w:rPr>
          <w:w w:val="95"/>
        </w:rPr>
        <w:t>、董事、监事、高级管理人员报酬的决策程序、确定依据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6"/>
        <w:ind w:left="1134" w:right="1033"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、报告期内公司董事、监事和高级管理人员报酬情况</w:t>
      </w:r>
      <w:r>
        <w:rPr>
          <w:rFonts w:ascii="宋体" w:hAnsi="宋体" w:cs="宋体" w:eastAsia="宋体" w:hint="default"/>
          <w:sz w:val="24"/>
          <w:szCs w:val="24"/>
        </w:rPr>
      </w:r>
    </w:p>
    <w:p>
      <w:pPr>
        <w:spacing w:line="240" w:lineRule="auto" w:before="2"/>
        <w:rPr>
          <w:rFonts w:ascii="宋体" w:hAnsi="宋体" w:cs="宋体" w:eastAsia="宋体" w:hint="default"/>
          <w:b/>
          <w:bCs/>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 w:right="47"/>
              <w:jc w:val="left"/>
              <w:rPr>
                <w:rFonts w:ascii="宋体" w:hAnsi="宋体" w:cs="宋体" w:eastAsia="宋体" w:hint="default"/>
                <w:sz w:val="21"/>
                <w:szCs w:val="21"/>
              </w:rPr>
            </w:pPr>
            <w:r>
              <w:rPr>
                <w:rFonts w:ascii="宋体" w:hAnsi="宋体" w:cs="宋体" w:eastAsia="宋体" w:hint="default"/>
                <w:sz w:val="21"/>
                <w:szCs w:val="21"/>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 w:right="47"/>
              <w:jc w:val="left"/>
              <w:rPr>
                <w:rFonts w:ascii="宋体" w:hAnsi="宋体" w:cs="宋体" w:eastAsia="宋体" w:hint="default"/>
                <w:sz w:val="21"/>
                <w:szCs w:val="21"/>
              </w:rPr>
            </w:pPr>
            <w:r>
              <w:rPr>
                <w:rFonts w:ascii="宋体" w:hAnsi="宋体" w:cs="宋体" w:eastAsia="宋体" w:hint="default"/>
                <w:sz w:val="21"/>
                <w:szCs w:val="21"/>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孙屹峥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张菀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徐晓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黄兴旺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陈维亮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张云鹃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汤华林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周淑兰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王倩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技术总监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黄建军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孙晶晶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行政总监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赵洪功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宋斌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王华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付光清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制造总监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3"/>
              <w:jc w:val="righ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70"/>
              <w:jc w:val="right"/>
              <w:rPr>
                <w:rFonts w:ascii="宋体" w:hAnsi="宋体" w:cs="宋体" w:eastAsia="宋体" w:hint="default"/>
                <w:sz w:val="21"/>
                <w:szCs w:val="21"/>
              </w:rPr>
            </w:pPr>
            <w:r>
              <w:rPr>
                <w:rFonts w:ascii="宋体"/>
                <w:sz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203.8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3"/>
        <w:spacing w:line="240" w:lineRule="auto" w:before="172"/>
        <w:ind w:right="1033"/>
        <w:jc w:val="left"/>
        <w:rPr>
          <w:b w:val="0"/>
          <w:bCs w:val="0"/>
        </w:rPr>
      </w:pPr>
      <w:r>
        <w:rPr>
          <w:rFonts w:ascii="宋体" w:hAnsi="宋体" w:cs="宋体" w:eastAsia="宋体" w:hint="default"/>
        </w:rPr>
        <w:t>3</w:t>
      </w:r>
      <w:r>
        <w:rPr/>
        <w:t>、公司董事、监事、高级管理人员报告期内被授予的股权激励情况</w:t>
      </w:r>
      <w:r>
        <w:rPr>
          <w:b w:val="0"/>
          <w:bCs w:val="0"/>
        </w:rPr>
      </w:r>
    </w:p>
    <w:p>
      <w:pPr>
        <w:spacing w:line="388" w:lineRule="auto" w:before="194"/>
        <w:ind w:left="1133" w:right="6945" w:firstLine="0"/>
        <w:jc w:val="left"/>
        <w:rPr>
          <w:rFonts w:ascii="宋体" w:hAnsi="宋体" w:cs="宋体" w:eastAsia="宋体" w:hint="default"/>
          <w:sz w:val="24"/>
          <w:szCs w:val="24"/>
        </w:rPr>
      </w:pPr>
      <w:r>
        <w:rPr>
          <w:rFonts w:ascii="宋体" w:hAnsi="宋体" w:cs="宋体" w:eastAsia="宋体" w:hint="default"/>
          <w:sz w:val="24"/>
          <w:szCs w:val="24"/>
        </w:rPr>
        <w:t>□ 适用 √不适用 </w:t>
      </w:r>
      <w:bookmarkStart w:name="五、公司员工情况" w:id="124"/>
      <w:bookmarkEnd w:id="124"/>
      <w:r>
        <w:rPr>
          <w:rFonts w:ascii="宋体" w:hAnsi="宋体" w:cs="宋体" w:eastAsia="宋体" w:hint="default"/>
          <w:sz w:val="24"/>
          <w:szCs w:val="24"/>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5"/>
      <w:bookmarkEnd w:id="125"/>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、员工数量、专业构成及教育程度</w:t>
      </w:r>
      <w:r>
        <w:rPr>
          <w:rFonts w:ascii="宋体" w:hAnsi="宋体" w:cs="宋体" w:eastAsia="宋体" w:hint="default"/>
          <w:sz w:val="24"/>
          <w:szCs w:val="24"/>
        </w:rPr>
      </w:r>
    </w:p>
    <w:p>
      <w:pPr>
        <w:pStyle w:val="BodyText"/>
        <w:spacing w:line="357" w:lineRule="auto" w:before="5"/>
        <w:ind w:right="1121" w:firstLine="480"/>
        <w:jc w:val="left"/>
      </w:pPr>
      <w:r>
        <w:rPr/>
        <w:t>截止</w:t>
      </w:r>
      <w:r>
        <w:rPr>
          <w:spacing w:val="-58"/>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4"/>
        </w:rPr>
        <w:t>日，公司（含全资及控股公司）员工总人数为</w:t>
      </w:r>
      <w:r>
        <w:rPr>
          <w:spacing w:val="-58"/>
        </w:rPr>
        <w:t> </w:t>
      </w:r>
      <w:r>
        <w:rPr>
          <w:rFonts w:ascii="宋体" w:hAnsi="宋体" w:cs="宋体" w:eastAsia="宋体" w:hint="default"/>
        </w:rPr>
        <w:t>1,032</w:t>
      </w:r>
      <w:r>
        <w:rPr>
          <w:rFonts w:ascii="宋体" w:hAnsi="宋体" w:cs="宋体" w:eastAsia="宋体" w:hint="default"/>
          <w:spacing w:val="-58"/>
        </w:rPr>
        <w:t> </w:t>
      </w:r>
      <w:r>
        <w:rPr>
          <w:spacing w:val="-4"/>
        </w:rPr>
        <w:t>人，没有需公</w:t>
      </w:r>
      <w:r>
        <w:rPr/>
        <w:t> 司承担费用的离退休职工，具体情况如下：</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sz w:val="21"/>
              </w:rPr>
              <w:t>433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sz w:val="21"/>
              </w:rPr>
              <w:t>599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z w:val="21"/>
              </w:rPr>
              <w:t>1,032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z w:val="21"/>
              </w:rPr>
              <w:t>1,032</w:t>
            </w:r>
          </w:p>
        </w:tc>
      </w:tr>
      <w:tr>
        <w:trPr>
          <w:trHeight w:val="719"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 w:right="1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sz w:val="21"/>
              </w:rPr>
              <w:t>350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spacing w:val="-3"/>
                <w:sz w:val="21"/>
              </w:rPr>
              <w:t>115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sz w:val="21"/>
              </w:rPr>
              <w:t>413</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pacing w:val="-3"/>
                <w:sz w:val="21"/>
              </w:rPr>
              <w:t>119</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1,032</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研究生</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sz w:val="21"/>
              </w:rPr>
              <w:t>13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317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291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中专及高中</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179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高中以下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232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sz w:val="21"/>
              </w:rPr>
              <w:t>1,032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26"/>
        <w:ind w:right="0"/>
        <w:jc w:val="both"/>
        <w:rPr>
          <w:b w:val="0"/>
          <w:bCs w:val="0"/>
        </w:rPr>
      </w:pPr>
      <w:bookmarkStart w:name="2、薪酬政策" w:id="126"/>
      <w:bookmarkEnd w:id="126"/>
      <w:r>
        <w:rPr>
          <w:b w:val="0"/>
          <w:bCs w:val="0"/>
        </w:rPr>
      </w:r>
      <w:r>
        <w:rPr>
          <w:rFonts w:ascii="宋体" w:hAnsi="宋体" w:cs="宋体" w:eastAsia="宋体" w:hint="default"/>
        </w:rPr>
        <w:t>2</w:t>
      </w:r>
      <w:r>
        <w:rPr/>
        <w:t>、薪酬政策</w:t>
      </w:r>
      <w:r>
        <w:rPr>
          <w:b w:val="0"/>
          <w:bCs w:val="0"/>
        </w:rPr>
      </w:r>
    </w:p>
    <w:p>
      <w:pPr>
        <w:spacing w:before="154"/>
        <w:ind w:left="1134" w:right="0" w:firstLine="0"/>
        <w:jc w:val="both"/>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1"/>
          <w:sz w:val="24"/>
          <w:szCs w:val="24"/>
        </w:rPr>
        <w:t> </w:t>
      </w:r>
      <w:r>
        <w:rPr>
          <w:rFonts w:ascii="宋体" w:hAnsi="宋体" w:cs="宋体" w:eastAsia="宋体" w:hint="default"/>
          <w:b/>
          <w:bCs/>
          <w:sz w:val="24"/>
          <w:szCs w:val="24"/>
        </w:rPr>
        <w:t>总则</w:t>
      </w:r>
      <w:r>
        <w:rPr>
          <w:rFonts w:ascii="宋体" w:hAnsi="宋体" w:cs="宋体" w:eastAsia="宋体" w:hint="default"/>
          <w:sz w:val="24"/>
          <w:szCs w:val="24"/>
        </w:rPr>
      </w:r>
    </w:p>
    <w:p>
      <w:pPr>
        <w:pStyle w:val="BodyText"/>
        <w:spacing w:line="357" w:lineRule="auto" w:before="154"/>
        <w:ind w:left="1134" w:right="1139" w:firstLine="480"/>
        <w:jc w:val="both"/>
      </w:pPr>
      <w:r>
        <w:rPr/>
        <w:t>薪酬制度关系到公司能否吸引合适人才、留住关键人才、保持合格员工队伍，关系到能 否正确处理好公司与员工之间的物质利益关系以有效地调动员工积极性、创造性，关系到能 否将员工的工作绩效与公司的经营目标、经营理念和企业文化有机结合，关系到员工个人发 展能否与公司的发展有机结合。</w:t>
      </w:r>
    </w:p>
    <w:p>
      <w:pPr>
        <w:pStyle w:val="BodyText"/>
        <w:spacing w:line="357" w:lineRule="auto" w:before="36"/>
        <w:ind w:left="1134" w:right="1139" w:firstLine="480"/>
        <w:jc w:val="both"/>
      </w:pPr>
      <w:r>
        <w:rPr/>
        <w:t>为了完善与公司经营、管理需要相适应的薪酬分配体系，建立和改进内部激励机制，加 强员工绩效管理，提高全体员工的工作素质，激发员工工作热情，提高公司整体竞争能力， 人力资源部每年在原有薪酬制度基础上结合公司的经营状况、年度经营管理目标、员工个人 工作绩效表现、人力资源市场供求情况及行业薪酬水平等因素组织各单位编制员工薪酬年度 预算方案，报公司审批后执行。</w:t>
      </w:r>
    </w:p>
    <w:p>
      <w:pPr>
        <w:pStyle w:val="Heading3"/>
        <w:spacing w:line="240" w:lineRule="auto" w:before="36"/>
        <w:ind w:right="0"/>
        <w:jc w:val="both"/>
        <w:rPr>
          <w:b w:val="0"/>
          <w:bCs w:val="0"/>
        </w:rPr>
      </w:pPr>
      <w:r>
        <w:rPr/>
        <w:t>（</w:t>
      </w:r>
      <w:r>
        <w:rPr>
          <w:rFonts w:ascii="宋体" w:hAnsi="宋体" w:cs="宋体" w:eastAsia="宋体" w:hint="default"/>
        </w:rPr>
        <w:t>2</w:t>
      </w:r>
      <w:r>
        <w:rPr/>
        <w:t>）薪酬策略</w:t>
      </w:r>
      <w:r>
        <w:rPr>
          <w:b w:val="0"/>
          <w:bCs w:val="0"/>
        </w:rPr>
      </w:r>
    </w:p>
    <w:p>
      <w:pPr>
        <w:pStyle w:val="BodyText"/>
        <w:spacing w:line="357" w:lineRule="auto" w:before="154"/>
        <w:ind w:left="1134" w:right="1129" w:firstLine="480"/>
        <w:jc w:val="both"/>
      </w:pPr>
      <w:r>
        <w:rPr/>
        <w:t>公司薪资水平是以市场行情为基准，着重考虑公司支付能力以及员工所在岗位的责任轻 重、难易程度、司龄、知识、经验、工作绩效等因素并参考社会物价水平进行综合核定。以</w:t>
      </w:r>
      <w:r>
        <w:rPr>
          <w:spacing w:val="-109"/>
        </w:rPr>
        <w:t> </w:t>
      </w:r>
      <w:r>
        <w:rPr>
          <w:spacing w:val="-109"/>
        </w:rPr>
      </w:r>
      <w:r>
        <w:rPr/>
        <w:t>市场行情为基准是指以同类型行业的薪酬水平为参考，一般岗位以市场薪酬平均水平为基础</w:t>
      </w:r>
    </w:p>
    <w:p>
      <w:pPr>
        <w:pStyle w:val="BodyText"/>
        <w:spacing w:line="357" w:lineRule="auto" w:before="36"/>
        <w:ind w:right="1110"/>
        <w:jc w:val="both"/>
      </w:pPr>
      <w:r>
        <w:rPr/>
        <w:t>（即采用</w:t>
      </w:r>
      <w:r>
        <w:rPr>
          <w:spacing w:val="-54"/>
        </w:rPr>
        <w:t> </w:t>
      </w:r>
      <w:r>
        <w:rPr>
          <w:rFonts w:ascii="宋体" w:hAnsi="宋体" w:cs="宋体" w:eastAsia="宋体" w:hint="default"/>
        </w:rPr>
        <w:t>50</w:t>
      </w:r>
      <w:r>
        <w:rPr>
          <w:rFonts w:ascii="宋体" w:hAnsi="宋体" w:cs="宋体" w:eastAsia="宋体" w:hint="default"/>
          <w:spacing w:val="-54"/>
        </w:rPr>
        <w:t> </w:t>
      </w:r>
      <w:r>
        <w:rPr>
          <w:spacing w:val="-5"/>
        </w:rPr>
        <w:t>分位值），关键性管理、技术岗位及短缺人才岗位以高于市场薪酬（即采用</w:t>
      </w:r>
      <w:r>
        <w:rPr>
          <w:spacing w:val="-54"/>
        </w:rPr>
        <w:t> </w:t>
      </w:r>
      <w:r>
        <w:rPr>
          <w:rFonts w:ascii="宋体" w:hAnsi="宋体" w:cs="宋体" w:eastAsia="宋体" w:hint="default"/>
        </w:rPr>
        <w:t>60</w:t>
      </w:r>
      <w:r>
        <w:rPr/>
        <w:t>－</w:t>
      </w:r>
      <w:r>
        <w:rPr>
          <w:spacing w:val="-117"/>
        </w:rPr>
        <w:t> </w:t>
      </w:r>
      <w:r>
        <w:rPr>
          <w:rFonts w:ascii="宋体" w:hAnsi="宋体" w:cs="宋体" w:eastAsia="宋体" w:hint="default"/>
        </w:rPr>
        <w:t>80</w:t>
      </w:r>
      <w:r>
        <w:rPr>
          <w:rFonts w:ascii="宋体" w:hAnsi="宋体" w:cs="宋体" w:eastAsia="宋体" w:hint="default"/>
          <w:spacing w:val="-60"/>
        </w:rPr>
        <w:t> </w:t>
      </w:r>
      <w:r>
        <w:rPr/>
        <w:t>分位值）以吸引和留住核心人才，引进特殊人才的薪酬需报董事会特批。力求做到公平、 公正，并具有一定的竞争性。</w:t>
      </w:r>
    </w:p>
    <w:p>
      <w:pPr>
        <w:pStyle w:val="Heading3"/>
        <w:spacing w:line="240" w:lineRule="auto" w:before="36"/>
        <w:ind w:left="1133" w:right="0"/>
        <w:jc w:val="both"/>
        <w:rPr>
          <w:b w:val="0"/>
          <w:bCs w:val="0"/>
        </w:rPr>
      </w:pPr>
      <w:r>
        <w:rPr/>
        <w:t>（</w:t>
      </w:r>
      <w:r>
        <w:rPr>
          <w:rFonts w:ascii="宋体" w:hAnsi="宋体" w:cs="宋体" w:eastAsia="宋体" w:hint="default"/>
        </w:rPr>
        <w:t>3</w:t>
      </w:r>
      <w:r>
        <w:rPr/>
        <w:t>）薪酬原则</w:t>
      </w:r>
      <w:r>
        <w:rPr>
          <w:b w:val="0"/>
          <w:bCs w:val="0"/>
        </w:rPr>
      </w:r>
    </w:p>
    <w:p>
      <w:pPr>
        <w:spacing w:after="0" w:line="240" w:lineRule="auto"/>
        <w:jc w:val="both"/>
        <w:sectPr>
          <w:pgSz w:w="11910" w:h="16840"/>
          <w:pgMar w:header="747" w:footer="979" w:top="1060" w:bottom="1160" w:left="0" w:right="0"/>
        </w:sectPr>
      </w:pPr>
    </w:p>
    <w:p>
      <w:pPr>
        <w:spacing w:line="240" w:lineRule="auto" w:before="7"/>
        <w:rPr>
          <w:rFonts w:ascii="宋体" w:hAnsi="宋体" w:cs="宋体" w:eastAsia="宋体" w:hint="default"/>
          <w:b/>
          <w:bCs/>
          <w:sz w:val="29"/>
          <w:szCs w:val="29"/>
        </w:rPr>
      </w:pPr>
    </w:p>
    <w:p>
      <w:pPr>
        <w:pStyle w:val="BodyText"/>
        <w:spacing w:line="357" w:lineRule="auto" w:before="26"/>
        <w:ind w:right="1033"/>
        <w:jc w:val="left"/>
      </w:pPr>
      <w:r>
        <w:rPr>
          <w:rFonts w:ascii="宋体" w:hAnsi="宋体" w:cs="宋体" w:eastAsia="宋体" w:hint="default"/>
        </w:rPr>
        <w:t>1</w:t>
      </w:r>
      <w:r>
        <w:rPr/>
        <w:t>）实行“以岗位定薪，以技能定薪，以绩效定薪”的原则。</w:t>
      </w:r>
      <w:r>
        <w:rPr>
          <w:spacing w:val="9"/>
        </w:rPr>
        <w:t> </w:t>
      </w:r>
      <w:r>
        <w:rPr/>
        <w:t>因事设岗，因岗定薪，依照岗</w:t>
      </w:r>
      <w:r>
        <w:rPr/>
        <w:t> 位的重要程度、责任大小、难度高低等因素，由人力资源部制定各岗位薪酬标准，报公司总 经办审批。 </w:t>
      </w:r>
      <w:r>
        <w:rPr>
          <w:rFonts w:ascii="宋体" w:hAnsi="宋体" w:cs="宋体" w:eastAsia="宋体" w:hint="default"/>
        </w:rPr>
        <w:t>2</w:t>
      </w:r>
      <w:r>
        <w:rPr/>
        <w:t>）薪随岗移，易岗易薪，不同岗位不同薪酬，同一岗位员工薪酬随能力和绩效不同而异。</w:t>
      </w:r>
    </w:p>
    <w:p>
      <w:pPr>
        <w:pStyle w:val="BodyText"/>
        <w:spacing w:line="357" w:lineRule="auto" w:before="36"/>
        <w:ind w:right="1033"/>
        <w:jc w:val="left"/>
      </w:pPr>
      <w:r>
        <w:rPr>
          <w:rFonts w:ascii="宋体" w:hAnsi="宋体" w:cs="宋体" w:eastAsia="宋体" w:hint="default"/>
        </w:rPr>
        <w:t>3</w:t>
      </w:r>
      <w:r>
        <w:rPr/>
        <w:t>）考核上岗、</w:t>
      </w:r>
      <w:r>
        <w:rPr>
          <w:spacing w:val="3"/>
        </w:rPr>
        <w:t> </w:t>
      </w:r>
      <w:r>
        <w:rPr/>
        <w:t>岗变薪动。以《岗位说明书》作为员工上岗或易岗的考核和评估依据，只有</w:t>
      </w:r>
      <w:r>
        <w:rPr/>
        <w:t> 通过岗位考核和评估的，才能取得上岗资格。</w:t>
      </w:r>
    </w:p>
    <w:p>
      <w:pPr>
        <w:pStyle w:val="BodyText"/>
        <w:spacing w:line="357" w:lineRule="auto" w:before="36"/>
        <w:ind w:left="1134" w:right="1136"/>
        <w:jc w:val="both"/>
      </w:pPr>
      <w:r>
        <w:rPr>
          <w:rFonts w:ascii="宋体" w:hAnsi="宋体" w:cs="宋体" w:eastAsia="宋体" w:hint="default"/>
        </w:rPr>
        <w:t>4</w:t>
      </w:r>
      <w:r>
        <w:rPr/>
        <w:t>）工作绩效不同薪酬不同。</w:t>
      </w:r>
      <w:r>
        <w:rPr>
          <w:spacing w:val="4"/>
        </w:rPr>
        <w:t> </w:t>
      </w:r>
      <w:r>
        <w:rPr/>
        <w:t>对员工在岗工作期间的业绩进行定期考核（具体办法见《绩效</w:t>
      </w:r>
      <w:r>
        <w:rPr/>
        <w:t> 考核实施方案》，完成任务突出者，进行绩效奖励，或者根据具体情况调高其岗位，增加其 薪酬；能够保质保量按时完成任务者按标准付酬；完不成任务或者表现欠佳者，进行绩效扣 罚，或及时降低其工作岗位，并按降低后的岗位核发薪酬。</w:t>
      </w:r>
    </w:p>
    <w:p>
      <w:pPr>
        <w:pStyle w:val="Heading3"/>
        <w:spacing w:line="240" w:lineRule="auto" w:before="36"/>
        <w:ind w:left="1133" w:right="1033"/>
        <w:jc w:val="left"/>
        <w:rPr>
          <w:b w:val="0"/>
          <w:bCs w:val="0"/>
        </w:rPr>
      </w:pPr>
      <w:bookmarkStart w:name="3、培训计划" w:id="127"/>
      <w:bookmarkEnd w:id="127"/>
      <w:r>
        <w:rPr>
          <w:b w:val="0"/>
          <w:bCs w:val="0"/>
        </w:rPr>
      </w:r>
      <w:r>
        <w:rPr>
          <w:rFonts w:ascii="宋体" w:hAnsi="宋体" w:cs="宋体" w:eastAsia="宋体" w:hint="default"/>
        </w:rPr>
        <w:t>3</w:t>
      </w:r>
      <w:r>
        <w:rPr/>
        <w:t>、培训计划</w:t>
      </w:r>
      <w:r>
        <w:rPr>
          <w:b w:val="0"/>
          <w:bCs w:val="0"/>
        </w:rPr>
      </w:r>
    </w:p>
    <w:p>
      <w:pPr>
        <w:pStyle w:val="BodyText"/>
        <w:spacing w:line="357" w:lineRule="auto" w:before="154"/>
        <w:ind w:right="1033" w:firstLine="480"/>
        <w:jc w:val="left"/>
        <w:rPr>
          <w:rFonts w:ascii="宋体" w:hAnsi="宋体" w:cs="宋体" w:eastAsia="宋体" w:hint="default"/>
        </w:rPr>
      </w:pPr>
      <w:r>
        <w:rPr/>
        <w:t>公司十分注重员工培训工作，建立了完善的培训体系，报告期内制定并实施了针对各岗 位人员的培训计划，包括入职培训、法律法规及内部管理制度培训、专业技能培训、素质培 训及针对中级管理人员综合培训等多种形式、多层次的培训，进一步提升了员工的专业技能 和整体素质，促进员工和公司共同发展，确保公司各项经营计划的顺利开展。 </w:t>
      </w:r>
      <w:bookmarkStart w:name="4、劳务外包情况" w:id="128"/>
      <w:bookmarkEnd w:id="128"/>
      <w:r>
        <w:rPr/>
      </w:r>
      <w:r>
        <w:rPr>
          <w:rFonts w:ascii="宋体" w:hAnsi="宋体" w:cs="宋体" w:eastAsia="宋体" w:hint="default"/>
          <w:b/>
          <w:bCs/>
        </w:rPr>
        <w:t>4</w:t>
      </w:r>
      <w:r>
        <w:rPr>
          <w:rFonts w:ascii="宋体" w:hAnsi="宋体" w:cs="宋体" w:eastAsia="宋体" w:hint="default"/>
          <w:b/>
          <w:bCs/>
        </w:rPr>
        <w:t>、劳务外包情况</w:t>
      </w:r>
      <w:r>
        <w:rPr>
          <w:rFonts w:ascii="宋体" w:hAnsi="宋体" w:cs="宋体" w:eastAsia="宋体" w:hint="default"/>
        </w:rPr>
      </w:r>
    </w:p>
    <w:p>
      <w:pPr>
        <w:pStyle w:val="BodyText"/>
        <w:spacing w:line="240" w:lineRule="auto" w:before="36"/>
        <w:ind w:right="1033"/>
        <w:jc w:val="left"/>
      </w:pPr>
      <w:r>
        <w:rPr/>
        <w:t>□ 适用 √ 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1"/>
        <w:ind w:right="993"/>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5"/>
        </w:rPr>
        <w:t> </w:t>
      </w:r>
      <w:r>
        <w:rPr/>
        <w:t>公司治理</w:t>
      </w:r>
      <w:r>
        <w:rPr>
          <w:b w:val="0"/>
          <w:bCs w:val="0"/>
        </w:rPr>
      </w:r>
    </w:p>
    <w:p>
      <w:pPr>
        <w:spacing w:line="240" w:lineRule="auto" w:before="0"/>
        <w:rPr>
          <w:rFonts w:ascii="黑体" w:hAnsi="黑体" w:cs="黑体" w:eastAsia="黑体" w:hint="default"/>
          <w:b/>
          <w:bCs/>
          <w:sz w:val="20"/>
          <w:szCs w:val="20"/>
        </w:rPr>
      </w:pPr>
    </w:p>
    <w:p>
      <w:pPr>
        <w:spacing w:line="386" w:lineRule="auto" w:before="173"/>
        <w:ind w:left="1613" w:right="1033" w:hanging="480"/>
        <w:jc w:val="left"/>
        <w:rPr>
          <w:rFonts w:ascii="宋体" w:hAnsi="宋体" w:cs="宋体" w:eastAsia="宋体" w:hint="default"/>
          <w:sz w:val="24"/>
          <w:szCs w:val="24"/>
        </w:rPr>
      </w:pPr>
      <w:bookmarkStart w:name="一、公司治理的基本状况" w:id="131"/>
      <w:bookmarkEnd w:id="131"/>
      <w:r>
        <w:rPr/>
      </w:r>
      <w:r>
        <w:rPr>
          <w:rFonts w:ascii="宋体" w:hAnsi="宋体" w:cs="宋体" w:eastAsia="宋体" w:hint="default"/>
          <w:b/>
          <w:bCs/>
          <w:sz w:val="24"/>
          <w:szCs w:val="24"/>
        </w:rPr>
        <w:t>一、公司治理的基本状况</w:t>
      </w:r>
      <w:r>
        <w:rPr>
          <w:rFonts w:ascii="宋体" w:hAnsi="宋体" w:cs="宋体" w:eastAsia="宋体" w:hint="default"/>
          <w:b/>
          <w:bCs/>
          <w:w w:val="99"/>
          <w:sz w:val="24"/>
          <w:szCs w:val="24"/>
        </w:rPr>
        <w:t> </w:t>
      </w:r>
      <w:r>
        <w:rPr>
          <w:rFonts w:ascii="宋体" w:hAnsi="宋体" w:cs="宋体" w:eastAsia="宋体" w:hint="default"/>
          <w:spacing w:val="-18"/>
          <w:sz w:val="24"/>
          <w:szCs w:val="24"/>
        </w:rPr>
        <w:t>公司严格按照《公司法》、《证券法》、《上市公司治理准则》、《深圳证券交易所创业板股</w:t>
      </w:r>
    </w:p>
    <w:p>
      <w:pPr>
        <w:pStyle w:val="BodyText"/>
        <w:spacing w:line="357" w:lineRule="auto" w:before="7"/>
        <w:ind w:right="994"/>
        <w:jc w:val="left"/>
      </w:pPr>
      <w:r>
        <w:rPr/>
        <w:t>票上市规则（</w:t>
      </w:r>
      <w:r>
        <w:rPr>
          <w:rFonts w:ascii="宋体" w:hAnsi="宋体" w:cs="宋体" w:eastAsia="宋体" w:hint="default"/>
        </w:rPr>
        <w:t>2014</w:t>
      </w:r>
      <w:r>
        <w:rPr>
          <w:rFonts w:ascii="宋体" w:hAnsi="宋体" w:cs="宋体" w:eastAsia="宋体" w:hint="default"/>
          <w:spacing w:val="-52"/>
        </w:rPr>
        <w:t> </w:t>
      </w:r>
      <w:r>
        <w:rPr>
          <w:spacing w:val="-12"/>
        </w:rPr>
        <w:t>年修订）》、《深圳证券交易所创业板上市公司规范运作指引（</w:t>
      </w:r>
      <w:r>
        <w:rPr>
          <w:rFonts w:ascii="宋体" w:hAnsi="宋体" w:cs="宋体" w:eastAsia="宋体" w:hint="default"/>
          <w:spacing w:val="-12"/>
        </w:rPr>
        <w:t>2015</w:t>
      </w:r>
      <w:r>
        <w:rPr>
          <w:rFonts w:ascii="宋体" w:hAnsi="宋体" w:cs="宋体" w:eastAsia="宋体" w:hint="default"/>
          <w:spacing w:val="-52"/>
        </w:rPr>
        <w:t> </w:t>
      </w:r>
      <w:r>
        <w:rPr>
          <w:spacing w:val="-30"/>
        </w:rPr>
        <w:t>修订）》</w:t>
      </w:r>
      <w:r>
        <w:rPr>
          <w:spacing w:val="-114"/>
        </w:rPr>
        <w:t> </w:t>
      </w:r>
      <w:r>
        <w:rPr>
          <w:spacing w:val="-114"/>
        </w:rPr>
      </w:r>
      <w:r>
        <w:rPr/>
        <w:t>等相关法律法规、规范性文件的要求，确立了由股东大会、董事会、董事会各专门委员会、 监事会、董事会秘书及公司经营管理层等组成的法人治理结构，并建立了相应的法人治理制 </w:t>
      </w:r>
      <w:r>
        <w:rPr>
          <w:spacing w:val="-3"/>
        </w:rPr>
        <w:t>度。报告期内，公司完成第三届董事会、第三届监事会换届选举和高级管理人员的聘任工作；</w:t>
      </w:r>
      <w:r>
        <w:rPr>
          <w:spacing w:val="-81"/>
        </w:rPr>
        <w:t> </w:t>
      </w:r>
      <w:r>
        <w:rPr>
          <w:spacing w:val="-81"/>
        </w:rPr>
      </w:r>
      <w:r>
        <w:rPr/>
        <w:t>并根据最新的法律法规及规范性文件的要求，结合公司实际情况，补充了《投资理财管理制</w:t>
      </w:r>
      <w:r>
        <w:rPr/>
        <w:t> 度》等，进一步完善了公司法人治理制度。公司各治理机构和人员严格按照公司内控制度执</w:t>
      </w:r>
      <w:r>
        <w:rPr>
          <w:spacing w:val="-117"/>
        </w:rPr>
        <w:t> </w:t>
      </w:r>
      <w:r>
        <w:rPr>
          <w:spacing w:val="-117"/>
        </w:rPr>
      </w:r>
      <w:r>
        <w:rPr/>
        <w:t>行，履行了应尽地职责和义务，保证了公司的规范运作，维护了公司和全体股东的利益，为 公司长期健康发展打下了坚实的基础。</w:t>
      </w:r>
    </w:p>
    <w:p>
      <w:pPr>
        <w:pStyle w:val="BodyText"/>
        <w:spacing w:line="357" w:lineRule="auto" w:before="36"/>
        <w:ind w:left="1134" w:right="1033" w:firstLine="480"/>
        <w:jc w:val="left"/>
      </w:pPr>
      <w:r>
        <w:rPr/>
        <w:t>截至本报告期末，公司治理的实际状况符合中国证监会、深圳证券交易所等发布的法律 法规和规范性文件的要求。主要情况如下：</w:t>
      </w:r>
    </w:p>
    <w:p>
      <w:pPr>
        <w:spacing w:line="357" w:lineRule="auto" w:before="36"/>
        <w:ind w:left="1614" w:right="1006"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、关于股东与股东大会</w:t>
      </w:r>
      <w:r>
        <w:rPr>
          <w:rFonts w:ascii="宋体" w:hAnsi="宋体" w:cs="宋体" w:eastAsia="宋体" w:hint="default"/>
          <w:b/>
          <w:bCs/>
          <w:w w:val="99"/>
          <w:sz w:val="24"/>
          <w:szCs w:val="24"/>
        </w:rPr>
        <w:t> </w:t>
      </w:r>
      <w:r>
        <w:rPr>
          <w:rFonts w:ascii="宋体" w:hAnsi="宋体" w:cs="宋体" w:eastAsia="宋体" w:hint="default"/>
          <w:spacing w:val="-14"/>
          <w:sz w:val="24"/>
          <w:szCs w:val="24"/>
        </w:rPr>
        <w:t>报告期内，公司严格按照《上市公司股东大会规则》、《公司章程》、《股东大会议事规则》</w:t>
      </w:r>
    </w:p>
    <w:p>
      <w:pPr>
        <w:pStyle w:val="BodyText"/>
        <w:spacing w:line="357" w:lineRule="auto" w:before="36"/>
        <w:ind w:right="1130"/>
        <w:jc w:val="both"/>
      </w:pPr>
      <w:r>
        <w:rPr/>
        <w:t>等规定召集、召开股东大会，共召开了 </w:t>
      </w:r>
      <w:r>
        <w:rPr>
          <w:rFonts w:ascii="宋体" w:hAnsi="宋体" w:cs="宋体" w:eastAsia="宋体" w:hint="default"/>
        </w:rPr>
        <w:t>4</w:t>
      </w:r>
      <w:r>
        <w:rPr>
          <w:rFonts w:ascii="宋体" w:hAnsi="宋体" w:cs="宋体" w:eastAsia="宋体" w:hint="default"/>
          <w:spacing w:val="-83"/>
        </w:rPr>
        <w:t> </w:t>
      </w:r>
      <w:r>
        <w:rPr/>
        <w:t>次股东大会，会议均由董事会召集召开，现场有见 证律师出具法律意见书；未发生单独或合并持有本公司有表决权股份总数</w:t>
      </w:r>
      <w:r>
        <w:rPr>
          <w:spacing w:val="9"/>
        </w:rPr>
        <w:t> </w:t>
      </w:r>
      <w:r>
        <w:rPr>
          <w:rFonts w:ascii="宋体" w:hAnsi="宋体" w:cs="宋体" w:eastAsia="宋体" w:hint="default"/>
        </w:rPr>
        <w:t>10%</w:t>
      </w:r>
      <w:r>
        <w:rPr/>
        <w:t>以上的股东请 求召开临时股东大会的情形，也无因监事会提议召开的股东大会。根据上述相关法律法规及</w:t>
      </w:r>
      <w:r>
        <w:rPr>
          <w:spacing w:val="-113"/>
        </w:rPr>
        <w:t> </w:t>
      </w:r>
      <w:r>
        <w:rPr>
          <w:spacing w:val="-113"/>
        </w:rPr>
      </w:r>
      <w:r>
        <w:rPr/>
        <w:t>规范性文件规定应由股东大会审议的重大事项，公司均经董事会审议通过后提交股东大会审</w:t>
      </w:r>
      <w:r>
        <w:rPr>
          <w:spacing w:val="-116"/>
        </w:rPr>
        <w:t> </w:t>
      </w:r>
      <w:r>
        <w:rPr>
          <w:spacing w:val="-116"/>
        </w:rPr>
      </w:r>
      <w:r>
        <w:rPr/>
        <w:t>议，不存在绕过股东大会的情况，也不存在先实施后审议的情况；公司平等对待所有股东， 并采用现场结合网络投票的方式为股东参加股东大会提供便利，确保全体股东特别是中小股 东享有平等地位，充分行使股东的权力。</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、关于公司与控股股东、实际控制人</w:t>
      </w:r>
      <w:r>
        <w:rPr>
          <w:rFonts w:ascii="宋体" w:hAnsi="宋体" w:cs="宋体" w:eastAsia="宋体" w:hint="default"/>
          <w:b/>
          <w:bCs/>
          <w:w w:val="99"/>
          <w:sz w:val="24"/>
          <w:szCs w:val="24"/>
        </w:rPr>
        <w:t> </w:t>
      </w:r>
      <w:r>
        <w:rPr>
          <w:rFonts w:ascii="宋体" w:hAnsi="宋体" w:cs="宋体" w:eastAsia="宋体" w:hint="default"/>
          <w:sz w:val="24"/>
          <w:szCs w:val="24"/>
        </w:rPr>
        <w:t>公司控股股东、实际控制人为孙屹峥、张菀夫妇，孙屹峥先生担任公司董事长，张菀女</w:t>
      </w:r>
    </w:p>
    <w:p>
      <w:pPr>
        <w:pStyle w:val="BodyText"/>
        <w:spacing w:line="357" w:lineRule="auto" w:before="36"/>
        <w:ind w:right="1139"/>
        <w:jc w:val="both"/>
      </w:pPr>
      <w:r>
        <w:rPr/>
        <w:t>士担任公司董事兼总经理。两人在共同控制公司期间，严格规范自身行为，依法行使其权利 并承担相应义务，不存在超越公司股东大会直接或间接干预公司的决策和经营的行为，未损 害公司及其他股东的利益，不存在控股股东占用公司资金的现象，公司亦无为控股股东提供 担保的情形。公司拥有独立完整的业务和自主经营能力，在业务、资产、人员、机构、财务</w:t>
      </w:r>
    </w:p>
    <w:p>
      <w:pPr>
        <w:spacing w:after="0" w:line="357" w:lineRule="auto"/>
        <w:jc w:val="both"/>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spacing w:line="357" w:lineRule="auto" w:before="26"/>
        <w:ind w:left="1616" w:right="4513" w:hanging="483"/>
        <w:jc w:val="left"/>
        <w:rPr>
          <w:rFonts w:ascii="宋体" w:hAnsi="宋体" w:cs="宋体" w:eastAsia="宋体" w:hint="default"/>
          <w:sz w:val="24"/>
          <w:szCs w:val="24"/>
        </w:rPr>
      </w:pPr>
      <w:r>
        <w:rPr>
          <w:rFonts w:ascii="宋体" w:hAnsi="宋体" w:cs="宋体" w:eastAsia="宋体" w:hint="default"/>
          <w:sz w:val="24"/>
          <w:szCs w:val="24"/>
        </w:rPr>
        <w:t>上与控股股东，公司董事会、监事会和内部机构独立运作。 </w:t>
      </w:r>
      <w:r>
        <w:rPr>
          <w:rFonts w:ascii="宋体" w:hAnsi="宋体" w:cs="宋体" w:eastAsia="宋体" w:hint="default"/>
          <w:b/>
          <w:bCs/>
          <w:sz w:val="24"/>
          <w:szCs w:val="24"/>
        </w:rPr>
        <w:t>3</w:t>
      </w:r>
      <w:r>
        <w:rPr>
          <w:rFonts w:ascii="宋体" w:hAnsi="宋体" w:cs="宋体" w:eastAsia="宋体" w:hint="default"/>
          <w:b/>
          <w:bCs/>
          <w:sz w:val="24"/>
          <w:szCs w:val="24"/>
        </w:rPr>
        <w:t>、关于董事和董事会</w:t>
      </w:r>
      <w:r>
        <w:rPr>
          <w:rFonts w:ascii="宋体" w:hAnsi="宋体" w:cs="宋体" w:eastAsia="宋体" w:hint="default"/>
          <w:sz w:val="24"/>
          <w:szCs w:val="24"/>
        </w:rPr>
      </w:r>
    </w:p>
    <w:p>
      <w:pPr>
        <w:pStyle w:val="BodyText"/>
        <w:spacing w:line="357" w:lineRule="auto" w:before="36"/>
        <w:ind w:right="1131" w:firstLine="480"/>
        <w:jc w:val="both"/>
      </w:pPr>
      <w:r>
        <w:rPr/>
        <w:t>公司董事会设董事</w:t>
      </w:r>
      <w:r>
        <w:rPr>
          <w:spacing w:val="-50"/>
        </w:rPr>
        <w:t> </w:t>
      </w:r>
      <w:r>
        <w:rPr>
          <w:rFonts w:ascii="宋体" w:hAnsi="宋体" w:cs="宋体" w:eastAsia="宋体" w:hint="default"/>
        </w:rPr>
        <w:t>5</w:t>
      </w:r>
      <w:r>
        <w:rPr>
          <w:rFonts w:ascii="宋体" w:hAnsi="宋体" w:cs="宋体" w:eastAsia="宋体" w:hint="default"/>
          <w:spacing w:val="-51"/>
        </w:rPr>
        <w:t> </w:t>
      </w:r>
      <w:r>
        <w:rPr/>
        <w:t>名，其中独立董事</w:t>
      </w:r>
      <w:r>
        <w:rPr>
          <w:spacing w:val="-50"/>
        </w:rPr>
        <w:t> </w:t>
      </w:r>
      <w:r>
        <w:rPr>
          <w:rFonts w:ascii="宋体" w:hAnsi="宋体" w:cs="宋体" w:eastAsia="宋体" w:hint="default"/>
        </w:rPr>
        <w:t>2</w:t>
      </w:r>
      <w:r>
        <w:rPr>
          <w:rFonts w:ascii="宋体" w:hAnsi="宋体" w:cs="宋体" w:eastAsia="宋体" w:hint="default"/>
          <w:spacing w:val="-51"/>
        </w:rPr>
        <w:t> </w:t>
      </w:r>
      <w:r>
        <w:rPr/>
        <w:t>名，分别为法律专业和财务专业，董事会的人 数及人员构成符合法律、法规和《公司章程》的要求。公司董事会下设战略委员会、审计委</w:t>
      </w:r>
      <w:r>
        <w:rPr>
          <w:spacing w:val="-117"/>
        </w:rPr>
        <w:t> </w:t>
      </w:r>
      <w:r>
        <w:rPr>
          <w:spacing w:val="-117"/>
        </w:rPr>
      </w:r>
      <w:r>
        <w:rPr/>
        <w:t>员会、薪酬与考核委员会、提名委员会四个专门委员会，专门委员会委员由公司董事、独立</w:t>
      </w:r>
      <w:r>
        <w:rPr>
          <w:spacing w:val="-112"/>
        </w:rPr>
        <w:t> </w:t>
      </w:r>
      <w:r>
        <w:rPr>
          <w:spacing w:val="-112"/>
        </w:rPr>
      </w:r>
      <w:r>
        <w:rPr/>
        <w:t>董事担任，专门委员会的构成符合法律、法规和《公司章程》的要求。</w:t>
      </w:r>
    </w:p>
    <w:p>
      <w:pPr>
        <w:pStyle w:val="BodyText"/>
        <w:spacing w:line="357" w:lineRule="auto" w:before="36"/>
        <w:ind w:right="1133" w:firstLine="480"/>
        <w:jc w:val="both"/>
      </w:pPr>
      <w:r>
        <w:rPr>
          <w:spacing w:val="-7"/>
        </w:rPr>
        <w:t>公司董事会成员严格按照相关法律法规及公司依法制定的《公司章程》、《董事会议事规</w:t>
      </w:r>
      <w:r>
        <w:rPr/>
        <w:t> </w:t>
      </w:r>
      <w:r>
        <w:rPr>
          <w:spacing w:val="-22"/>
        </w:rPr>
        <w:t>则》、《独立董事制度》、《董事会战略委员会工作细则》、《董事会审计委员会工作细则》、《董</w:t>
      </w:r>
      <w:r>
        <w:rPr>
          <w:spacing w:val="-107"/>
        </w:rPr>
        <w:t> </w:t>
      </w:r>
      <w:r>
        <w:rPr>
          <w:spacing w:val="-107"/>
        </w:rPr>
      </w:r>
      <w:r>
        <w:rPr>
          <w:spacing w:val="-11"/>
        </w:rPr>
        <w:t>事会薪酬与考核委员会工作细则》、《董事会提名委员会工作细则》等规定开展工作，召集（出</w:t>
      </w:r>
      <w:r>
        <w:rPr>
          <w:spacing w:val="-102"/>
        </w:rPr>
        <w:t> </w:t>
      </w:r>
      <w:r>
        <w:rPr>
          <w:spacing w:val="-102"/>
        </w:rPr>
      </w:r>
      <w:r>
        <w:rPr/>
        <w:t>席）股东大会、董事会和董事会专门委员会议，同时积极参加相关培训，提高自身的专业技 能和工作素质，勤勉尽责地履行职责和义务，切实发挥了董事会在公司规范运作中的重要作 用。</w:t>
      </w:r>
    </w:p>
    <w:p>
      <w:pPr>
        <w:pStyle w:val="BodyText"/>
        <w:spacing w:line="357" w:lineRule="auto" w:before="36"/>
        <w:ind w:right="1132" w:firstLine="480"/>
        <w:jc w:val="both"/>
      </w:pPr>
      <w:r>
        <w:rPr>
          <w:spacing w:val="-3"/>
        </w:rPr>
        <w:t>报告期内，公司依法完成了董事会换届选举，共召开</w:t>
      </w:r>
      <w:r>
        <w:rPr>
          <w:spacing w:val="-68"/>
        </w:rPr>
        <w:t> </w:t>
      </w:r>
      <w:r>
        <w:rPr>
          <w:rFonts w:ascii="宋体" w:hAnsi="宋体" w:cs="宋体" w:eastAsia="宋体" w:hint="default"/>
        </w:rPr>
        <w:t>10</w:t>
      </w:r>
      <w:r>
        <w:rPr>
          <w:rFonts w:ascii="宋体" w:hAnsi="宋体" w:cs="宋体" w:eastAsia="宋体" w:hint="default"/>
          <w:spacing w:val="-67"/>
        </w:rPr>
        <w:t> </w:t>
      </w:r>
      <w:r>
        <w:rPr/>
        <w:t>次董事会，均严格按照相关规定 召集、召开和表决，运作顺畅，未出现越权行使股东大会授权权限的行为，也未出现越权干</w:t>
      </w:r>
      <w:r>
        <w:rPr>
          <w:spacing w:val="-117"/>
        </w:rPr>
        <w:t> </w:t>
      </w:r>
      <w:r>
        <w:rPr>
          <w:spacing w:val="-117"/>
        </w:rPr>
      </w:r>
      <w:r>
        <w:rPr/>
        <w:t>预监事会运作和经营管理层的行为。</w:t>
      </w:r>
    </w:p>
    <w:p>
      <w:pPr>
        <w:pStyle w:val="Heading3"/>
        <w:spacing w:line="240" w:lineRule="auto" w:before="36"/>
        <w:ind w:left="1616" w:right="1033"/>
        <w:jc w:val="left"/>
        <w:rPr>
          <w:b w:val="0"/>
          <w:bCs w:val="0"/>
        </w:rPr>
      </w:pPr>
      <w:r>
        <w:rPr>
          <w:rFonts w:ascii="宋体" w:hAnsi="宋体" w:cs="宋体" w:eastAsia="宋体" w:hint="default"/>
        </w:rPr>
        <w:t>4</w:t>
      </w:r>
      <w:r>
        <w:rPr/>
        <w:t>、关于监事和监事会</w:t>
      </w:r>
      <w:r>
        <w:rPr>
          <w:b w:val="0"/>
          <w:bCs w:val="0"/>
        </w:rPr>
      </w:r>
    </w:p>
    <w:p>
      <w:pPr>
        <w:pStyle w:val="BodyText"/>
        <w:spacing w:line="357" w:lineRule="auto" w:before="154"/>
        <w:ind w:right="1131" w:firstLine="480"/>
        <w:jc w:val="both"/>
      </w:pPr>
      <w:r>
        <w:rPr/>
        <w:t>公司监事会设监事</w:t>
      </w:r>
      <w:r>
        <w:rPr>
          <w:spacing w:val="-50"/>
        </w:rPr>
        <w:t> </w:t>
      </w:r>
      <w:r>
        <w:rPr>
          <w:rFonts w:ascii="宋体" w:hAnsi="宋体" w:cs="宋体" w:eastAsia="宋体" w:hint="default"/>
        </w:rPr>
        <w:t>3</w:t>
      </w:r>
      <w:r>
        <w:rPr>
          <w:rFonts w:ascii="宋体" w:hAnsi="宋体" w:cs="宋体" w:eastAsia="宋体" w:hint="default"/>
          <w:spacing w:val="-51"/>
        </w:rPr>
        <w:t> </w:t>
      </w:r>
      <w:r>
        <w:rPr/>
        <w:t>名，其中职工代表监事</w:t>
      </w:r>
      <w:r>
        <w:rPr>
          <w:spacing w:val="-50"/>
        </w:rPr>
        <w:t> </w:t>
      </w:r>
      <w:r>
        <w:rPr>
          <w:rFonts w:ascii="宋体" w:hAnsi="宋体" w:cs="宋体" w:eastAsia="宋体" w:hint="default"/>
        </w:rPr>
        <w:t>1</w:t>
      </w:r>
      <w:r>
        <w:rPr>
          <w:rFonts w:ascii="宋体" w:hAnsi="宋体" w:cs="宋体" w:eastAsia="宋体" w:hint="default"/>
          <w:spacing w:val="-51"/>
        </w:rPr>
        <w:t> </w:t>
      </w:r>
      <w:r>
        <w:rPr/>
        <w:t>名，监事会的人数和构成符合法律、法规 </w:t>
      </w:r>
      <w:r>
        <w:rPr>
          <w:spacing w:val="-6"/>
        </w:rPr>
        <w:t>的要求。公司监事会成员严格按照相关法律法规及公司制订的《公司章程》、《监事会议事规</w:t>
      </w:r>
      <w:r>
        <w:rPr>
          <w:spacing w:val="-112"/>
        </w:rPr>
        <w:t> </w:t>
      </w:r>
      <w:r>
        <w:rPr>
          <w:spacing w:val="-112"/>
        </w:rPr>
      </w:r>
      <w:r>
        <w:rPr/>
        <w:t>则》的规定，认真履行职责，关注公司定期报告、利润分配、募集资金存放与使用、关联交 易、对外担保等重大事项并发表独立意见，同时对公司董事、高管人员履行职责的合法合规 性进行监督，维护公司和股东的合法权益。</w:t>
      </w:r>
    </w:p>
    <w:p>
      <w:pPr>
        <w:pStyle w:val="BodyText"/>
        <w:spacing w:line="357" w:lineRule="auto" w:before="36"/>
        <w:ind w:right="1130" w:firstLine="480"/>
        <w:jc w:val="both"/>
      </w:pPr>
      <w:r>
        <w:rPr/>
        <w:t>报告期内，公司依法完成了监事会换届选举，共召开 </w:t>
      </w:r>
      <w:r>
        <w:rPr>
          <w:rFonts w:ascii="宋体" w:hAnsi="宋体" w:cs="宋体" w:eastAsia="宋体" w:hint="default"/>
        </w:rPr>
        <w:t>8</w:t>
      </w:r>
      <w:r>
        <w:rPr>
          <w:rFonts w:ascii="宋体" w:hAnsi="宋体" w:cs="宋体" w:eastAsia="宋体" w:hint="default"/>
          <w:spacing w:val="-82"/>
        </w:rPr>
        <w:t> </w:t>
      </w:r>
      <w:r>
        <w:rPr/>
        <w:t>次监事会，均严格按照相关规定 召集、召开，监事会的各项工作能够独立有效地开展。</w:t>
      </w:r>
    </w:p>
    <w:p>
      <w:pPr>
        <w:pStyle w:val="Heading3"/>
        <w:spacing w:line="240" w:lineRule="auto" w:before="36"/>
        <w:ind w:left="1616" w:right="1033"/>
        <w:jc w:val="left"/>
        <w:rPr>
          <w:b w:val="0"/>
          <w:bCs w:val="0"/>
        </w:rPr>
      </w:pPr>
      <w:r>
        <w:rPr>
          <w:rFonts w:ascii="宋体" w:hAnsi="宋体" w:cs="宋体" w:eastAsia="宋体" w:hint="default"/>
        </w:rPr>
        <w:t>5</w:t>
      </w:r>
      <w:r>
        <w:rPr/>
        <w:t>、关于绩效评价与激励约束机制</w:t>
      </w:r>
      <w:r>
        <w:rPr>
          <w:b w:val="0"/>
          <w:bCs w:val="0"/>
        </w:rPr>
      </w:r>
    </w:p>
    <w:p>
      <w:pPr>
        <w:pStyle w:val="BodyText"/>
        <w:spacing w:line="357" w:lineRule="auto" w:before="154"/>
        <w:ind w:right="999" w:firstLine="480"/>
        <w:jc w:val="left"/>
      </w:pPr>
      <w:r>
        <w:rPr>
          <w:spacing w:val="-4"/>
        </w:rPr>
        <w:t>公司董事会下设薪酬与考核委员会，由</w:t>
      </w:r>
      <w:r>
        <w:rPr>
          <w:spacing w:val="-57"/>
        </w:rPr>
        <w:t> </w:t>
      </w:r>
      <w:r>
        <w:rPr>
          <w:rFonts w:ascii="宋体" w:hAnsi="宋体" w:cs="宋体" w:eastAsia="宋体" w:hint="default"/>
        </w:rPr>
        <w:t>3</w:t>
      </w:r>
      <w:r>
        <w:rPr>
          <w:rFonts w:ascii="宋体" w:hAnsi="宋体" w:cs="宋体" w:eastAsia="宋体" w:hint="default"/>
          <w:spacing w:val="-57"/>
        </w:rPr>
        <w:t> </w:t>
      </w:r>
      <w:r>
        <w:rPr>
          <w:spacing w:val="-12"/>
        </w:rPr>
        <w:t>名董事组成，独立董事担任主任委员（召集人）；</w:t>
      </w:r>
      <w:r>
        <w:rPr/>
        <w:t> </w:t>
      </w:r>
      <w:r>
        <w:rPr>
          <w:spacing w:val="-5"/>
        </w:rPr>
        <w:t>根据《薪酬与考核委员会工作细则》，公司建立了董事及高级管理人员绩效评价与激励约束机</w:t>
      </w:r>
      <w:r>
        <w:rPr>
          <w:spacing w:val="-117"/>
        </w:rPr>
        <w:t> </w:t>
      </w:r>
      <w:r>
        <w:rPr>
          <w:spacing w:val="-117"/>
        </w:rPr>
      </w:r>
      <w:r>
        <w:rPr/>
        <w:t>制，大力推行高级管理人员绩效目标管理制，通过明确绩效考核及考评标准，实施薪酬直接 与其业绩挂钩，高级管理人员的聘任能够做到公开、透明，符合法律、法规的规定。公司严 格按照规定对高级管理人员进行绩效评价与考核，在强化对高级管理人员的考评激励作用的</w:t>
      </w:r>
    </w:p>
    <w:p>
      <w:pPr>
        <w:spacing w:after="0" w:line="357" w:lineRule="auto"/>
        <w:jc w:val="left"/>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spacing w:line="357" w:lineRule="auto" w:before="26"/>
        <w:ind w:left="1616" w:right="6673" w:hanging="483"/>
        <w:jc w:val="left"/>
        <w:rPr>
          <w:rFonts w:ascii="宋体" w:hAnsi="宋体" w:cs="宋体" w:eastAsia="宋体" w:hint="default"/>
          <w:sz w:val="24"/>
          <w:szCs w:val="24"/>
        </w:rPr>
      </w:pPr>
      <w:r>
        <w:rPr>
          <w:rFonts w:ascii="宋体" w:hAnsi="宋体" w:cs="宋体" w:eastAsia="宋体" w:hint="default"/>
          <w:sz w:val="24"/>
          <w:szCs w:val="24"/>
        </w:rPr>
        <w:t>同时，以确保公司近远期目标的达成。 </w:t>
      </w:r>
      <w:r>
        <w:rPr>
          <w:rFonts w:ascii="宋体" w:hAnsi="宋体" w:cs="宋体" w:eastAsia="宋体" w:hint="default"/>
          <w:b/>
          <w:bCs/>
          <w:sz w:val="24"/>
          <w:szCs w:val="24"/>
        </w:rPr>
        <w:t>6</w:t>
      </w:r>
      <w:r>
        <w:rPr>
          <w:rFonts w:ascii="宋体" w:hAnsi="宋体" w:cs="宋体" w:eastAsia="宋体" w:hint="default"/>
          <w:b/>
          <w:bCs/>
          <w:sz w:val="24"/>
          <w:szCs w:val="24"/>
        </w:rPr>
        <w:t>、关于信息披露与透明度</w:t>
      </w:r>
      <w:r>
        <w:rPr>
          <w:rFonts w:ascii="宋体" w:hAnsi="宋体" w:cs="宋体" w:eastAsia="宋体" w:hint="default"/>
          <w:sz w:val="24"/>
          <w:szCs w:val="24"/>
        </w:rPr>
      </w:r>
    </w:p>
    <w:p>
      <w:pPr>
        <w:pStyle w:val="BodyText"/>
        <w:spacing w:line="357" w:lineRule="auto" w:before="36"/>
        <w:ind w:left="1134" w:right="994" w:firstLine="480"/>
        <w:jc w:val="left"/>
      </w:pPr>
      <w:r>
        <w:rPr>
          <w:spacing w:val="-9"/>
        </w:rPr>
        <w:t>公司严格按照有关法律法规以及《信息披露管理制度》、《投资者关系管理制度》等要求，</w:t>
      </w:r>
      <w:r>
        <w:rPr/>
        <w:t> 真实、准确、完整、及时、公平地披露有关信息，同时按规定向中国证监会、四川证监局、</w:t>
      </w:r>
      <w:r>
        <w:rPr>
          <w:spacing w:val="-114"/>
        </w:rPr>
        <w:t> </w:t>
      </w:r>
      <w:r>
        <w:rPr>
          <w:spacing w:val="-114"/>
        </w:rPr>
      </w:r>
      <w:r>
        <w:rPr/>
        <w:t>深圳证券交易所报告有关情况及报备相关材料。公司董事长作为信息披露第一责任人、董事 会秘书作为信息披露的组织者，全面负责信息披露具体工作，对公开信息披露和重大内部事 项沟通进行全程、有效的控制。公司将信息披露、投资者接待的工作制作成流程图公布在公 司网站上，以便投资者随时查阅，并妥善接待投资者来访，回复投资者各种形式的咨询，向 </w:t>
      </w:r>
      <w:r>
        <w:rPr>
          <w:spacing w:val="-2"/>
        </w:rPr>
        <w:t>投资者提供公司已披露的资料，及时对投资者在深交所网站业务平台上的“投资者互动平台”</w:t>
      </w:r>
      <w:r>
        <w:rPr/>
        <w:t> 提出的问题进行回复，同时公司网站设立了投资者关系专栏，并通过专线电话、电子信箱、</w:t>
      </w:r>
      <w:r>
        <w:rPr>
          <w:spacing w:val="-111"/>
        </w:rPr>
        <w:t> </w:t>
      </w:r>
      <w:r>
        <w:rPr>
          <w:spacing w:val="-111"/>
        </w:rPr>
      </w:r>
      <w:r>
        <w:rPr/>
        <w:t>传真、微信等多种渠道加强与投资者的沟通，确保公司与广大中小投资者进行及时、有效的 沟通。</w:t>
      </w:r>
    </w:p>
    <w:p>
      <w:pPr>
        <w:pStyle w:val="BodyText"/>
        <w:spacing w:line="240" w:lineRule="auto" w:before="36"/>
        <w:ind w:left="1614" w:right="0"/>
        <w:jc w:val="left"/>
      </w:pPr>
      <w:r>
        <w:rPr/>
        <w:t>公司指定巨潮咨询</w:t>
      </w:r>
      <w:r>
        <w:rPr>
          <w:spacing w:val="-68"/>
        </w:rPr>
        <w:t>网</w:t>
      </w:r>
      <w:r>
        <w:rPr/>
        <w:t>（</w:t>
      </w:r>
      <w:hyperlink r:id="rId9">
        <w:r>
          <w:rPr>
            <w:rFonts w:ascii="宋体" w:hAnsi="宋体" w:cs="宋体" w:eastAsia="宋体" w:hint="default"/>
          </w:rPr>
          <w:t>www.cninfo.com.cn</w:t>
        </w:r>
      </w:hyperlink>
      <w:r>
        <w:rPr>
          <w:spacing w:val="-68"/>
        </w:rPr>
        <w:t>）</w:t>
      </w:r>
      <w:r>
        <w:rPr/>
        <w:t>为公司信息披露的指定网站</w:t>
      </w:r>
      <w:r>
        <w:rPr>
          <w:spacing w:val="-188"/>
        </w:rPr>
        <w:t>，</w:t>
      </w:r>
      <w:r>
        <w:rPr/>
        <w:t>《中国证券报</w:t>
      </w:r>
      <w:r>
        <w:rPr>
          <w:spacing w:val="-120"/>
        </w:rPr>
        <w:t>》</w:t>
      </w:r>
      <w:r>
        <w:rPr/>
        <w:t>、</w:t>
      </w:r>
    </w:p>
    <w:p>
      <w:pPr>
        <w:pStyle w:val="BodyText"/>
        <w:spacing w:line="357" w:lineRule="auto" w:before="154"/>
        <w:ind w:right="1033"/>
        <w:jc w:val="left"/>
      </w:pPr>
      <w:r>
        <w:rPr/>
        <w:t>《证券时报》为公司定期报告披露的指定报刊，确保公司所有股东能够以平等的机会获得信 息。</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、关于相关利益者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公司充分尊重和维护相关利益者的合法权益，积极促进与相关利益者合作，加强与各方</w:t>
      </w:r>
    </w:p>
    <w:p>
      <w:pPr>
        <w:spacing w:line="374" w:lineRule="auto" w:before="36"/>
        <w:ind w:left="1133" w:right="1033" w:firstLine="0"/>
        <w:jc w:val="left"/>
        <w:rPr>
          <w:rFonts w:ascii="宋体" w:hAnsi="宋体" w:cs="宋体" w:eastAsia="宋体" w:hint="default"/>
          <w:sz w:val="24"/>
          <w:szCs w:val="24"/>
        </w:rPr>
      </w:pPr>
      <w:r>
        <w:rPr>
          <w:rFonts w:ascii="宋体" w:hAnsi="宋体" w:cs="宋体" w:eastAsia="宋体" w:hint="default"/>
          <w:sz w:val="24"/>
          <w:szCs w:val="24"/>
        </w:rPr>
        <w:t>的沟通交流，实现投资者、股东、客户、用户、供应商、员工及社会各方利益的协调平衡，</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共同推动公司持续、稳定、健康发展。 </w:t>
      </w:r>
      <w:bookmarkStart w:name="二、公司相对于控股股东在业务、人员、资产、机构、财务等方面的独立情况" w:id="132"/>
      <w:bookmarkEnd w:id="132"/>
      <w:r>
        <w:rPr>
          <w:rFonts w:ascii="宋体" w:hAnsi="宋体" w:cs="宋体" w:eastAsia="宋体" w:hint="default"/>
          <w:sz w:val="24"/>
          <w:szCs w:val="24"/>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sz w:val="24"/>
          <w:szCs w:val="24"/>
        </w:rPr>
      </w:r>
    </w:p>
    <w:p>
      <w:pPr>
        <w:pStyle w:val="BodyText"/>
        <w:spacing w:line="357" w:lineRule="auto" w:before="59"/>
        <w:ind w:right="1133" w:firstLine="480"/>
        <w:jc w:val="both"/>
      </w:pPr>
      <w:r>
        <w:rPr>
          <w:spacing w:val="-7"/>
        </w:rPr>
        <w:t>公司严格按照《公司法》、《证券法》等有关法律法规和《公司章程》的要求规范运作，</w:t>
      </w:r>
      <w:r>
        <w:rPr/>
        <w:t> 建立并不断完善了法人治理结构，业务、人员、资产、机构、财务等方面与控股股东及实际</w:t>
      </w:r>
      <w:r>
        <w:rPr>
          <w:spacing w:val="-113"/>
        </w:rPr>
        <w:t> </w:t>
      </w:r>
      <w:r>
        <w:rPr>
          <w:spacing w:val="-113"/>
        </w:rPr>
      </w:r>
      <w:r>
        <w:rPr/>
        <w:t>控制人完全独立，具有完整的业务体系及面向市场独立经营的能力，不存在被控股股东及实 际控制人及其关联方控制和占用资金、资产及其他资源的情况。</w:t>
      </w:r>
    </w:p>
    <w:p>
      <w:pPr>
        <w:pStyle w:val="BodyText"/>
        <w:spacing w:line="357" w:lineRule="auto" w:before="36"/>
        <w:ind w:left="1613" w:right="1033" w:firstLine="2"/>
        <w:jc w:val="left"/>
      </w:pPr>
      <w:r>
        <w:rPr>
          <w:rFonts w:ascii="宋体" w:hAnsi="宋体" w:cs="宋体" w:eastAsia="宋体" w:hint="default"/>
          <w:b/>
          <w:bCs/>
        </w:rPr>
        <w:t>1</w:t>
      </w:r>
      <w:r>
        <w:rPr>
          <w:rFonts w:ascii="宋体" w:hAnsi="宋体" w:cs="宋体" w:eastAsia="宋体" w:hint="default"/>
          <w:b/>
          <w:bCs/>
        </w:rPr>
        <w:t>、业务独立</w:t>
      </w:r>
      <w:r>
        <w:rPr>
          <w:rFonts w:ascii="宋体" w:hAnsi="宋体" w:cs="宋体" w:eastAsia="宋体" w:hint="default"/>
          <w:b/>
          <w:bCs/>
          <w:w w:val="99"/>
        </w:rPr>
        <w:t> </w:t>
      </w:r>
      <w:r>
        <w:rPr/>
        <w:t>公司业务涉及信息、医疗、环保三大板块业务领域，拥有市场营销、技术研发、产品生</w:t>
      </w:r>
    </w:p>
    <w:p>
      <w:pPr>
        <w:pStyle w:val="BodyText"/>
        <w:spacing w:line="357" w:lineRule="auto" w:before="36"/>
        <w:ind w:left="1613" w:right="1033" w:hanging="480"/>
        <w:jc w:val="left"/>
      </w:pPr>
      <w:r>
        <w:rPr/>
        <w:t>产</w:t>
      </w:r>
      <w:r>
        <w:rPr>
          <w:rFonts w:ascii="宋体" w:hAnsi="宋体" w:cs="宋体" w:eastAsia="宋体" w:hint="default"/>
        </w:rPr>
        <w:t>/</w:t>
      </w:r>
      <w:r>
        <w:rPr/>
        <w:t>安装</w:t>
      </w:r>
      <w:r>
        <w:rPr>
          <w:rFonts w:ascii="宋体" w:hAnsi="宋体" w:cs="宋体" w:eastAsia="宋体" w:hint="default"/>
        </w:rPr>
        <w:t>/</w:t>
      </w:r>
      <w:r>
        <w:rPr/>
        <w:t>调试、工程实施及售后服务等完整的运营管理体系，能独立开展各项经营活动。 </w:t>
      </w:r>
      <w:r>
        <w:rPr>
          <w:rFonts w:ascii="宋体" w:hAnsi="宋体" w:cs="宋体" w:eastAsia="宋体" w:hint="default"/>
          <w:b/>
          <w:bCs/>
        </w:rPr>
        <w:t>2</w:t>
      </w:r>
      <w:r>
        <w:rPr>
          <w:rFonts w:ascii="宋体" w:hAnsi="宋体" w:cs="宋体" w:eastAsia="宋体" w:hint="default"/>
          <w:b/>
          <w:bCs/>
        </w:rPr>
        <w:t>、人员独立</w:t>
      </w:r>
      <w:r>
        <w:rPr>
          <w:rFonts w:ascii="宋体" w:hAnsi="宋体" w:cs="宋体" w:eastAsia="宋体" w:hint="default"/>
          <w:b/>
          <w:bCs/>
          <w:w w:val="99"/>
        </w:rPr>
        <w:t> </w:t>
      </w:r>
      <w:r>
        <w:rPr>
          <w:spacing w:val="-7"/>
        </w:rPr>
        <w:t>公司董事、监事及高级管理人员均严格按照《公司法》、《公司章程》的有关规定产生，</w:t>
      </w:r>
    </w:p>
    <w:p>
      <w:pPr>
        <w:spacing w:after="0" w:line="357" w:lineRule="auto"/>
        <w:jc w:val="left"/>
        <w:sectPr>
          <w:footerReference w:type="default" r:id="rId27"/>
          <w:pgSz w:w="11910" w:h="16840"/>
          <w:pgMar w:footer="979" w:header="747"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left="1134" w:right="1033"/>
        <w:jc w:val="left"/>
      </w:pPr>
      <w:r>
        <w:rPr/>
        <w:t>控股股东没有干预公司董事会和股东大会已经作出的人事任免决定；公司在劳动、人事、工 资管理等方面均完全独立。</w:t>
      </w:r>
    </w:p>
    <w:p>
      <w:pPr>
        <w:pStyle w:val="BodyText"/>
        <w:spacing w:line="357" w:lineRule="auto" w:before="36"/>
        <w:ind w:left="1614" w:right="1033" w:firstLine="2"/>
        <w:jc w:val="left"/>
      </w:pPr>
      <w:r>
        <w:rPr>
          <w:rFonts w:ascii="宋体" w:hAnsi="宋体" w:cs="宋体" w:eastAsia="宋体" w:hint="default"/>
          <w:b/>
          <w:bCs/>
        </w:rPr>
        <w:t>3</w:t>
      </w:r>
      <w:r>
        <w:rPr>
          <w:rFonts w:ascii="宋体" w:hAnsi="宋体" w:cs="宋体" w:eastAsia="宋体" w:hint="default"/>
          <w:b/>
          <w:bCs/>
        </w:rPr>
        <w:t>、资产独立</w:t>
      </w:r>
      <w:r>
        <w:rPr>
          <w:rFonts w:ascii="宋体" w:hAnsi="宋体" w:cs="宋体" w:eastAsia="宋体" w:hint="default"/>
          <w:b/>
          <w:bCs/>
          <w:w w:val="99"/>
        </w:rPr>
        <w:t> </w:t>
      </w:r>
      <w:r>
        <w:rPr/>
        <w:t>公司拥有独立的生产经营资质、生产经营场所、生产经营资产、采购销售系统及与生产</w:t>
      </w:r>
    </w:p>
    <w:p>
      <w:pPr>
        <w:pStyle w:val="BodyText"/>
        <w:spacing w:line="357" w:lineRule="auto" w:before="36"/>
        <w:ind w:left="1134" w:right="1033"/>
        <w:jc w:val="left"/>
      </w:pPr>
      <w:r>
        <w:rPr/>
        <w:t>经营有关的生产系统、辅助生产系统和配套设施，不存在被控股股东或其他关联方违规占用 资金、资产及其他资源的情形。</w:t>
      </w:r>
    </w:p>
    <w:p>
      <w:pPr>
        <w:pStyle w:val="BodyText"/>
        <w:spacing w:line="357" w:lineRule="auto" w:before="36"/>
        <w:ind w:left="1614" w:right="994" w:firstLine="2"/>
        <w:jc w:val="left"/>
      </w:pPr>
      <w:r>
        <w:rPr>
          <w:rFonts w:ascii="宋体" w:hAnsi="宋体" w:cs="宋体" w:eastAsia="宋体" w:hint="default"/>
          <w:b/>
          <w:bCs/>
        </w:rPr>
        <w:t>4</w:t>
      </w:r>
      <w:r>
        <w:rPr>
          <w:rFonts w:ascii="宋体" w:hAnsi="宋体" w:cs="宋体" w:eastAsia="宋体" w:hint="default"/>
          <w:b/>
          <w:bCs/>
        </w:rPr>
        <w:t>、机构独立</w:t>
      </w:r>
      <w:r>
        <w:rPr>
          <w:rFonts w:ascii="宋体" w:hAnsi="宋体" w:cs="宋体" w:eastAsia="宋体" w:hint="default"/>
          <w:b/>
          <w:bCs/>
          <w:w w:val="99"/>
        </w:rPr>
        <w:t> </w:t>
      </w:r>
      <w:r>
        <w:rPr>
          <w:spacing w:val="-3"/>
        </w:rPr>
        <w:t>公司具有健全的组织结构，已根据《公司章程》规定建立了股东大会、董事会、监事会、</w:t>
      </w:r>
    </w:p>
    <w:p>
      <w:pPr>
        <w:pStyle w:val="BodyText"/>
        <w:spacing w:line="357" w:lineRule="auto" w:before="36"/>
        <w:ind w:left="1134" w:right="1131"/>
        <w:jc w:val="both"/>
      </w:pPr>
      <w:r>
        <w:rPr/>
        <w:t>独立董事、董事会秘书等完善的法人治理结构；董事会下设战略委员会、提名委员会、薪酬 与考核委员会、审计委员会 </w:t>
      </w:r>
      <w:r>
        <w:rPr>
          <w:rFonts w:ascii="宋体" w:hAnsi="宋体" w:cs="宋体" w:eastAsia="宋体" w:hint="default"/>
        </w:rPr>
        <w:t>4</w:t>
      </w:r>
      <w:r>
        <w:rPr>
          <w:rFonts w:ascii="宋体" w:hAnsi="宋体" w:cs="宋体" w:eastAsia="宋体" w:hint="default"/>
          <w:spacing w:val="-82"/>
        </w:rPr>
        <w:t> </w:t>
      </w:r>
      <w:r>
        <w:rPr/>
        <w:t>个专业委员会。公司独立董事人数占董事会成员的三分之一以 上，确保董事会相对独立于控股股东、实际控制人，从而进一步保证董事会对公司各项事务 做出独立、客观决策，维护公司全体股东共同利益。公司自成立以来，公司逐步建立和完善 了适应公司发展及市场竞争需要的独立的组织机构，明确了各机构的职能，各职能机构在公 司管理层统一领导下有效运作。</w:t>
      </w:r>
    </w:p>
    <w:p>
      <w:pPr>
        <w:pStyle w:val="BodyText"/>
        <w:spacing w:line="357" w:lineRule="auto" w:before="36"/>
        <w:ind w:left="1614" w:right="1033" w:firstLine="2"/>
        <w:jc w:val="left"/>
      </w:pPr>
      <w:r>
        <w:rPr>
          <w:rFonts w:ascii="宋体" w:hAnsi="宋体" w:cs="宋体" w:eastAsia="宋体" w:hint="default"/>
          <w:b/>
          <w:bCs/>
        </w:rPr>
        <w:t>5</w:t>
      </w:r>
      <w:r>
        <w:rPr>
          <w:rFonts w:ascii="宋体" w:hAnsi="宋体" w:cs="宋体" w:eastAsia="宋体" w:hint="default"/>
          <w:b/>
          <w:bCs/>
        </w:rPr>
        <w:t>、财务独立</w:t>
      </w:r>
      <w:r>
        <w:rPr>
          <w:rFonts w:ascii="宋体" w:hAnsi="宋体" w:cs="宋体" w:eastAsia="宋体" w:hint="default"/>
          <w:b/>
          <w:bCs/>
          <w:w w:val="99"/>
        </w:rPr>
        <w:t> </w:t>
      </w:r>
      <w:r>
        <w:rPr/>
        <w:t>公司设立了独立的财务部门，配备了专职财务人员，建立了独立的财务核算体系，具有</w:t>
      </w:r>
    </w:p>
    <w:p>
      <w:pPr>
        <w:pStyle w:val="BodyText"/>
        <w:spacing w:line="367" w:lineRule="auto" w:before="36"/>
        <w:ind w:right="1033"/>
        <w:jc w:val="left"/>
        <w:rPr>
          <w:rFonts w:ascii="宋体" w:hAnsi="宋体" w:cs="宋体" w:eastAsia="宋体" w:hint="default"/>
        </w:rPr>
      </w:pPr>
      <w:r>
        <w:rPr/>
        <w:t>规范的财务会计制度和对子、孙公司的财务管理制度，独立进行财务决策，不存在公司股东 干预公司投资和资金使用安排的情况；公司开立独立的银行账户，未与其他任何单位共用银</w:t>
      </w:r>
      <w:r>
        <w:rPr>
          <w:spacing w:val="-115"/>
        </w:rPr>
        <w:t> </w:t>
      </w:r>
      <w:r>
        <w:rPr>
          <w:spacing w:val="-115"/>
        </w:rPr>
      </w:r>
      <w:r>
        <w:rPr/>
        <w:t>行账户；公司依法独立进行纳税申报和履行纳税义务；公司在财务上完全独立。</w:t>
      </w:r>
      <w:r>
        <w:rPr/>
        <w:t> </w:t>
      </w:r>
      <w:bookmarkStart w:name="三、同业竞争情况" w:id="133"/>
      <w:bookmarkEnd w:id="133"/>
      <w:r>
        <w:rPr/>
      </w:r>
      <w:r>
        <w:rPr>
          <w:rFonts w:ascii="宋体" w:hAnsi="宋体" w:cs="宋体" w:eastAsia="宋体" w:hint="default"/>
          <w:b/>
          <w:bCs/>
        </w:rPr>
        <w:t>三、同业竞争情况</w:t>
      </w:r>
      <w:r>
        <w:rPr>
          <w:rFonts w:ascii="宋体" w:hAnsi="宋体" w:cs="宋体" w:eastAsia="宋体" w:hint="default"/>
        </w:rPr>
      </w:r>
    </w:p>
    <w:p>
      <w:pPr>
        <w:pStyle w:val="Heading3"/>
        <w:tabs>
          <w:tab w:pos="2214" w:val="left" w:leader="none"/>
        </w:tabs>
        <w:spacing w:line="386" w:lineRule="auto" w:before="67"/>
        <w:ind w:left="1133" w:right="4446"/>
        <w:jc w:val="left"/>
        <w:rPr>
          <w:b w:val="0"/>
          <w:bCs w:val="0"/>
        </w:rPr>
      </w:pPr>
      <w:r>
        <w:rPr/>
        <w:pict>
          <v:shape style="position:absolute;margin-left:56.459999pt;margin-top:75.475624pt;width:479.1pt;height:147.8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7"/>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3"/>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7"/>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7"/>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
              </w:txbxContent>
            </v:textbox>
            <w10:wrap type="none"/>
          </v:shape>
        </w:pict>
      </w:r>
      <w:r>
        <w:rPr>
          <w:rFonts w:ascii="宋体" w:hAnsi="宋体" w:cs="宋体" w:eastAsia="宋体" w:hint="default"/>
          <w:b w:val="0"/>
          <w:bCs w:val="0"/>
        </w:rPr>
        <w:t>□ 适用</w:t>
        <w:tab/>
        <w:t>√不适用 </w:t>
      </w:r>
      <w:bookmarkStart w:name="四、报告期内召开的年度股东大会和临时股东大会的有关情况" w:id="134"/>
      <w:bookmarkEnd w:id="134"/>
      <w:r>
        <w:rPr>
          <w:rFonts w:ascii="宋体" w:hAnsi="宋体" w:cs="宋体" w:eastAsia="宋体" w:hint="default"/>
          <w:b w:val="0"/>
          <w:bCs w:val="0"/>
        </w:rPr>
      </w:r>
      <w:r>
        <w:rPr>
          <w:w w:val="95"/>
        </w:rPr>
        <w:t>四、报告期内召开的年度股东大会和临时股东大会的有关情况</w:t>
      </w:r>
      <w:r>
        <w:rPr>
          <w:spacing w:val="70"/>
          <w:w w:val="95"/>
        </w:rPr>
        <w:t> </w:t>
      </w:r>
      <w:bookmarkStart w:name="1、本报告期股东大会情况" w:id="135"/>
      <w:bookmarkEnd w:id="135"/>
      <w:r>
        <w:rPr>
          <w:spacing w:val="70"/>
          <w:w w:val="95"/>
        </w:rPr>
      </w:r>
      <w:r>
        <w:rPr>
          <w:rFonts w:ascii="宋体" w:hAnsi="宋体" w:cs="宋体" w:eastAsia="宋体" w:hint="default"/>
        </w:rPr>
        <w:t>1</w:t>
      </w:r>
      <w:r>
        <w:rPr/>
        <w:t>、本报告期股东大会情况</w:t>
      </w:r>
      <w:r>
        <w:rPr>
          <w:b w:val="0"/>
          <w:bCs w:val="0"/>
        </w:rPr>
      </w:r>
    </w:p>
    <w:p>
      <w:pPr>
        <w:spacing w:after="0" w:line="386" w:lineRule="auto"/>
        <w:jc w:val="left"/>
        <w:sectPr>
          <w:footerReference w:type="default" r:id="rId28"/>
          <w:pgSz w:w="11910" w:h="16840"/>
          <w:pgMar w:footer="979" w:header="747" w:top="1060" w:bottom="1160" w:left="0" w:right="0"/>
          <w:pgNumType w:start="10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26"/>
        <w:ind w:left="1134" w:right="1033" w:firstLine="0"/>
        <w:jc w:val="left"/>
        <w:rPr>
          <w:rFonts w:ascii="宋体" w:hAnsi="宋体" w:cs="宋体" w:eastAsia="宋体" w:hint="default"/>
          <w:sz w:val="24"/>
          <w:szCs w:val="24"/>
        </w:rPr>
      </w:pPr>
      <w:bookmarkStart w:name="2、表决权恢复的优先股股东请求召开临时股东大会" w:id="136"/>
      <w:bookmarkEnd w:id="136"/>
      <w:r>
        <w:rPr/>
      </w:r>
      <w:r>
        <w:rPr>
          <w:rFonts w:ascii="宋体" w:hAnsi="宋体" w:cs="宋体" w:eastAsia="宋体" w:hint="default"/>
          <w:b/>
          <w:bCs/>
          <w:sz w:val="24"/>
          <w:szCs w:val="24"/>
        </w:rPr>
        <w:t>2</w:t>
      </w:r>
      <w:r>
        <w:rPr>
          <w:rFonts w:ascii="宋体" w:hAnsi="宋体" w:cs="宋体" w:eastAsia="宋体" w:hint="default"/>
          <w:b/>
          <w:bCs/>
          <w:sz w:val="24"/>
          <w:szCs w:val="24"/>
        </w:rPr>
        <w:t>、表决权恢复的优先股股东请求召开临时股东大会</w:t>
      </w:r>
      <w:r>
        <w:rPr>
          <w:rFonts w:ascii="宋体" w:hAnsi="宋体" w:cs="宋体" w:eastAsia="宋体" w:hint="default"/>
          <w:sz w:val="24"/>
          <w:szCs w:val="24"/>
        </w:rPr>
      </w:r>
    </w:p>
    <w:p>
      <w:pPr>
        <w:spacing w:line="388" w:lineRule="auto" w:before="194"/>
        <w:ind w:left="1133" w:right="5472" w:firstLine="0"/>
        <w:jc w:val="left"/>
        <w:rPr>
          <w:rFonts w:ascii="宋体" w:hAnsi="宋体" w:cs="宋体" w:eastAsia="宋体" w:hint="default"/>
          <w:sz w:val="24"/>
          <w:szCs w:val="24"/>
        </w:rPr>
      </w:pPr>
      <w:r>
        <w:rPr/>
        <w:pict>
          <v:shape style="position:absolute;margin-left:56.459999pt;margin-top:81.905632pt;width:479.2pt;height:152.35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7" w:right="25"/>
                          <w:jc w:val="left"/>
                          <w:rPr>
                            <w:rFonts w:ascii="宋体" w:hAnsi="宋体" w:cs="宋体" w:eastAsia="宋体" w:hint="default"/>
                            <w:sz w:val="21"/>
                            <w:szCs w:val="21"/>
                          </w:rPr>
                        </w:pPr>
                        <w:r>
                          <w:rPr>
                            <w:rFonts w:ascii="宋体" w:hAnsi="宋体" w:cs="宋体" w:eastAsia="宋体" w:hint="default"/>
                            <w:sz w:val="21"/>
                            <w:szCs w:val="21"/>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41" w:right="25" w:hanging="316"/>
                          <w:jc w:val="left"/>
                          <w:rPr>
                            <w:rFonts w:ascii="宋体" w:hAnsi="宋体" w:cs="宋体" w:eastAsia="宋体" w:hint="default"/>
                            <w:sz w:val="21"/>
                            <w:szCs w:val="21"/>
                          </w:rPr>
                        </w:pPr>
                        <w:r>
                          <w:rPr>
                            <w:rFonts w:ascii="宋体" w:hAnsi="宋体" w:cs="宋体" w:eastAsia="宋体" w:hint="default"/>
                            <w:sz w:val="21"/>
                            <w:szCs w:val="21"/>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6" w:right="25"/>
                          <w:jc w:val="center"/>
                          <w:rPr>
                            <w:rFonts w:ascii="宋体" w:hAnsi="宋体" w:cs="宋体" w:eastAsia="宋体" w:hint="default"/>
                            <w:sz w:val="21"/>
                            <w:szCs w:val="21"/>
                          </w:rPr>
                        </w:pPr>
                        <w:r>
                          <w:rPr>
                            <w:rFonts w:ascii="宋体" w:hAnsi="宋体" w:cs="宋体" w:eastAsia="宋体" w:hint="default"/>
                            <w:sz w:val="21"/>
                            <w:szCs w:val="21"/>
                          </w:rPr>
                          <w:t>是否连续两次 未亲自参加会 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21"/>
                            <w:szCs w:val="21"/>
                          </w:rPr>
                        </w:pPr>
                        <w:r>
                          <w:rPr>
                            <w:rFonts w:ascii="宋体"/>
                            <w:sz w:val="21"/>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陈维亮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赵洪功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08"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4</w:t>
                        </w:r>
                      </w:p>
                    </w:tc>
                  </w:tr>
                </w:tbl>
                <w:p>
                  <w:pPr/>
                </w:p>
              </w:txbxContent>
            </v:textbox>
            <w10:wrap type="none"/>
          </v:shape>
        </w:pict>
      </w:r>
      <w:r>
        <w:rPr>
          <w:rFonts w:ascii="宋体" w:hAnsi="宋体" w:cs="宋体" w:eastAsia="宋体" w:hint="default"/>
          <w:sz w:val="24"/>
          <w:szCs w:val="24"/>
        </w:rPr>
        <w:t>□ 适用 √不适用 </w:t>
      </w:r>
      <w:bookmarkStart w:name="五、报告期内独立董事履行职责的情况" w:id="137"/>
      <w:bookmarkEnd w:id="137"/>
      <w:r>
        <w:rPr>
          <w:rFonts w:ascii="宋体" w:hAnsi="宋体" w:cs="宋体" w:eastAsia="宋体" w:hint="default"/>
          <w:sz w:val="24"/>
          <w:szCs w:val="24"/>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38"/>
      <w:bookmarkEnd w:id="138"/>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、独立董事出席董事会及股东大会的情况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spacing w:line="388" w:lineRule="auto" w:before="26"/>
        <w:ind w:left="1133" w:right="5472" w:firstLine="0"/>
        <w:jc w:val="left"/>
        <w:rPr>
          <w:rFonts w:ascii="宋体" w:hAnsi="宋体" w:cs="宋体" w:eastAsia="宋体" w:hint="default"/>
          <w:sz w:val="24"/>
          <w:szCs w:val="24"/>
        </w:rPr>
      </w:pPr>
      <w:bookmarkStart w:name="2、独立董事对公司有关事项提出异议的情况" w:id="139"/>
      <w:bookmarkEnd w:id="139"/>
      <w:r>
        <w:rPr/>
      </w:r>
      <w:r>
        <w:rPr>
          <w:rFonts w:ascii="宋体" w:hAnsi="宋体" w:cs="宋体" w:eastAsia="宋体" w:hint="default"/>
          <w:b/>
          <w:bCs/>
          <w:w w:val="95"/>
          <w:sz w:val="24"/>
          <w:szCs w:val="24"/>
        </w:rPr>
        <w:t>2</w:t>
      </w:r>
      <w:r>
        <w:rPr>
          <w:rFonts w:ascii="宋体" w:hAnsi="宋体" w:cs="宋体" w:eastAsia="宋体" w:hint="default"/>
          <w:b/>
          <w:bCs/>
          <w:w w:val="95"/>
          <w:sz w:val="24"/>
          <w:szCs w:val="24"/>
        </w:rPr>
        <w:t>、独立董事对公司有关事项提出异议的情况</w:t>
      </w:r>
      <w:r>
        <w:rPr>
          <w:rFonts w:ascii="宋体" w:hAnsi="宋体" w:cs="宋体" w:eastAsia="宋体" w:hint="default"/>
          <w:b/>
          <w:bCs/>
          <w:spacing w:val="102"/>
          <w:w w:val="95"/>
          <w:sz w:val="24"/>
          <w:szCs w:val="24"/>
        </w:rPr>
        <w:t> </w:t>
      </w:r>
      <w:r>
        <w:rPr>
          <w:rFonts w:ascii="宋体" w:hAnsi="宋体" w:cs="宋体" w:eastAsia="宋体" w:hint="default"/>
          <w:sz w:val="24"/>
          <w:szCs w:val="24"/>
        </w:rPr>
        <w:t>独立董事对公司有关事项是否提出异议</w:t>
      </w:r>
    </w:p>
    <w:p>
      <w:pPr>
        <w:spacing w:line="388" w:lineRule="auto" w:before="46"/>
        <w:ind w:left="1134" w:right="5712" w:firstLine="0"/>
        <w:jc w:val="left"/>
        <w:rPr>
          <w:rFonts w:ascii="宋体" w:hAnsi="宋体" w:cs="宋体" w:eastAsia="宋体" w:hint="default"/>
          <w:sz w:val="24"/>
          <w:szCs w:val="24"/>
        </w:rPr>
      </w:pPr>
      <w:r>
        <w:rPr>
          <w:rFonts w:ascii="宋体" w:hAnsi="宋体" w:cs="宋体" w:eastAsia="宋体" w:hint="default"/>
          <w:sz w:val="24"/>
          <w:szCs w:val="24"/>
        </w:rPr>
        <w:t>□ 是 √ 否 报告期内独立董事对公司有关事项未提出异议。 </w:t>
      </w:r>
      <w:bookmarkStart w:name="3、独立董事履行职责的其他说明" w:id="140"/>
      <w:bookmarkEnd w:id="140"/>
      <w:r>
        <w:rPr>
          <w:rFonts w:ascii="宋体" w:hAnsi="宋体" w:cs="宋体" w:eastAsia="宋体" w:hint="default"/>
          <w:sz w:val="24"/>
          <w:szCs w:val="24"/>
        </w:rPr>
      </w:r>
      <w:r>
        <w:rPr>
          <w:rFonts w:ascii="宋体" w:hAnsi="宋体" w:cs="宋体" w:eastAsia="宋体" w:hint="default"/>
          <w:b/>
          <w:bCs/>
          <w:sz w:val="24"/>
          <w:szCs w:val="24"/>
        </w:rPr>
        <w:t>3</w:t>
      </w:r>
      <w:r>
        <w:rPr>
          <w:rFonts w:ascii="宋体" w:hAnsi="宋体" w:cs="宋体" w:eastAsia="宋体" w:hint="default"/>
          <w:b/>
          <w:bCs/>
          <w:sz w:val="24"/>
          <w:szCs w:val="24"/>
        </w:rPr>
        <w:t>、独立董事履行职责的其他说明</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独立董事对公司有关建议是否被采纳</w:t>
      </w:r>
    </w:p>
    <w:p>
      <w:pPr>
        <w:pStyle w:val="BodyText"/>
        <w:spacing w:line="388" w:lineRule="auto" w:before="44"/>
        <w:ind w:left="1134" w:right="5472"/>
        <w:jc w:val="left"/>
      </w:pPr>
      <w:r>
        <w:rPr/>
        <w:t>√ 是 □ 否 独立董事对公司有关建议被采纳或未被采纳的说明</w:t>
      </w:r>
    </w:p>
    <w:p>
      <w:pPr>
        <w:pStyle w:val="BodyText"/>
        <w:spacing w:line="357" w:lineRule="auto" w:before="43"/>
        <w:ind w:right="1131" w:firstLine="480"/>
        <w:jc w:val="both"/>
      </w:pPr>
      <w:r>
        <w:rPr>
          <w:spacing w:val="-7"/>
        </w:rPr>
        <w:t>公司独立董事勤勉尽责，严格按照中国证监会的相关规定及《公司章程》、《董事会议事</w:t>
      </w:r>
      <w:r>
        <w:rPr/>
        <w:t> 规则》和《独立董事制度》开展工作，独立履行职责，积极参加历次董事会和专委会，审议</w:t>
      </w:r>
      <w:r>
        <w:rPr>
          <w:spacing w:val="-111"/>
        </w:rPr>
        <w:t> </w:t>
      </w:r>
      <w:r>
        <w:rPr>
          <w:spacing w:val="-111"/>
        </w:rPr>
      </w:r>
      <w:r>
        <w:rPr/>
        <w:t>各项议案，通过出席或列席董事会、董事会各专委会、股东大会、现场办公等方式，深入了 解公司生产经营状况和内部控制的建设及董事会各项决议执行情况，并利用自已的专业优势 对公司内部控制建设、管理体系建设、战略发展规划、对外投资、关联交易、对外担保、利</w:t>
      </w:r>
      <w:r>
        <w:rPr>
          <w:spacing w:val="-111"/>
        </w:rPr>
        <w:t> </w:t>
      </w:r>
      <w:r>
        <w:rPr>
          <w:spacing w:val="-111"/>
        </w:rPr>
      </w:r>
      <w:r>
        <w:rPr/>
        <w:t>润分配、员工持股计划、董监高人员选举、分子公司管控和重大决策等方面提出了很多宝贵</w:t>
      </w:r>
      <w:r>
        <w:rPr>
          <w:spacing w:val="-115"/>
        </w:rPr>
        <w:t> </w:t>
      </w:r>
      <w:r>
        <w:rPr>
          <w:spacing w:val="-115"/>
        </w:rPr>
      </w:r>
      <w:r>
        <w:rPr/>
        <w:t>的专业性建议，对公司财务及经营活动进行了有效监督，提高了公司决策的科学性，为完善 公司监督机制，维护公司和全体股东特别是中小股东的合法权益发挥了应有的作用。</w:t>
      </w:r>
    </w:p>
    <w:p>
      <w:pPr>
        <w:spacing w:after="0" w:line="357" w:lineRule="auto"/>
        <w:jc w:val="both"/>
        <w:sectPr>
          <w:pgSz w:w="11910" w:h="16840"/>
          <w:pgMar w:header="747" w:footer="979" w:top="1060" w:bottom="1160" w:left="0" w:right="0"/>
        </w:sectPr>
      </w:pPr>
    </w:p>
    <w:p>
      <w:pPr>
        <w:spacing w:line="240" w:lineRule="auto" w:before="9"/>
        <w:rPr>
          <w:rFonts w:ascii="宋体" w:hAnsi="宋体" w:cs="宋体" w:eastAsia="宋体" w:hint="default"/>
          <w:sz w:val="29"/>
          <w:szCs w:val="29"/>
        </w:rPr>
      </w:pPr>
    </w:p>
    <w:p>
      <w:pPr>
        <w:spacing w:line="388" w:lineRule="auto" w:before="26"/>
        <w:ind w:left="1133" w:right="1873" w:firstLine="480"/>
        <w:jc w:val="left"/>
        <w:rPr>
          <w:rFonts w:ascii="宋体" w:hAnsi="宋体" w:cs="宋体" w:eastAsia="宋体" w:hint="default"/>
          <w:sz w:val="24"/>
          <w:szCs w:val="24"/>
        </w:rPr>
      </w:pPr>
      <w:r>
        <w:rPr>
          <w:rFonts w:ascii="宋体" w:hAnsi="宋体" w:cs="宋体" w:eastAsia="宋体" w:hint="default"/>
          <w:sz w:val="24"/>
          <w:szCs w:val="24"/>
        </w:rPr>
        <w:t>报告期内，公司各位独立董事对董事会各项议案及公司其他事项没有提出异议。 </w:t>
      </w:r>
      <w:bookmarkStart w:name="六、董事会下设专门委员会在报告期内履行职责情况" w:id="141"/>
      <w:bookmarkEnd w:id="141"/>
      <w:r>
        <w:rPr>
          <w:rFonts w:ascii="宋体" w:hAnsi="宋体" w:cs="宋体" w:eastAsia="宋体" w:hint="default"/>
          <w:sz w:val="24"/>
          <w:szCs w:val="24"/>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p>
      <w:pPr>
        <w:pStyle w:val="BodyText"/>
        <w:spacing w:line="357" w:lineRule="auto" w:before="44"/>
        <w:ind w:right="1139" w:firstLine="480"/>
        <w:jc w:val="both"/>
      </w:pPr>
      <w:r>
        <w:rPr/>
        <w:t>公司董事会设立了审计、薪酬与考核、提名、战略四个专门委员会，按照各专门委员会 工作细则的相关要求，就公司定期报告、内部审计、规范运作、对外投资、资产减值计提、 关联交易、募集资金存放与使用、会计师事务所聘任、员工持股计划、董事换届选举和高管 聘任等的提名及薪酬绩效考核等重大事项进行审议，达成意见后向董事会提出了专业委员会 意见。</w:t>
      </w:r>
    </w:p>
    <w:p>
      <w:pPr>
        <w:spacing w:line="388" w:lineRule="auto" w:before="74"/>
        <w:ind w:left="1613" w:right="1033"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、董事会审计委员会履职情况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报告期内，董事会审计委员会根据中国证监会、深交所的有关规定及公司《董事会审计</w:t>
      </w:r>
    </w:p>
    <w:p>
      <w:pPr>
        <w:pStyle w:val="BodyText"/>
        <w:spacing w:line="357" w:lineRule="auto" w:before="4"/>
        <w:ind w:right="1132"/>
        <w:jc w:val="both"/>
      </w:pPr>
      <w:r>
        <w:rPr/>
        <w:t>委员会工作细则》的规定，主要开展了内部审计与外部审计之间的沟通，监督公司内部审计</w:t>
      </w:r>
      <w:r>
        <w:rPr>
          <w:spacing w:val="-115"/>
        </w:rPr>
        <w:t> </w:t>
      </w:r>
      <w:r>
        <w:rPr>
          <w:spacing w:val="-115"/>
        </w:rPr>
      </w:r>
      <w:r>
        <w:rPr/>
        <w:t>制度的实施，审查公司内部控制制度的建立和执行情况，指导、监督内外审单位对公司对外 投资、关联交易、对外担保、控股股东资金占用等情况进行审计，审核公司的财务信息及其 披露内容；</w:t>
      </w:r>
      <w:r>
        <w:rPr>
          <w:rFonts w:ascii="宋体" w:hAnsi="宋体" w:cs="宋体" w:eastAsia="宋体" w:hint="default"/>
        </w:rPr>
        <w:t>2015</w:t>
      </w:r>
      <w:r>
        <w:rPr>
          <w:rFonts w:ascii="宋体" w:hAnsi="宋体" w:cs="宋体" w:eastAsia="宋体" w:hint="default"/>
          <w:spacing w:val="-47"/>
        </w:rPr>
        <w:t> </w:t>
      </w:r>
      <w:r>
        <w:rPr/>
        <w:t>年度审计委员会共召开</w:t>
      </w:r>
      <w:r>
        <w:rPr>
          <w:spacing w:val="-47"/>
        </w:rPr>
        <w:t> </w:t>
      </w:r>
      <w:r>
        <w:rPr>
          <w:rFonts w:ascii="宋体" w:hAnsi="宋体" w:cs="宋体" w:eastAsia="宋体" w:hint="default"/>
        </w:rPr>
        <w:t>9</w:t>
      </w:r>
      <w:r>
        <w:rPr>
          <w:rFonts w:ascii="宋体" w:hAnsi="宋体" w:cs="宋体" w:eastAsia="宋体" w:hint="default"/>
          <w:spacing w:val="-47"/>
        </w:rPr>
        <w:t> </w:t>
      </w:r>
      <w:r>
        <w:rPr/>
        <w:t>次会议，并在</w:t>
      </w:r>
      <w:r>
        <w:rPr>
          <w:spacing w:val="-47"/>
        </w:rPr>
        <w:t> </w:t>
      </w:r>
      <w:r>
        <w:rPr>
          <w:rFonts w:ascii="宋体" w:hAnsi="宋体" w:cs="宋体" w:eastAsia="宋体" w:hint="default"/>
        </w:rPr>
        <w:t>2014</w:t>
      </w:r>
      <w:r>
        <w:rPr>
          <w:rFonts w:ascii="宋体" w:hAnsi="宋体" w:cs="宋体" w:eastAsia="宋体" w:hint="default"/>
          <w:spacing w:val="-47"/>
        </w:rPr>
        <w:t> </w:t>
      </w:r>
      <w:r>
        <w:rPr/>
        <w:t>年度年报期间召开了</w:t>
      </w:r>
      <w:r>
        <w:rPr>
          <w:spacing w:val="-47"/>
        </w:rPr>
        <w:t> </w:t>
      </w:r>
      <w:r>
        <w:rPr>
          <w:rFonts w:ascii="宋体" w:hAnsi="宋体" w:cs="宋体" w:eastAsia="宋体" w:hint="default"/>
        </w:rPr>
        <w:t>3</w:t>
      </w:r>
      <w:r>
        <w:rPr>
          <w:rFonts w:ascii="宋体" w:hAnsi="宋体" w:cs="宋体" w:eastAsia="宋体" w:hint="default"/>
          <w:spacing w:val="-47"/>
        </w:rPr>
        <w:t> </w:t>
      </w:r>
      <w:r>
        <w:rPr/>
        <w:t>次审计 工作沟通会议。</w:t>
      </w:r>
    </w:p>
    <w:p>
      <w:pPr>
        <w:spacing w:line="388" w:lineRule="auto" w:before="76"/>
        <w:ind w:left="1613" w:right="1033"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、董事会薪酬与考核委员会履职情况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报告期内，董事会薪酬与考核委员会根据中国证监会、深交所的有关规定及公司《董事</w:t>
      </w:r>
    </w:p>
    <w:p>
      <w:pPr>
        <w:pStyle w:val="BodyText"/>
        <w:spacing w:line="357" w:lineRule="auto" w:before="4"/>
        <w:ind w:right="1130"/>
        <w:jc w:val="both"/>
      </w:pPr>
      <w:r>
        <w:rPr/>
        <w:t>会薪酬与考核委员会工作细则》的规定，主要负责了公司董事及高级管理人员年度考核标准</w:t>
      </w:r>
      <w:r>
        <w:rPr>
          <w:spacing w:val="-114"/>
        </w:rPr>
        <w:t> </w:t>
      </w:r>
      <w:r>
        <w:rPr>
          <w:spacing w:val="-114"/>
        </w:rPr>
      </w:r>
      <w:r>
        <w:rPr/>
        <w:t>的制定及绩效评估公司、员工持股计划的审议等工作；</w:t>
      </w:r>
      <w:r>
        <w:rPr>
          <w:rFonts w:ascii="宋体" w:hAnsi="宋体" w:cs="宋体" w:eastAsia="宋体" w:hint="default"/>
        </w:rPr>
        <w:t>2015 </w:t>
      </w:r>
      <w:r>
        <w:rPr/>
        <w:t>年度薪酬与考核委员会共召开</w:t>
      </w:r>
      <w:r>
        <w:rPr>
          <w:spacing w:val="-83"/>
        </w:rPr>
        <w:t> </w:t>
      </w:r>
      <w:r>
        <w:rPr>
          <w:rFonts w:ascii="宋体" w:hAnsi="宋体" w:cs="宋体" w:eastAsia="宋体" w:hint="default"/>
        </w:rPr>
        <w:t>2 </w:t>
      </w:r>
      <w:r>
        <w:rPr/>
        <w:t>次会议。</w:t>
      </w:r>
    </w:p>
    <w:p>
      <w:pPr>
        <w:spacing w:line="388" w:lineRule="auto" w:before="74"/>
        <w:ind w:left="1613" w:right="1033"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、董事会提名委员会履职情况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报告期内，董事会提名委员会根据中国证监会、深交所的有关规定及公司《董事会提名</w:t>
      </w:r>
    </w:p>
    <w:p>
      <w:pPr>
        <w:pStyle w:val="BodyText"/>
        <w:spacing w:line="372" w:lineRule="auto" w:before="5"/>
        <w:ind w:right="1033"/>
        <w:jc w:val="left"/>
        <w:rPr>
          <w:rFonts w:ascii="宋体" w:hAnsi="宋体" w:cs="宋体" w:eastAsia="宋体" w:hint="default"/>
        </w:rPr>
      </w:pPr>
      <w:r>
        <w:rPr/>
        <w:t>委员会工作细则》的规定，对公司董事会换届选举事项的董事提名、董事会专门委员会成员 及高级管理人员等人选的建议和审查；</w:t>
      </w:r>
      <w:r>
        <w:rPr>
          <w:rFonts w:ascii="宋体" w:hAnsi="宋体" w:cs="宋体" w:eastAsia="宋体" w:hint="default"/>
        </w:rPr>
        <w:t>2015</w:t>
      </w:r>
      <w:r>
        <w:rPr>
          <w:rFonts w:ascii="宋体" w:hAnsi="宋体" w:cs="宋体" w:eastAsia="宋体" w:hint="default"/>
          <w:spacing w:val="-60"/>
        </w:rPr>
        <w:t> </w:t>
      </w:r>
      <w:r>
        <w:rPr/>
        <w:t>年度提名委员会共召开</w:t>
      </w:r>
      <w:r>
        <w:rPr>
          <w:spacing w:val="-60"/>
        </w:rPr>
        <w:t> </w:t>
      </w:r>
      <w:r>
        <w:rPr>
          <w:rFonts w:ascii="宋体" w:hAnsi="宋体" w:cs="宋体" w:eastAsia="宋体" w:hint="default"/>
        </w:rPr>
        <w:t>1</w:t>
      </w:r>
      <w:r>
        <w:rPr>
          <w:rFonts w:ascii="宋体" w:hAnsi="宋体" w:cs="宋体" w:eastAsia="宋体" w:hint="default"/>
          <w:spacing w:val="-60"/>
        </w:rPr>
        <w:t> </w:t>
      </w:r>
      <w:r>
        <w:rPr/>
        <w:t>次会议。 </w:t>
      </w:r>
      <w:r>
        <w:rPr>
          <w:rFonts w:ascii="宋体" w:hAnsi="宋体" w:cs="宋体" w:eastAsia="宋体" w:hint="default"/>
          <w:b/>
          <w:bCs/>
        </w:rPr>
        <w:t>4</w:t>
      </w:r>
      <w:r>
        <w:rPr>
          <w:rFonts w:ascii="宋体" w:hAnsi="宋体" w:cs="宋体" w:eastAsia="宋体" w:hint="default"/>
          <w:b/>
          <w:bCs/>
        </w:rPr>
        <w:t>、董事会战略委员会履职情况</w:t>
      </w:r>
      <w:r>
        <w:rPr>
          <w:rFonts w:ascii="宋体" w:hAnsi="宋体" w:cs="宋体" w:eastAsia="宋体" w:hint="default"/>
        </w:rPr>
      </w:r>
    </w:p>
    <w:p>
      <w:pPr>
        <w:pStyle w:val="BodyText"/>
        <w:spacing w:line="357" w:lineRule="auto" w:before="62"/>
        <w:ind w:right="1132" w:firstLine="480"/>
        <w:jc w:val="both"/>
      </w:pPr>
      <w:r>
        <w:rPr/>
        <w:t>报告期内，董事会战略委员会根据中国证监会、深交所的有关规定及公司《董事会战略 委员会工作细则》的规定，主要负责了对公司长期发展战略规划和重大投资活动进行研究并 提出建议，审议了增资江苏亿金和上海国富光启、投资设立康为嘉、投资建设“依米康绿色</w:t>
      </w:r>
      <w:r>
        <w:rPr>
          <w:spacing w:val="-110"/>
        </w:rPr>
        <w:t> </w:t>
      </w:r>
      <w:r>
        <w:rPr>
          <w:spacing w:val="-110"/>
        </w:rPr>
      </w:r>
      <w:r>
        <w:rPr/>
        <w:t>环境产业基地项目”等事项；</w:t>
      </w:r>
      <w:r>
        <w:rPr>
          <w:rFonts w:ascii="宋体" w:hAnsi="宋体" w:cs="宋体" w:eastAsia="宋体" w:hint="default"/>
        </w:rPr>
        <w:t>2015</w:t>
      </w:r>
      <w:r>
        <w:rPr>
          <w:rFonts w:ascii="宋体" w:hAnsi="宋体" w:cs="宋体" w:eastAsia="宋体" w:hint="default"/>
          <w:spacing w:val="-61"/>
        </w:rPr>
        <w:t> </w:t>
      </w:r>
      <w:r>
        <w:rPr/>
        <w:t>年度战略委员会共召开</w:t>
      </w:r>
      <w:r>
        <w:rPr>
          <w:spacing w:val="-61"/>
        </w:rPr>
        <w:t> </w:t>
      </w:r>
      <w:r>
        <w:rPr>
          <w:rFonts w:ascii="宋体" w:hAnsi="宋体" w:cs="宋体" w:eastAsia="宋体" w:hint="default"/>
        </w:rPr>
        <w:t>3</w:t>
      </w:r>
      <w:r>
        <w:rPr>
          <w:rFonts w:ascii="宋体" w:hAnsi="宋体" w:cs="宋体" w:eastAsia="宋体" w:hint="default"/>
          <w:spacing w:val="-61"/>
        </w:rPr>
        <w:t> </w:t>
      </w:r>
      <w:r>
        <w:rPr/>
        <w:t>次会议。</w:t>
      </w:r>
    </w:p>
    <w:p>
      <w:pPr>
        <w:spacing w:after="0" w:line="357" w:lineRule="auto"/>
        <w:jc w:val="both"/>
        <w:sectPr>
          <w:pgSz w:w="11910" w:h="16840"/>
          <w:pgMar w:header="747" w:footer="979" w:top="1060" w:bottom="1160" w:left="0" w:right="0"/>
        </w:sectPr>
      </w:pPr>
    </w:p>
    <w:p>
      <w:pPr>
        <w:spacing w:line="240" w:lineRule="auto" w:before="9"/>
        <w:rPr>
          <w:rFonts w:ascii="宋体" w:hAnsi="宋体" w:cs="宋体" w:eastAsia="宋体" w:hint="default"/>
          <w:sz w:val="29"/>
          <w:szCs w:val="29"/>
        </w:rPr>
      </w:pPr>
    </w:p>
    <w:p>
      <w:pPr>
        <w:pStyle w:val="BodyText"/>
        <w:spacing w:line="386" w:lineRule="auto" w:before="26"/>
        <w:ind w:left="1134" w:right="1033"/>
        <w:jc w:val="left"/>
      </w:pPr>
      <w:bookmarkStart w:name="七、监事会工作情况" w:id="142"/>
      <w:bookmarkEnd w:id="142"/>
      <w:r>
        <w:rPr/>
      </w:r>
      <w:r>
        <w:rPr>
          <w:rFonts w:ascii="宋体" w:hAnsi="宋体" w:cs="宋体" w:eastAsia="宋体" w:hint="default"/>
          <w:b/>
          <w:bCs/>
        </w:rPr>
        <w:t>七、监事会工作情况</w:t>
      </w:r>
      <w:r>
        <w:rPr>
          <w:rFonts w:ascii="宋体" w:hAnsi="宋体" w:cs="宋体" w:eastAsia="宋体" w:hint="default"/>
          <w:b/>
          <w:bCs/>
          <w:w w:val="99"/>
        </w:rPr>
        <w:t> </w:t>
      </w:r>
      <w:r>
        <w:rPr/>
        <w:t>公司监事会对报告期内的监督事项无异议。监事会具体工作情况见与本报告同日披露的公司</w:t>
      </w:r>
    </w:p>
    <w:p>
      <w:pPr>
        <w:spacing w:line="388" w:lineRule="auto" w:before="8"/>
        <w:ind w:left="1133" w:right="547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pacing w:val="-12"/>
          <w:sz w:val="24"/>
          <w:szCs w:val="24"/>
        </w:rPr>
        <w:t>年监事会工作报告》。</w:t>
      </w:r>
      <w:r>
        <w:rPr>
          <w:rFonts w:ascii="宋体" w:hAnsi="宋体" w:cs="宋体" w:eastAsia="宋体" w:hint="default"/>
          <w:sz w:val="24"/>
          <w:szCs w:val="24"/>
        </w:rPr>
        <w:t> </w:t>
      </w:r>
      <w:bookmarkStart w:name="八、高级管理人员的考评及激励情况" w:id="143"/>
      <w:bookmarkEnd w:id="143"/>
      <w:r>
        <w:rPr>
          <w:rFonts w:ascii="宋体" w:hAnsi="宋体" w:cs="宋体" w:eastAsia="宋体" w:hint="default"/>
          <w:sz w:val="24"/>
          <w:szCs w:val="24"/>
        </w:rPr>
      </w:r>
      <w:r>
        <w:rPr>
          <w:rFonts w:ascii="宋体" w:hAnsi="宋体" w:cs="宋体" w:eastAsia="宋体" w:hint="default"/>
          <w:b/>
          <w:bCs/>
          <w:w w:val="95"/>
          <w:sz w:val="24"/>
          <w:szCs w:val="24"/>
        </w:rPr>
        <w:t>八、高级管理人员的考评及激励情况</w:t>
      </w:r>
      <w:r>
        <w:rPr>
          <w:rFonts w:ascii="宋体" w:hAnsi="宋体" w:cs="宋体" w:eastAsia="宋体" w:hint="default"/>
          <w:sz w:val="24"/>
          <w:szCs w:val="24"/>
        </w:rPr>
      </w:r>
    </w:p>
    <w:p>
      <w:pPr>
        <w:pStyle w:val="BodyText"/>
        <w:spacing w:line="357" w:lineRule="auto" w:before="43"/>
        <w:ind w:right="1139" w:firstLine="480"/>
        <w:jc w:val="both"/>
      </w:pPr>
      <w:r>
        <w:rPr/>
        <w:t>公司建立了完善的绩效考核体系，公司董事会薪酬与考核委员会负责对高级管理人员的 年度业绩目标和工作计划进行审核，并对高级管理人员的工作能力、履职情况、责任目标完 成情况等进行综合考评并制定薪酬方案并提交董事会，高级管理人员的收入与其工作业绩直 接挂钩。公司不断研究和完善高级管理人员的绩效评价标准、程序和相关激励与约束机制， 使高级管理人员的考评及激励标准、制度化、程序化和合理化。</w:t>
      </w:r>
    </w:p>
    <w:p>
      <w:pPr>
        <w:pStyle w:val="Heading3"/>
        <w:spacing w:line="388" w:lineRule="auto" w:before="76"/>
        <w:ind w:left="1133" w:right="5472"/>
        <w:jc w:val="left"/>
        <w:rPr>
          <w:b w:val="0"/>
          <w:bCs w:val="0"/>
        </w:rPr>
      </w:pPr>
      <w:bookmarkStart w:name="九、内部控制评价报告" w:id="144"/>
      <w:bookmarkEnd w:id="144"/>
      <w:r>
        <w:rPr>
          <w:b w:val="0"/>
          <w:bCs w:val="0"/>
        </w:rPr>
      </w:r>
      <w:r>
        <w:rPr/>
        <w:t>九、内部控制评价报告</w:t>
      </w:r>
      <w:r>
        <w:rPr>
          <w:w w:val="99"/>
        </w:rPr>
        <w:t> </w:t>
      </w:r>
      <w:bookmarkStart w:name="1、报告期内发现的内部控制重大缺陷的具体情况" w:id="145"/>
      <w:bookmarkEnd w:id="145"/>
      <w:r>
        <w:rPr>
          <w:w w:val="99"/>
        </w:rPr>
      </w:r>
      <w:r>
        <w:rPr>
          <w:rFonts w:ascii="宋体" w:hAnsi="宋体" w:cs="宋体" w:eastAsia="宋体" w:hint="default"/>
          <w:w w:val="95"/>
        </w:rPr>
        <w:t>1</w:t>
      </w:r>
      <w:r>
        <w:rPr>
          <w:w w:val="95"/>
        </w:rPr>
        <w:t>、报告期内发现的内部控制重大缺陷的具体情况</w:t>
      </w:r>
      <w:r>
        <w:rPr>
          <w:b w:val="0"/>
          <w:bCs w:val="0"/>
        </w:rPr>
      </w:r>
    </w:p>
    <w:p>
      <w:pPr>
        <w:spacing w:line="386" w:lineRule="auto" w:before="46"/>
        <w:ind w:left="1134" w:right="8463" w:firstLine="0"/>
        <w:jc w:val="left"/>
        <w:rPr>
          <w:rFonts w:ascii="宋体" w:hAnsi="宋体" w:cs="宋体" w:eastAsia="宋体" w:hint="default"/>
          <w:sz w:val="24"/>
          <w:szCs w:val="24"/>
        </w:rPr>
      </w:pPr>
      <w:r>
        <w:rPr>
          <w:rFonts w:ascii="宋体" w:hAnsi="宋体" w:cs="宋体" w:eastAsia="宋体" w:hint="default"/>
          <w:sz w:val="24"/>
          <w:szCs w:val="24"/>
        </w:rPr>
        <w:t>□ 是 √ 否 </w:t>
      </w:r>
      <w:bookmarkStart w:name="2、内控自我评价报告" w:id="146"/>
      <w:bookmarkEnd w:id="146"/>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、内控自我评价报告</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35"/>
        <w:ind w:left="0" w:right="1125" w:firstLine="0"/>
        <w:jc w:val="right"/>
        <w:rPr>
          <w:rFonts w:ascii="宋体" w:hAnsi="宋体" w:cs="宋体" w:eastAsia="宋体" w:hint="default"/>
          <w:sz w:val="21"/>
          <w:szCs w:val="21"/>
        </w:rPr>
      </w:pPr>
      <w:r>
        <w:rPr/>
        <w:pict>
          <v:shape style="position:absolute;margin-left:57.029999pt;margin-top:-247.426331pt;width:478.6pt;height:368.15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5"/>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214"/>
                          <w:jc w:val="left"/>
                          <w:rPr>
                            <w:rFonts w:ascii="宋体" w:hAnsi="宋体" w:cs="宋体" w:eastAsia="宋体" w:hint="default"/>
                            <w:sz w:val="21"/>
                            <w:szCs w:val="21"/>
                          </w:rPr>
                        </w:pPr>
                        <w:r>
                          <w:rPr>
                            <w:rFonts w:ascii="宋体" w:hAnsi="宋体" w:cs="宋体" w:eastAsia="宋体" w:hint="default"/>
                            <w:sz w:val="21"/>
                            <w:szCs w:val="21"/>
                          </w:rPr>
                          <w:t>纳入评价范围单位资产总额占公 司合并财务报表资产总额的比例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21"/>
                            <w:szCs w:val="21"/>
                          </w:rPr>
                        </w:pPr>
                        <w:r>
                          <w:rPr>
                            <w:rFonts w:ascii="宋体"/>
                            <w:sz w:val="21"/>
                          </w:rPr>
                          <w:t>100%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214"/>
                          <w:jc w:val="left"/>
                          <w:rPr>
                            <w:rFonts w:ascii="宋体" w:hAnsi="宋体" w:cs="宋体" w:eastAsia="宋体" w:hint="default"/>
                            <w:sz w:val="21"/>
                            <w:szCs w:val="21"/>
                          </w:rPr>
                        </w:pPr>
                        <w:r>
                          <w:rPr>
                            <w:rFonts w:ascii="宋体" w:hAnsi="宋体" w:cs="宋体" w:eastAsia="宋体" w:hint="default"/>
                            <w:sz w:val="21"/>
                            <w:szCs w:val="21"/>
                          </w:rPr>
                          <w:t>纳入评价范围单位营业收入占公 司合并财务报表营业收入的比例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21"/>
                            <w:szCs w:val="21"/>
                          </w:rPr>
                        </w:pPr>
                        <w:r>
                          <w:rPr>
                            <w:rFonts w:ascii="宋体"/>
                            <w:sz w:val="21"/>
                          </w:rPr>
                          <w:t>100%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5"/>
                          <w:jc w:val="center"/>
                          <w:rPr>
                            <w:rFonts w:ascii="宋体" w:hAnsi="宋体" w:cs="宋体" w:eastAsia="宋体" w:hint="default"/>
                            <w:sz w:val="21"/>
                            <w:szCs w:val="21"/>
                          </w:rPr>
                        </w:pPr>
                        <w:r>
                          <w:rPr>
                            <w:rFonts w:ascii="宋体" w:hAnsi="宋体" w:cs="宋体" w:eastAsia="宋体" w:hint="default"/>
                            <w:sz w:val="21"/>
                            <w:szCs w:val="21"/>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95"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176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tcPr>
                      <w:p>
                        <w:pPr>
                          <w:pStyle w:val="TableParagraph"/>
                          <w:spacing w:line="273" w:lineRule="auto" w:before="27"/>
                          <w:ind w:left="22" w:right="21"/>
                          <w:jc w:val="both"/>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b/>
                            <w:bCs/>
                            <w:spacing w:val="-3"/>
                            <w:sz w:val="21"/>
                            <w:szCs w:val="21"/>
                          </w:rPr>
                          <w:t>、一般缺陷：</w:t>
                        </w:r>
                        <w:r>
                          <w:rPr>
                            <w:rFonts w:ascii="宋体" w:hAnsi="宋体" w:cs="宋体" w:eastAsia="宋体" w:hint="default"/>
                            <w:spacing w:val="-3"/>
                            <w:sz w:val="21"/>
                            <w:szCs w:val="21"/>
                          </w:rPr>
                          <w:t>如果内部控制存在一个或多个缺陷的组合，使公司经营</w:t>
                        </w:r>
                        <w:r>
                          <w:rPr>
                            <w:rFonts w:ascii="宋体" w:hAnsi="宋体" w:cs="宋体" w:eastAsia="宋体" w:hint="default"/>
                            <w:sz w:val="21"/>
                            <w:szCs w:val="21"/>
                          </w:rPr>
                          <w:t> 管理效率和效果、风险防范能力、公司战略目标实现程度、公司重大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决策结果、以及公司披露信息的可信赖程度很小偏离控制目标，不产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生实质性的不利影响，通常认定为内部控制的一般缺陷。</w:t>
                        </w:r>
                      </w:p>
                      <w:p>
                        <w:pPr>
                          <w:pStyle w:val="TableParagraph"/>
                          <w:spacing w:line="273" w:lineRule="auto" w:before="46"/>
                          <w:ind w:left="22" w:right="21"/>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b/>
                            <w:bCs/>
                            <w:spacing w:val="-3"/>
                            <w:sz w:val="21"/>
                            <w:szCs w:val="21"/>
                          </w:rPr>
                          <w:t>重要缺陷</w:t>
                        </w:r>
                        <w:r>
                          <w:rPr>
                            <w:rFonts w:ascii="宋体" w:hAnsi="宋体" w:cs="宋体" w:eastAsia="宋体" w:hint="default"/>
                            <w:spacing w:val="-3"/>
                            <w:sz w:val="21"/>
                            <w:szCs w:val="21"/>
                          </w:rPr>
                          <w:t>：如果内部控制存在一个或多个缺陷的组合，使公司经营</w:t>
                        </w:r>
                        <w:r>
                          <w:rPr>
                            <w:rFonts w:ascii="宋体" w:hAnsi="宋体" w:cs="宋体" w:eastAsia="宋体" w:hint="default"/>
                            <w:sz w:val="21"/>
                            <w:szCs w:val="21"/>
                          </w:rPr>
                          <w:t> 管理效率和效果、风险防范能力、公司战略目标实现程度、公司重大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决策结果、以及公司披露信息的可信赖程度较大程度的偏离控制目标</w:t>
                        </w:r>
                        <w:r>
                          <w:rPr>
                            <w:rFonts w:ascii="宋体" w:hAnsi="宋体" w:cs="宋体" w:eastAsia="宋体" w:hint="default"/>
                            <w:sz w:val="21"/>
                            <w:szCs w:val="21"/>
                          </w:rPr>
                          <w:t> 产生较大的不利影响，通常认定为内部控制的重要缺陷。</w:t>
                        </w:r>
                      </w:p>
                      <w:p>
                        <w:pPr>
                          <w:pStyle w:val="TableParagraph"/>
                          <w:spacing w:line="273" w:lineRule="auto" w:before="47"/>
                          <w:ind w:left="22" w:right="21"/>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b/>
                            <w:bCs/>
                            <w:spacing w:val="-3"/>
                            <w:sz w:val="21"/>
                            <w:szCs w:val="21"/>
                          </w:rPr>
                          <w:t>重大缺陷</w:t>
                        </w:r>
                        <w:r>
                          <w:rPr>
                            <w:rFonts w:ascii="宋体" w:hAnsi="宋体" w:cs="宋体" w:eastAsia="宋体" w:hint="default"/>
                            <w:spacing w:val="-3"/>
                            <w:sz w:val="21"/>
                            <w:szCs w:val="21"/>
                          </w:rPr>
                          <w:t>：如果内部控制存在一个或多个缺陷的组合，对公司经营</w:t>
                        </w:r>
                        <w:r>
                          <w:rPr>
                            <w:rFonts w:ascii="宋体" w:hAnsi="宋体" w:cs="宋体" w:eastAsia="宋体" w:hint="default"/>
                            <w:sz w:val="21"/>
                            <w:szCs w:val="21"/>
                          </w:rPr>
                          <w:t> 管理效率和效果、风险防范能力、公司战略目标实现程度、公司重大 </w:t>
                        </w:r>
                        <w:r>
                          <w:rPr>
                            <w:rFonts w:ascii="宋体" w:hAnsi="宋体" w:cs="宋体" w:eastAsia="宋体" w:hint="default"/>
                            <w:spacing w:val="-3"/>
                            <w:sz w:val="21"/>
                            <w:szCs w:val="21"/>
                          </w:rPr>
                          <w:t>决策结果、以及公司披露信息的可信赖程度严重或完全偏离控制目标</w:t>
                        </w:r>
                        <w:r>
                          <w:rPr>
                            <w:rFonts w:ascii="宋体" w:hAnsi="宋体" w:cs="宋体" w:eastAsia="宋体" w:hint="default"/>
                            <w:sz w:val="21"/>
                            <w:szCs w:val="21"/>
                          </w:rPr>
                          <w:t> 产生重大的不利影响，通常认定为内部控制的重大缺陷。</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6380" w:type="dxa"/>
                        <w:gridSpan w:val="2"/>
                        <w:vMerge/>
                        <w:tcBorders>
                          <w:left w:val="single" w:sz="9" w:space="0" w:color="D2D2D2"/>
                          <w:right w:val="single" w:sz="4" w:space="0" w:color="000000"/>
                        </w:tcBorders>
                      </w:tcPr>
                      <w:p>
                        <w:pPr/>
                      </w:p>
                    </w:tc>
                  </w:tr>
                  <w:tr>
                    <w:trPr>
                      <w:trHeight w:val="176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35"/>
        <w:ind w:left="0" w:right="1125"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88" w:lineRule="auto" w:before="26"/>
        <w:ind w:left="1133" w:right="6486"/>
        <w:jc w:val="left"/>
        <w:rPr>
          <w:rFonts w:ascii="宋体" w:hAnsi="宋体" w:cs="宋体" w:eastAsia="宋体" w:hint="default"/>
          <w:b w:val="0"/>
          <w:bCs w:val="0"/>
        </w:rPr>
      </w:pPr>
      <w:bookmarkStart w:name="十、内部控制审计报告或鉴证报告" w:id="147"/>
      <w:bookmarkEnd w:id="147"/>
      <w:r>
        <w:rPr>
          <w:b w:val="0"/>
          <w:bCs w:val="0"/>
        </w:rPr>
      </w:r>
      <w:r>
        <w:rPr>
          <w:w w:val="95"/>
        </w:rPr>
        <w:t>十、内部控制审计报告或鉴证报告</w:t>
      </w:r>
      <w:r>
        <w:rPr>
          <w:spacing w:val="51"/>
          <w:w w:val="95"/>
        </w:rPr>
        <w:t> </w:t>
      </w:r>
      <w:r>
        <w:rPr>
          <w:rFonts w:ascii="宋体" w:hAnsi="宋体" w:cs="宋体" w:eastAsia="宋体" w:hint="default"/>
          <w:b w:val="0"/>
          <w:bCs w:val="0"/>
        </w:rPr>
        <w:t>不适用。</w:t>
      </w:r>
    </w:p>
    <w:p>
      <w:pPr>
        <w:spacing w:after="0" w:line="388" w:lineRule="auto"/>
        <w:jc w:val="left"/>
        <w:rPr>
          <w:rFonts w:ascii="宋体" w:hAnsi="宋体" w:cs="宋体" w:eastAsia="宋体" w:hint="default"/>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93"/>
        <w:jc w:val="center"/>
        <w:rPr>
          <w:rFonts w:ascii="宋体" w:hAnsi="宋体" w:cs="宋体" w:eastAsia="宋体" w:hint="default"/>
          <w:b w:val="0"/>
          <w:bCs w:val="0"/>
        </w:rPr>
      </w:pPr>
      <w:bookmarkStart w:name="第十节 财务报告" w:id="148"/>
      <w:bookmarkEnd w:id="148"/>
      <w:r>
        <w:rPr>
          <w:b w:val="0"/>
          <w:bCs w:val="0"/>
        </w:rPr>
      </w:r>
      <w:bookmarkStart w:name="_bookmark9" w:id="149"/>
      <w:bookmarkEnd w:id="149"/>
      <w:r>
        <w:rPr>
          <w:b w:val="0"/>
          <w:bCs w:val="0"/>
        </w:rPr>
      </w:r>
      <w:r>
        <w:rPr>
          <w:rFonts w:ascii="宋体" w:hAnsi="宋体" w:cs="宋体" w:eastAsia="宋体" w:hint="default"/>
        </w:rPr>
        <w:t>第十节</w:t>
      </w:r>
      <w:r>
        <w:rPr>
          <w:rFonts w:ascii="宋体" w:hAnsi="宋体" w:cs="宋体" w:eastAsia="宋体" w:hint="default"/>
          <w:spacing w:val="-5"/>
        </w:rPr>
        <w:t> </w:t>
      </w:r>
      <w:r>
        <w:rPr>
          <w:rFonts w:ascii="宋体" w:hAnsi="宋体" w:cs="宋体" w:eastAsia="宋体" w:hint="default"/>
        </w:rPr>
        <w:t>财务报告</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133" w:right="1033" w:firstLine="0"/>
        <w:jc w:val="left"/>
        <w:rPr>
          <w:rFonts w:ascii="宋体" w:hAnsi="宋体" w:cs="宋体" w:eastAsia="宋体" w:hint="default"/>
          <w:sz w:val="24"/>
          <w:szCs w:val="24"/>
        </w:rPr>
      </w:pPr>
      <w:bookmarkStart w:name="一、审计报告" w:id="150"/>
      <w:bookmarkEnd w:id="150"/>
      <w:r>
        <w:rPr/>
      </w:r>
      <w:r>
        <w:rPr>
          <w:rFonts w:ascii="宋体" w:hAnsi="宋体" w:cs="宋体" w:eastAsia="宋体" w:hint="default"/>
          <w:b/>
          <w:bCs/>
          <w:sz w:val="24"/>
          <w:szCs w:val="24"/>
        </w:rPr>
        <w:t>一、审计报告</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XYZH/2016CDA40071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李夕甫、王 莉</w:t>
            </w:r>
          </w:p>
        </w:tc>
      </w:tr>
    </w:tbl>
    <w:p>
      <w:pPr>
        <w:spacing w:before="51"/>
        <w:ind w:left="994" w:right="99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spacing w:before="0"/>
        <w:ind w:left="993" w:right="993"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13"/>
        <w:rPr>
          <w:rFonts w:ascii="宋体" w:hAnsi="宋体" w:cs="宋体" w:eastAsia="宋体" w:hint="default"/>
          <w:b/>
          <w:bCs/>
          <w:sz w:val="9"/>
          <w:szCs w:val="9"/>
        </w:rPr>
      </w:pPr>
    </w:p>
    <w:p>
      <w:pPr>
        <w:spacing w:before="71"/>
        <w:ind w:left="0" w:right="1131" w:firstLine="0"/>
        <w:jc w:val="right"/>
        <w:rPr>
          <w:rFonts w:ascii="Times New Roman" w:hAnsi="Times New Roman" w:cs="Times New Roman" w:eastAsia="Times New Roman" w:hint="default"/>
          <w:sz w:val="22"/>
          <w:szCs w:val="22"/>
        </w:rPr>
      </w:pPr>
      <w:r>
        <w:rPr>
          <w:rFonts w:ascii="Times New Roman"/>
          <w:w w:val="95"/>
          <w:sz w:val="22"/>
        </w:rPr>
        <w:t>XYZH/2016CDA40071</w:t>
      </w:r>
      <w:r>
        <w:rPr>
          <w:rFonts w:ascii="Times New Roman"/>
          <w:sz w:val="22"/>
        </w:rPr>
      </w:r>
    </w:p>
    <w:p>
      <w:pPr>
        <w:spacing w:line="240" w:lineRule="auto" w:before="0"/>
        <w:rPr>
          <w:rFonts w:ascii="Times New Roman" w:hAnsi="Times New Roman" w:cs="Times New Roman" w:eastAsia="Times New Roman" w:hint="default"/>
          <w:sz w:val="25"/>
          <w:szCs w:val="25"/>
        </w:rPr>
      </w:pPr>
    </w:p>
    <w:p>
      <w:pPr>
        <w:spacing w:before="31"/>
        <w:ind w:left="1133" w:right="1033" w:firstLine="0"/>
        <w:jc w:val="left"/>
        <w:rPr>
          <w:rFonts w:ascii="宋体" w:hAnsi="宋体" w:cs="宋体" w:eastAsia="宋体" w:hint="default"/>
          <w:sz w:val="22"/>
          <w:szCs w:val="22"/>
        </w:rPr>
      </w:pPr>
      <w:r>
        <w:rPr>
          <w:rFonts w:ascii="宋体" w:hAnsi="宋体" w:cs="宋体" w:eastAsia="宋体" w:hint="default"/>
          <w:b/>
          <w:bCs/>
          <w:sz w:val="22"/>
          <w:szCs w:val="22"/>
        </w:rPr>
        <w:t>四川依米康环境科技股份有限公司全体股东：</w:t>
      </w:r>
      <w:r>
        <w:rPr>
          <w:rFonts w:ascii="宋体" w:hAnsi="宋体" w:cs="宋体" w:eastAsia="宋体" w:hint="default"/>
          <w:sz w:val="22"/>
          <w:szCs w:val="22"/>
        </w:rPr>
      </w:r>
    </w:p>
    <w:p>
      <w:pPr>
        <w:spacing w:line="240" w:lineRule="auto" w:before="3"/>
        <w:rPr>
          <w:rFonts w:ascii="宋体" w:hAnsi="宋体" w:cs="宋体" w:eastAsia="宋体" w:hint="default"/>
          <w:b/>
          <w:bCs/>
          <w:sz w:val="20"/>
          <w:szCs w:val="20"/>
        </w:rPr>
      </w:pPr>
    </w:p>
    <w:p>
      <w:pPr>
        <w:spacing w:line="244" w:lineRule="auto" w:before="0"/>
        <w:ind w:left="1133" w:right="994" w:firstLine="440"/>
        <w:jc w:val="left"/>
        <w:rPr>
          <w:rFonts w:ascii="宋体" w:hAnsi="宋体" w:cs="宋体" w:eastAsia="宋体" w:hint="default"/>
          <w:sz w:val="22"/>
          <w:szCs w:val="22"/>
        </w:rPr>
      </w:pPr>
      <w:r>
        <w:rPr>
          <w:rFonts w:ascii="宋体" w:hAnsi="宋体" w:cs="宋体" w:eastAsia="宋体" w:hint="default"/>
          <w:spacing w:val="-6"/>
          <w:w w:val="99"/>
          <w:sz w:val="22"/>
          <w:szCs w:val="22"/>
        </w:rPr>
        <w:t>我们审计了后附的四川依米康环境科技股份有限公司（以下简称依米康公司）财务报表，包括</w:t>
      </w:r>
      <w:r>
        <w:rPr>
          <w:rFonts w:ascii="Times New Roman" w:hAnsi="Times New Roman" w:cs="Times New Roman" w:eastAsia="Times New Roman" w:hint="default"/>
          <w:spacing w:val="-6"/>
          <w:w w:val="99"/>
          <w:sz w:val="22"/>
          <w:szCs w:val="22"/>
        </w:rPr>
        <w:t>2015</w:t>
      </w:r>
      <w:r>
        <w:rPr>
          <w:rFonts w:ascii="Times New Roman" w:hAnsi="Times New Roman" w:cs="Times New Roman" w:eastAsia="Times New Roman" w:hint="default"/>
          <w:w w:val="99"/>
          <w:sz w:val="22"/>
          <w:szCs w:val="22"/>
        </w:rPr>
        <w:t> </w:t>
      </w:r>
      <w:r>
        <w:rPr>
          <w:rFonts w:ascii="宋体" w:hAnsi="宋体" w:cs="宋体" w:eastAsia="宋体" w:hint="default"/>
          <w:spacing w:val="-4"/>
          <w:sz w:val="22"/>
          <w:szCs w:val="22"/>
        </w:rPr>
        <w:t>年</w:t>
      </w:r>
      <w:r>
        <w:rPr>
          <w:rFonts w:ascii="Times New Roman" w:hAnsi="Times New Roman" w:cs="Times New Roman" w:eastAsia="Times New Roman" w:hint="default"/>
          <w:spacing w:val="-4"/>
          <w:sz w:val="22"/>
          <w:szCs w:val="22"/>
        </w:rPr>
        <w:t>12</w:t>
      </w:r>
      <w:r>
        <w:rPr>
          <w:rFonts w:ascii="宋体" w:hAnsi="宋体" w:cs="宋体" w:eastAsia="宋体" w:hint="default"/>
          <w:spacing w:val="-4"/>
          <w:sz w:val="22"/>
          <w:szCs w:val="22"/>
        </w:rPr>
        <w:t>月</w:t>
      </w:r>
      <w:r>
        <w:rPr>
          <w:rFonts w:ascii="Times New Roman" w:hAnsi="Times New Roman" w:cs="Times New Roman" w:eastAsia="Times New Roman" w:hint="default"/>
          <w:spacing w:val="-4"/>
          <w:sz w:val="22"/>
          <w:szCs w:val="22"/>
        </w:rPr>
        <w:t>31</w:t>
      </w:r>
      <w:r>
        <w:rPr>
          <w:rFonts w:ascii="宋体" w:hAnsi="宋体" w:cs="宋体" w:eastAsia="宋体" w:hint="default"/>
          <w:spacing w:val="-4"/>
          <w:sz w:val="22"/>
          <w:szCs w:val="22"/>
        </w:rPr>
        <w:t>日的合并及母公司资产负债表，</w:t>
      </w:r>
      <w:r>
        <w:rPr>
          <w:rFonts w:ascii="Times New Roman" w:hAnsi="Times New Roman" w:cs="Times New Roman" w:eastAsia="Times New Roman" w:hint="default"/>
          <w:spacing w:val="-4"/>
          <w:sz w:val="22"/>
          <w:szCs w:val="22"/>
        </w:rPr>
        <w:t>2015</w:t>
      </w:r>
      <w:r>
        <w:rPr>
          <w:rFonts w:ascii="宋体" w:hAnsi="宋体" w:cs="宋体" w:eastAsia="宋体" w:hint="default"/>
          <w:spacing w:val="-4"/>
          <w:sz w:val="22"/>
          <w:szCs w:val="22"/>
        </w:rPr>
        <w:t>年度的合并及母公司利润表、合并及母公司现金流量表、</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合并及母公司股东权益变动表以及财务报表附注。</w:t>
      </w:r>
    </w:p>
    <w:p>
      <w:pPr>
        <w:spacing w:line="552" w:lineRule="exact" w:before="75"/>
        <w:ind w:left="1574" w:right="1182"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z w:val="22"/>
          <w:szCs w:val="22"/>
        </w:rPr>
        <w:t>编制和公允列报财务报表是依米康公司管理层的责任，这种责任包括：（</w:t>
      </w:r>
      <w:r>
        <w:rPr>
          <w:rFonts w:ascii="Times New Roman" w:hAnsi="Times New Roman" w:cs="Times New Roman" w:eastAsia="Times New Roman" w:hint="default"/>
          <w:sz w:val="22"/>
          <w:szCs w:val="22"/>
        </w:rPr>
        <w:t>1</w:t>
      </w:r>
      <w:r>
        <w:rPr>
          <w:rFonts w:ascii="宋体" w:hAnsi="宋体" w:cs="宋体" w:eastAsia="宋体" w:hint="default"/>
          <w:sz w:val="22"/>
          <w:szCs w:val="22"/>
        </w:rPr>
        <w:t>）按照企业会计准则</w:t>
      </w:r>
    </w:p>
    <w:p>
      <w:pPr>
        <w:spacing w:line="249" w:lineRule="exact" w:before="0"/>
        <w:ind w:left="1133" w:right="1033" w:firstLine="0"/>
        <w:jc w:val="left"/>
        <w:rPr>
          <w:rFonts w:ascii="宋体" w:hAnsi="宋体" w:cs="宋体" w:eastAsia="宋体" w:hint="default"/>
          <w:sz w:val="22"/>
          <w:szCs w:val="22"/>
        </w:rPr>
      </w:pPr>
      <w:r>
        <w:rPr>
          <w:rFonts w:ascii="宋体" w:hAnsi="宋体" w:cs="宋体" w:eastAsia="宋体" w:hint="default"/>
          <w:sz w:val="22"/>
          <w:szCs w:val="22"/>
        </w:rPr>
        <w:t>的规定编制财务报表，并使其实现公允反映；（</w:t>
      </w:r>
      <w:r>
        <w:rPr>
          <w:rFonts w:ascii="Times New Roman" w:hAnsi="Times New Roman" w:cs="Times New Roman" w:eastAsia="Times New Roman" w:hint="default"/>
          <w:sz w:val="22"/>
          <w:szCs w:val="22"/>
        </w:rPr>
        <w:t>2</w:t>
      </w:r>
      <w:r>
        <w:rPr>
          <w:rFonts w:ascii="宋体" w:hAnsi="宋体" w:cs="宋体" w:eastAsia="宋体" w:hint="default"/>
          <w:sz w:val="22"/>
          <w:szCs w:val="22"/>
        </w:rPr>
        <w:t>）设计、执行和维护必要的内部控制，以使财务报</w:t>
      </w:r>
    </w:p>
    <w:p>
      <w:pPr>
        <w:spacing w:line="460" w:lineRule="auto" w:before="7"/>
        <w:ind w:left="1465" w:right="6573" w:hanging="332"/>
        <w:jc w:val="left"/>
        <w:rPr>
          <w:rFonts w:ascii="宋体" w:hAnsi="宋体" w:cs="宋体" w:eastAsia="宋体" w:hint="default"/>
          <w:sz w:val="22"/>
          <w:szCs w:val="22"/>
        </w:rPr>
      </w:pPr>
      <w:r>
        <w:rPr>
          <w:rFonts w:ascii="宋体" w:hAnsi="宋体" w:cs="宋体" w:eastAsia="宋体" w:hint="default"/>
          <w:sz w:val="22"/>
          <w:szCs w:val="22"/>
        </w:rPr>
        <w:t>表不存在由于舞弊或错误导致的重大错报。</w:t>
      </w:r>
      <w:r>
        <w:rPr>
          <w:rFonts w:ascii="宋体" w:hAnsi="宋体" w:cs="宋体" w:eastAsia="宋体" w:hint="default"/>
          <w:w w:val="99"/>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spacing w:line="259" w:lineRule="auto" w:before="61"/>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我们的责任是在执行审计工作的基础上对财务报表发表审计意见。我们按照中国注册会计师审计</w:t>
      </w:r>
      <w:r>
        <w:rPr>
          <w:rFonts w:ascii="宋体" w:hAnsi="宋体" w:cs="宋体" w:eastAsia="宋体" w:hint="default"/>
          <w:w w:val="99"/>
          <w:sz w:val="22"/>
          <w:szCs w:val="22"/>
        </w:rPr>
        <w:t> </w:t>
      </w:r>
      <w:r>
        <w:rPr>
          <w:rFonts w:ascii="宋体" w:hAnsi="宋体" w:cs="宋体" w:eastAsia="宋体" w:hint="default"/>
          <w:spacing w:val="-1"/>
          <w:w w:val="95"/>
          <w:sz w:val="22"/>
          <w:szCs w:val="22"/>
        </w:rPr>
        <w:t>准则的规定执行了审计工作。中国注册会计师审计准则要求我们遵守职业道德守则，计划和执行审计</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工作以对财务报表是否不存在重大错报获取合理保证。</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审计工作涉及实施审计程序，以获取有关财务报表金额和披露的审计证据。选择的审计程序取决</w:t>
      </w:r>
      <w:r>
        <w:rPr>
          <w:rFonts w:ascii="宋体" w:hAnsi="宋体" w:cs="宋体" w:eastAsia="宋体" w:hint="default"/>
          <w:w w:val="99"/>
          <w:sz w:val="22"/>
          <w:szCs w:val="22"/>
        </w:rPr>
        <w:t> </w:t>
      </w:r>
      <w:r>
        <w:rPr>
          <w:rFonts w:ascii="宋体" w:hAnsi="宋体" w:cs="宋体" w:eastAsia="宋体" w:hint="default"/>
          <w:spacing w:val="-1"/>
          <w:w w:val="95"/>
          <w:sz w:val="22"/>
          <w:szCs w:val="22"/>
        </w:rPr>
        <w:t>于注册会计师的判断，包括对由于舞弊或错误导致的财务报表重大错报风险的评估。在进行风险评估</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时，注册会计师考虑与财务报表编制和公允列报相关的内部控制，以设计恰当的审计程序，但目的并</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非对内部控制的有效性发表意见。审计工作还包括评价管理层选用会计政策的恰当性和作出会计估计</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的合理性，以及评价财务报表的总体列报。</w:t>
      </w:r>
    </w:p>
    <w:p>
      <w:pPr>
        <w:spacing w:line="240" w:lineRule="auto" w:before="11"/>
        <w:rPr>
          <w:rFonts w:ascii="宋体" w:hAnsi="宋体" w:cs="宋体" w:eastAsia="宋体" w:hint="default"/>
          <w:sz w:val="18"/>
          <w:szCs w:val="18"/>
        </w:rPr>
      </w:pPr>
    </w:p>
    <w:p>
      <w:pPr>
        <w:spacing w:before="0"/>
        <w:ind w:left="1574" w:right="1033"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p>
    <w:p>
      <w:pPr>
        <w:spacing w:after="0"/>
        <w:jc w:val="left"/>
        <w:rPr>
          <w:rFonts w:ascii="宋体" w:hAnsi="宋体" w:cs="宋体" w:eastAsia="宋体" w:hint="default"/>
          <w:sz w:val="22"/>
          <w:szCs w:val="22"/>
        </w:rPr>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spacing w:before="31"/>
        <w:ind w:left="1508" w:right="1033" w:firstLine="0"/>
        <w:jc w:val="left"/>
        <w:rPr>
          <w:rFonts w:ascii="宋体" w:hAnsi="宋体" w:cs="宋体" w:eastAsia="宋体" w:hint="default"/>
          <w:sz w:val="22"/>
          <w:szCs w:val="22"/>
        </w:rPr>
      </w:pPr>
      <w:r>
        <w:rPr>
          <w:rFonts w:ascii="宋体" w:hAnsi="宋体" w:cs="宋体" w:eastAsia="宋体" w:hint="default"/>
          <w:b/>
          <w:bCs/>
          <w:sz w:val="22"/>
          <w:szCs w:val="22"/>
        </w:rPr>
        <w:t>三、审计意见</w:t>
      </w:r>
      <w:r>
        <w:rPr>
          <w:rFonts w:ascii="宋体" w:hAnsi="宋体" w:cs="宋体" w:eastAsia="宋体" w:hint="default"/>
          <w:sz w:val="22"/>
          <w:szCs w:val="22"/>
        </w:rPr>
      </w:r>
    </w:p>
    <w:p>
      <w:pPr>
        <w:spacing w:line="240" w:lineRule="auto" w:before="2"/>
        <w:rPr>
          <w:rFonts w:ascii="宋体" w:hAnsi="宋体" w:cs="宋体" w:eastAsia="宋体" w:hint="default"/>
          <w:b/>
          <w:bCs/>
          <w:sz w:val="20"/>
          <w:szCs w:val="20"/>
        </w:rPr>
      </w:pPr>
    </w:p>
    <w:p>
      <w:pPr>
        <w:spacing w:line="259" w:lineRule="auto" w:before="0"/>
        <w:ind w:left="1134" w:right="1033" w:firstLine="440"/>
        <w:jc w:val="left"/>
        <w:rPr>
          <w:rFonts w:ascii="宋体" w:hAnsi="宋体" w:cs="宋体" w:eastAsia="宋体" w:hint="default"/>
          <w:sz w:val="22"/>
          <w:szCs w:val="22"/>
        </w:rPr>
      </w:pPr>
      <w:r>
        <w:rPr>
          <w:rFonts w:ascii="宋体" w:hAnsi="宋体" w:cs="宋体" w:eastAsia="宋体" w:hint="default"/>
          <w:spacing w:val="-2"/>
          <w:sz w:val="22"/>
          <w:szCs w:val="22"/>
        </w:rPr>
        <w:t>我们认为，依米康公司财务报表在所有重大方面按照企业会计准则的规定编制，公允反映了依米</w:t>
      </w:r>
      <w:r>
        <w:rPr>
          <w:rFonts w:ascii="宋体" w:hAnsi="宋体" w:cs="宋体" w:eastAsia="宋体" w:hint="default"/>
          <w:w w:val="99"/>
          <w:sz w:val="22"/>
          <w:szCs w:val="22"/>
        </w:rPr>
        <w:t> </w:t>
      </w:r>
      <w:r>
        <w:rPr>
          <w:rFonts w:ascii="宋体" w:hAnsi="宋体" w:cs="宋体" w:eastAsia="宋体" w:hint="default"/>
          <w:w w:val="95"/>
          <w:sz w:val="22"/>
          <w:szCs w:val="22"/>
        </w:rPr>
        <w:t>康公司</w:t>
      </w:r>
      <w:r>
        <w:rPr>
          <w:rFonts w:ascii="Times New Roman" w:hAnsi="Times New Roman" w:cs="Times New Roman" w:eastAsia="Times New Roman" w:hint="default"/>
          <w:w w:val="95"/>
          <w:sz w:val="22"/>
          <w:szCs w:val="22"/>
        </w:rPr>
        <w:t>2015</w:t>
      </w:r>
      <w:r>
        <w:rPr>
          <w:rFonts w:ascii="宋体" w:hAnsi="宋体" w:cs="宋体" w:eastAsia="宋体" w:hint="default"/>
          <w:w w:val="95"/>
          <w:sz w:val="22"/>
          <w:szCs w:val="22"/>
        </w:rPr>
        <w:t>年</w:t>
      </w:r>
      <w:r>
        <w:rPr>
          <w:rFonts w:ascii="Times New Roman" w:hAnsi="Times New Roman" w:cs="Times New Roman" w:eastAsia="Times New Roman" w:hint="default"/>
          <w:w w:val="95"/>
          <w:sz w:val="22"/>
          <w:szCs w:val="22"/>
        </w:rPr>
        <w:t>12</w:t>
      </w:r>
      <w:r>
        <w:rPr>
          <w:rFonts w:ascii="宋体" w:hAnsi="宋体" w:cs="宋体" w:eastAsia="宋体" w:hint="default"/>
          <w:w w:val="95"/>
          <w:sz w:val="22"/>
          <w:szCs w:val="22"/>
        </w:rPr>
        <w:t>月</w:t>
      </w:r>
      <w:r>
        <w:rPr>
          <w:rFonts w:ascii="Times New Roman" w:hAnsi="Times New Roman" w:cs="Times New Roman" w:eastAsia="Times New Roman" w:hint="default"/>
          <w:w w:val="95"/>
          <w:sz w:val="22"/>
          <w:szCs w:val="22"/>
        </w:rPr>
        <w:t>31</w:t>
      </w:r>
      <w:r>
        <w:rPr>
          <w:rFonts w:ascii="宋体" w:hAnsi="宋体" w:cs="宋体" w:eastAsia="宋体" w:hint="default"/>
          <w:w w:val="95"/>
          <w:sz w:val="22"/>
          <w:szCs w:val="22"/>
        </w:rPr>
        <w:t>日的合并及母公司财务状况以及</w:t>
      </w:r>
      <w:r>
        <w:rPr>
          <w:rFonts w:ascii="Times New Roman" w:hAnsi="Times New Roman" w:cs="Times New Roman" w:eastAsia="Times New Roman" w:hint="default"/>
          <w:w w:val="95"/>
          <w:sz w:val="22"/>
          <w:szCs w:val="22"/>
        </w:rPr>
        <w:t>2015</w:t>
      </w:r>
      <w:r>
        <w:rPr>
          <w:rFonts w:ascii="宋体" w:hAnsi="宋体" w:cs="宋体" w:eastAsia="宋体" w:hint="default"/>
          <w:w w:val="95"/>
          <w:sz w:val="22"/>
          <w:szCs w:val="22"/>
        </w:rPr>
        <w:t>年度的合并及母公司经营成果和现金流量。</w:t>
      </w:r>
      <w:r>
        <w:rPr>
          <w:rFonts w:ascii="宋体" w:hAnsi="宋体" w:cs="宋体" w:eastAsia="宋体" w:hint="default"/>
          <w:sz w:val="22"/>
          <w:szCs w:val="2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948" w:type="dxa"/>
        <w:tblLayout w:type="fixed"/>
        <w:tblCellMar>
          <w:top w:w="0" w:type="dxa"/>
          <w:left w:w="0" w:type="dxa"/>
          <w:bottom w:w="0" w:type="dxa"/>
          <w:right w:w="0" w:type="dxa"/>
        </w:tblCellMar>
        <w:tblLook w:val="01E0"/>
      </w:tblPr>
      <w:tblGrid>
        <w:gridCol w:w="4551"/>
        <w:gridCol w:w="3012"/>
      </w:tblGrid>
      <w:tr>
        <w:trPr>
          <w:trHeight w:val="442"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信永中和会计师事务所（特殊普通合伙）</w:t>
            </w:r>
          </w:p>
        </w:tc>
        <w:tc>
          <w:tcPr>
            <w:tcW w:w="3012" w:type="dxa"/>
            <w:tcBorders>
              <w:top w:val="nil" w:sz="6" w:space="0" w:color="auto"/>
              <w:left w:val="nil" w:sz="6" w:space="0" w:color="auto"/>
              <w:bottom w:val="nil" w:sz="6" w:space="0" w:color="auto"/>
              <w:right w:val="nil" w:sz="6" w:space="0" w:color="auto"/>
            </w:tcBorders>
          </w:tcPr>
          <w:p>
            <w:pPr>
              <w:pStyle w:val="TableParagraph"/>
              <w:spacing w:line="220" w:lineRule="exact"/>
              <w:ind w:left="392" w:right="0"/>
              <w:jc w:val="left"/>
              <w:rPr>
                <w:rFonts w:ascii="宋体" w:hAnsi="宋体" w:cs="宋体" w:eastAsia="宋体" w:hint="default"/>
                <w:sz w:val="22"/>
                <w:szCs w:val="22"/>
              </w:rPr>
            </w:pPr>
            <w:r>
              <w:rPr>
                <w:rFonts w:ascii="宋体" w:hAnsi="宋体" w:cs="宋体" w:eastAsia="宋体" w:hint="default"/>
                <w:sz w:val="22"/>
                <w:szCs w:val="22"/>
              </w:rPr>
              <w:t>中国注册会计师：李夕甫</w:t>
            </w:r>
          </w:p>
        </w:tc>
      </w:tr>
      <w:tr>
        <w:trPr>
          <w:trHeight w:val="664" w:hRule="exact"/>
        </w:trPr>
        <w:tc>
          <w:tcPr>
            <w:tcW w:w="4551" w:type="dxa"/>
            <w:tcBorders>
              <w:top w:val="nil" w:sz="6" w:space="0" w:color="auto"/>
              <w:left w:val="nil" w:sz="6" w:space="0" w:color="auto"/>
              <w:bottom w:val="nil" w:sz="6" w:space="0" w:color="auto"/>
              <w:right w:val="nil" w:sz="6" w:space="0" w:color="auto"/>
            </w:tcBorders>
          </w:tcPr>
          <w:p>
            <w:pPr/>
          </w:p>
        </w:tc>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92" w:right="0"/>
              <w:jc w:val="left"/>
              <w:rPr>
                <w:rFonts w:ascii="宋体" w:hAnsi="宋体" w:cs="宋体" w:eastAsia="宋体" w:hint="default"/>
                <w:sz w:val="22"/>
                <w:szCs w:val="22"/>
              </w:rPr>
            </w:pPr>
            <w:r>
              <w:rPr>
                <w:rFonts w:ascii="宋体" w:hAnsi="宋体" w:cs="宋体" w:eastAsia="宋体" w:hint="default"/>
                <w:sz w:val="22"/>
                <w:szCs w:val="22"/>
              </w:rPr>
              <w:t>中国注册会计师：王</w:t>
            </w:r>
            <w:r>
              <w:rPr>
                <w:rFonts w:ascii="宋体" w:hAnsi="宋体" w:cs="宋体" w:eastAsia="宋体" w:hint="default"/>
                <w:spacing w:val="-25"/>
                <w:sz w:val="22"/>
                <w:szCs w:val="22"/>
              </w:rPr>
              <w:t> </w:t>
            </w:r>
            <w:r>
              <w:rPr>
                <w:rFonts w:ascii="宋体" w:hAnsi="宋体" w:cs="宋体" w:eastAsia="宋体" w:hint="default"/>
                <w:sz w:val="22"/>
                <w:szCs w:val="22"/>
              </w:rPr>
              <w:t>莉</w:t>
            </w:r>
          </w:p>
        </w:tc>
      </w:tr>
      <w:tr>
        <w:trPr>
          <w:trHeight w:val="454" w:hRule="exact"/>
        </w:trPr>
        <w:tc>
          <w:tcPr>
            <w:tcW w:w="4551" w:type="dxa"/>
            <w:tcBorders>
              <w:top w:val="nil" w:sz="6" w:space="0" w:color="auto"/>
              <w:left w:val="nil" w:sz="6" w:space="0" w:color="auto"/>
              <w:bottom w:val="nil" w:sz="6" w:space="0" w:color="auto"/>
              <w:right w:val="nil" w:sz="6" w:space="0" w:color="auto"/>
            </w:tcBorders>
          </w:tcPr>
          <w:p>
            <w:pPr>
              <w:pStyle w:val="TableParagraph"/>
              <w:tabs>
                <w:tab w:pos="2630" w:val="left" w:leader="none"/>
              </w:tabs>
              <w:spacing w:line="240" w:lineRule="auto" w:before="153"/>
              <w:ind w:left="1790" w:right="0"/>
              <w:jc w:val="left"/>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392" w:right="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一六年三月二十日</w:t>
            </w:r>
          </w:p>
        </w:tc>
      </w:tr>
    </w:tbl>
    <w:p>
      <w:pPr>
        <w:spacing w:after="0" w:line="240" w:lineRule="auto"/>
        <w:jc w:val="left"/>
        <w:rPr>
          <w:rFonts w:ascii="宋体" w:hAnsi="宋体" w:cs="宋体" w:eastAsia="宋体" w:hint="default"/>
          <w:sz w:val="22"/>
          <w:szCs w:val="22"/>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1033"/>
        <w:jc w:val="left"/>
        <w:rPr>
          <w:b w:val="0"/>
          <w:bCs w:val="0"/>
        </w:rPr>
      </w:pPr>
      <w:bookmarkStart w:name="二、财务报表" w:id="151"/>
      <w:bookmarkEnd w:id="15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1、合并资产负债表" w:id="152"/>
      <w:bookmarkEnd w:id="15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编制单位：四川依米康环境科技股份有限公司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43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3" w:equalWidth="0">
            <w:col w:w="4735" w:space="40"/>
            <w:col w:w="192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117,452,334.08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177,606,148.58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64,823,419.92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4,237,313.00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657,358,969.88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594,642,451.54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60,165,117.36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43,176,990.55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40,935,974.54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52,033,403.47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268,966,784.36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220,157,136.91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143,640.11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1,209,846,240.25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1,091,853,444.05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15,286,885.17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2,891,345.58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12,237,286.58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9,769,490.26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10,605,082.41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10,177,032.75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94,583,288.89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96,524,203.63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58,753,916.26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58,274,224.26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76,158,328.01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64,652,199.50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88,514,500.70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88,514,500.70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910,570.62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920,466.68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14,490,303.03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12,350,747.82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371,540,161.67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344,074,211.18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1,581,386,401.92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1,435,927,655.23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58,787,600.00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16,893,731.55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290,577,347.63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269,012,924.42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92,042,929.33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81,198,222.19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14,207,135.27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11,754,589.84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33,793,410.44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31,184,315.22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228,821.65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5,019,063.76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5,019,063.76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58,571,929.71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50,554,506.24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63,196.56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63,196.56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688,991,434.35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596,180,549.78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835,743.08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1,841,439.64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8,305,767.43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10,328,426.90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9,141,510.51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12,169,866.54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698,132,944.86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608,350,416.32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175,972,779.00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175,972,779.00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389,977,923.46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384,097,651.78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650,080.01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-2,236,128.64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2,172,248.82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1,636,524.18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11,231,887.34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10,785,023.66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113,443,561.90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102,754,631.87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693,448,480.53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673,010,481.85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189,804,976.53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154,566,757.06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883,253,457.06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827,577,238.91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1,581,386,401.92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1,435,927,655.23</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法定代表人：张菀</w:t>
        <w:tab/>
        <w:t>主管会计工作负责人：黄建军</w:t>
        <w:tab/>
        <w:t>会计机构负责人：汤华林</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2、母公司资产负债表" w:id="153"/>
      <w:bookmarkEnd w:id="1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46,283,393.82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126,453,465.54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25,768,935.92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2,512,313.00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102,535,810.73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113,951,934.17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29,176,260.33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6,055,778.04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5,234,148.03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5,234,148.03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6,982,828.66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46,769,060.71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54,187,299.84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50,471,903.48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270,168,677.33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351,448,602.97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15,286,885.17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2,891,345.58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371,122,380.87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298,108,673.07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9,808,857.51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10,177,032.75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34,621,535.57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35,244,200.56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341,692.00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23,246,707.72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7,553,035.95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341,752.49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765,466.78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2,987,502.94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3,810,029.57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457,757,314.27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358,549,784.26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727,925,991.60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709,998,387.23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17,476,039.57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13,379,930.72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12,990,610.94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9,328,591.75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807,578.61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254,643.02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11,781,830.89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8,557,466.06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9,041,491.41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6,359,280.52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63,196.56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63,196.56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72,160,747.98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62,943,108.63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835,743.08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1,841,439.64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835,743.08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1,841,439.64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72,996,491.06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64,784,548.27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175,972,779.00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175,972,779.00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390,912,348.64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385,032,076.96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650,080.01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-2,236,128.64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11,231,887.34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10,785,023.66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76,162,405.55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75,660,087.98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654,929,500.54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645,213,838.96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727,925,991.60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709,998,387.23</w:t>
            </w:r>
          </w:p>
        </w:tc>
      </w:tr>
    </w:tbl>
    <w:p>
      <w:pPr>
        <w:spacing w:line="240" w:lineRule="auto" w:before="10"/>
        <w:rPr>
          <w:rFonts w:ascii="Times New Roman" w:hAnsi="Times New Roman" w:cs="Times New Roman" w:eastAsia="Times New Roman" w:hint="default"/>
          <w:sz w:val="21"/>
          <w:szCs w:val="21"/>
        </w:rPr>
      </w:pPr>
    </w:p>
    <w:p>
      <w:pPr>
        <w:spacing w:before="35"/>
        <w:ind w:left="1134" w:right="1033" w:firstLine="0"/>
        <w:jc w:val="left"/>
        <w:rPr>
          <w:rFonts w:ascii="宋体" w:hAnsi="宋体" w:cs="宋体" w:eastAsia="宋体" w:hint="default"/>
          <w:sz w:val="21"/>
          <w:szCs w:val="21"/>
        </w:rPr>
      </w:pPr>
      <w:bookmarkStart w:name="3、合并利润表" w:id="154"/>
      <w:bookmarkEnd w:id="15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877,287,193.04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489,214,248.83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877,287,193.04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489,214,248.83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845,493,866.20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460,399,805.22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648,478,222.85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334,402,538.48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1060336"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21.320007pt;width:157.7pt;height:19.650pt;mso-position-horizontal-relative:page;mso-position-vertical-relative:page;z-index:-1060312" coordorigin="4242,10426" coordsize="3154,393">
            <v:shape style="position:absolute;left:4242;top:10426;width:3154;height:393" coordorigin="4242,10426" coordsize="3154,393" path="m4242,10819l7396,10819,7396,10426,4242,10426,4242,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11,607,668.36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10,397,514.63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56,967,746.44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48,287,520.81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94,612,298.77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49,994,754.21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8,407,989.37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1,153,289.04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25,419,940.41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16,164,188.05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-3,412,475.36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-1,726,285.40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-3,412,475.36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-1,726,285.40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28,380,851.48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27,088,158.21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4,404,956.17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5,723,460.53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11,543.68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467,325.66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142,554.61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36,270.09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11,818.66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32,318,481.99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32,669,064.13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5,031,813.22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4,910,766.24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27,286,668.77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27,758,297.89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14,655,249.30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11,146,687.46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12,631,419.47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16,611,610.43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2,886,208.65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-2,236,128.64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2,886,208.65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-2,236,128.64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4"/>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2,886,208.65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-2,236,128.64</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2,886,208.65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-2,236,128.64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30,172,877.42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25,522,169.25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17,541,457.95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8,910,558.82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12,631,419.47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16,611,610.43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r>
    </w:tbl>
    <w:p>
      <w:pPr>
        <w:tabs>
          <w:tab w:pos="4464" w:val="left" w:leader="none"/>
          <w:tab w:pos="8695" w:val="left" w:leader="none"/>
        </w:tabs>
        <w:spacing w:line="592" w:lineRule="auto" w:before="51"/>
        <w:ind w:left="113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法定代表人：张菀</w:t>
        <w:tab/>
        <w:t>主管会计工作负责人：黄建军</w:t>
        <w:tab/>
        <w:t>会计机构负责人：汤华林 </w:t>
      </w:r>
      <w:bookmarkStart w:name="4、母公司利润表" w:id="155"/>
      <w:bookmarkEnd w:id="15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198,610,022.29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167,022,737.60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131,021,812.79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109,067,379.92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2,277,841.58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1,887,087.22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36,801,334.62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31,374,866.08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23,390,369.79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20,673,307.21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1,101,796.61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554,377.56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-1,082,274.70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2,691,546.81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-3,130,129.90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3,244,614.77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-3,412,475.36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-1,726,285.40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1,969,011.70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4,018,787.57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3,160,467.21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1,273,178.07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49,807.43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11,818.66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5,129,439.59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5,242,158.21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660,802.75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319,115.51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4,468,636.84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4,923,042.70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2,886,208.65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-2,236,128.64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2,886,208.65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-2,236,128.64</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2,886,208.65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-2,236,128.64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7,354,845.49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2,686,914.06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bl>
    <w:p>
      <w:pPr>
        <w:spacing w:line="240" w:lineRule="auto" w:before="10"/>
        <w:rPr>
          <w:rFonts w:ascii="Times New Roman" w:hAnsi="Times New Roman" w:cs="Times New Roman" w:eastAsia="Times New Roman" w:hint="default"/>
          <w:sz w:val="21"/>
          <w:szCs w:val="21"/>
        </w:rPr>
      </w:pPr>
    </w:p>
    <w:p>
      <w:pPr>
        <w:spacing w:before="35"/>
        <w:ind w:left="1134" w:right="1033" w:firstLine="0"/>
        <w:jc w:val="left"/>
        <w:rPr>
          <w:rFonts w:ascii="宋体" w:hAnsi="宋体" w:cs="宋体" w:eastAsia="宋体" w:hint="default"/>
          <w:sz w:val="21"/>
          <w:szCs w:val="21"/>
        </w:rPr>
      </w:pPr>
      <w:bookmarkStart w:name="5、合并现金流量表" w:id="156"/>
      <w:bookmarkEnd w:id="15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644,888,251.39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450,225,277.59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990,517.37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3,058,307.06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15,318,295.71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18,353,886.38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661,197,064.47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471,637,471.03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453,614,712.43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297,877,428.93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86,183,251.12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58,958,681.16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57,396,252.29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29,025,404.04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78,200,393.24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69,845,778.84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675,394,609.08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455,707,292.97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-14,197,544.61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15,930,178.06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3,268,481.85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3,269,481.85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62,483,888.29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4,880,822.59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5,522,085.16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71,483,888.29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10,402,907.75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-71,440,238.29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-7,133,425.90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22,606,800.00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44,065,298.80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22,606,800.00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10,460,844.00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183,767,644.00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79,065,298.80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12,783,675.60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2,557,276.16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261,098.38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21,765,289.39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7,176,749.96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180,048,964.99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50,734,026.12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3,718,679.01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28,331,272.68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21,714.48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-81,919,103.89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37,149,739.32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150,613,746.37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113,464,007.05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68,694,642.48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150,613,746.37</w:t>
            </w:r>
          </w:p>
        </w:tc>
      </w:tr>
    </w:tbl>
    <w:p>
      <w:pPr>
        <w:spacing w:line="240" w:lineRule="auto" w:before="10"/>
        <w:rPr>
          <w:rFonts w:ascii="Times New Roman" w:hAnsi="Times New Roman" w:cs="Times New Roman" w:eastAsia="Times New Roman" w:hint="default"/>
          <w:sz w:val="21"/>
          <w:szCs w:val="21"/>
        </w:rPr>
      </w:pPr>
    </w:p>
    <w:p>
      <w:pPr>
        <w:spacing w:before="35"/>
        <w:ind w:left="1134" w:right="1033" w:firstLine="0"/>
        <w:jc w:val="left"/>
        <w:rPr>
          <w:rFonts w:ascii="宋体" w:hAnsi="宋体" w:cs="宋体" w:eastAsia="宋体" w:hint="default"/>
          <w:sz w:val="21"/>
          <w:szCs w:val="21"/>
        </w:rPr>
      </w:pPr>
      <w:bookmarkStart w:name="6、母公司现金流量表" w:id="157"/>
      <w:bookmarkEnd w:id="15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213,131,408.12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210,021,509.53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38,512,587.44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3,431,986.83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251,643,995.56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213,453,496.36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148,665,582.02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119,483,449.14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34,782,505.56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31,298,130.75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16,840,167.73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12,367,299.03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30,591,274.05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28,607,014.95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230,879,529.36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191,755,893.87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20,764,466.20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21,697,602.49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19,745,859.97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4,345,790.46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79,263,566.02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5,522,085.16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99,009,425.99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9,867,875.62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-99,009,425.99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-7,909,575.62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44,065,298.80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8,721,913.37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38,721,913.37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69,065,298.80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5,031,499.33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1,626,266.65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23,128,692.87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40,031,499.33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50,754,959.52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-1,309,585.96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18,310,339.28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21,710.42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-79,554,545.75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32,120,076.57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123,180,004.24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91,059,927.67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43,625,458.49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123,180,004.24</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7、合并所有者权益变动表" w:id="158"/>
      <w:bookmarkEnd w:id="15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175,97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2,779.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384,097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,651.78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-2,236,1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28.64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1,636,5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24.18</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10,785,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023.66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102,754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,631.87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154,566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,757.06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827,577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,238.91</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175,97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2,779.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384,097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-2,236,1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1,636,5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24.18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10,785,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023.66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102,754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,631.87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154,566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,757.06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827,577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,238.91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5,880,2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71.68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2,886,2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535,724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446,863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10,688,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930.03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35,238,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219.47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55,676,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218.15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2,886,2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14,655,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249.30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12,631,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419.47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30,172,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877.42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22,606,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22,606,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22,606,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22,606,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446,863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-3,966,3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19.27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-3,519,4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55.59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446,863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-446,86</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-3,519,4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55.59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-3,519,4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55.59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535,724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.64</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535,724</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.64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535,724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.64</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535,724</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5,880,2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71.68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5,880,2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71.68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175,97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2,779.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389,977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,923.46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650,080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2,172,2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48.82</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11,231,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887.34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113,443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,561.90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189,804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,976.53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883,253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,457.06</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156,80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217,563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,974.51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10,292,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719.39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92,100,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248.68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37,992,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859.94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514,749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,802.52</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156,80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217,563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,974.51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10,292,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719.39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92,100,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248.68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37,992,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859.94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514,749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,802.52</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19,172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,779.0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166,533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,677.27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-2,236,1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28.64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1,636,5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24.18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492,304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10,654,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383.19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116,573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,897.12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312,827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,436.39</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-2,236,1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28.64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11,146,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687.46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16,611,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610.43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25,522,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169.25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166,533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,677.27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104,981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,350.45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290,687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,806.72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166,533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,677.27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185,706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,456.27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104,981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,350.45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104,981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,350.45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492,304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-492,30</w:t>
            </w:r>
          </w:p>
          <w:p>
            <w:pPr>
              <w:pStyle w:val="TableParagraph"/>
              <w:spacing w:line="240" w:lineRule="auto" w:before="106"/>
              <w:ind w:left="329" w:right="0"/>
              <w:jc w:val="left"/>
              <w:rPr>
                <w:rFonts w:ascii="Times New Roman" w:hAnsi="Times New Roman" w:cs="Times New Roman" w:eastAsia="Times New Roman" w:hint="default"/>
                <w:sz w:val="18"/>
                <w:szCs w:val="18"/>
              </w:rPr>
            </w:pPr>
            <w:r>
              <w:rPr>
                <w:rFonts w:ascii="Times New Roman"/>
                <w:sz w:val="18"/>
              </w:rPr>
              <w:t>4.27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-5,019,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063.76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-5,019,0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63.76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492,304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-492,30</w:t>
            </w:r>
          </w:p>
          <w:p>
            <w:pPr>
              <w:pStyle w:val="TableParagraph"/>
              <w:spacing w:line="240" w:lineRule="auto" w:before="106"/>
              <w:ind w:left="329" w:right="0"/>
              <w:jc w:val="left"/>
              <w:rPr>
                <w:rFonts w:ascii="Times New Roman" w:hAnsi="Times New Roman" w:cs="Times New Roman" w:eastAsia="Times New Roman" w:hint="default"/>
                <w:sz w:val="18"/>
                <w:szCs w:val="18"/>
              </w:rPr>
            </w:pPr>
            <w:r>
              <w:rPr>
                <w:rFonts w:ascii="Times New Roman"/>
                <w:sz w:val="18"/>
              </w:rPr>
              <w:t>4.27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-5,019,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063.76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-5,019,0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63.76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1,636,5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24.18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1,636,5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24.18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175,97</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2,779.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384,097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,651.78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-2,236,1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1,636,5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24.18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10,785,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023.66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102,754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,631.87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154,566</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,757.06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827,577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,238.91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134" w:right="1033" w:firstLine="0"/>
        <w:jc w:val="left"/>
        <w:rPr>
          <w:rFonts w:ascii="宋体" w:hAnsi="宋体" w:cs="宋体" w:eastAsia="宋体" w:hint="default"/>
          <w:sz w:val="21"/>
          <w:szCs w:val="21"/>
        </w:rPr>
      </w:pPr>
      <w:bookmarkStart w:name="8、母公司所有者权益变动表" w:id="159"/>
      <w:bookmarkEnd w:id="15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175,972,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779.00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385,032,0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76.96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75" w:right="0"/>
              <w:jc w:val="left"/>
              <w:rPr>
                <w:rFonts w:ascii="Times New Roman" w:hAnsi="Times New Roman" w:cs="Times New Roman" w:eastAsia="Times New Roman" w:hint="default"/>
                <w:sz w:val="18"/>
                <w:szCs w:val="18"/>
              </w:rPr>
            </w:pPr>
            <w:r>
              <w:rPr>
                <w:rFonts w:ascii="Times New Roman"/>
                <w:sz w:val="18"/>
              </w:rPr>
              <w:t>-2,236,12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8.64</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10,785,02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75,660,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087.98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645,213,8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38.96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175,972,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779.00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385,032,0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76.96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-2,236,12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8.64</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10,785,02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75,660,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087.98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645,213,8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38.96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5,880,271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2,886,208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446,863.6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502,317</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9,715,661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2,886,208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4,468,6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36.84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7,354,845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446,863.6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-3,966,3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19.27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-3,519,45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5.59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446,863.6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-446,86</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3.68</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-3,519,4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-3,519,45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5,880,271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5,880,271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175,972,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779.00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390,912,3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48.64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11,231,88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76,162,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405.55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654,929,5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00.54</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156,800,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218,498,3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99.69</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10,292,71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Times New Roman"/>
                <w:sz w:val="18"/>
              </w:rPr>
              <w:t>71,229,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349.55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456,820,4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156,800,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218,498,3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99.69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10,292,71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71,229,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349.55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456,820,4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19,172,7</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79.00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166,533,6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-2,236,12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492,304.2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4,430,7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38.43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188,393,3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70.33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-2,236,12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4,923,0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42.70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2,686,914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19,172,7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166,533,6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185,706,4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79.00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77.27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56.27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19,172,7</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79.00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166,533,6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185,706,4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56.27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492,304.2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-492,30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4.27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492,304.2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-492,30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4.27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175,972,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779.00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385,032,0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-2,236,12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10,785,02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75,660,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087.98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645,213,8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38.96</w:t>
            </w:r>
          </w:p>
        </w:tc>
      </w:tr>
    </w:tbl>
    <w:p>
      <w:pPr>
        <w:spacing w:line="240" w:lineRule="auto" w:before="2"/>
        <w:rPr>
          <w:rFonts w:ascii="宋体" w:hAnsi="宋体" w:cs="宋体" w:eastAsia="宋体" w:hint="default"/>
          <w:sz w:val="18"/>
          <w:szCs w:val="18"/>
        </w:rPr>
      </w:pPr>
    </w:p>
    <w:p>
      <w:pPr>
        <w:pStyle w:val="Heading3"/>
        <w:spacing w:line="240" w:lineRule="auto" w:before="26"/>
        <w:ind w:right="1033"/>
        <w:jc w:val="left"/>
        <w:rPr>
          <w:b w:val="0"/>
          <w:bCs w:val="0"/>
        </w:rPr>
      </w:pPr>
      <w:bookmarkStart w:name="三、公司基本情况" w:id="160"/>
      <w:bookmarkEnd w:id="160"/>
      <w:r>
        <w:rPr>
          <w:b w:val="0"/>
          <w:bCs w:val="0"/>
        </w:rPr>
      </w:r>
      <w:r>
        <w:rPr/>
        <w:t>三、公司基本情况</w:t>
      </w:r>
      <w:r>
        <w:rPr>
          <w:b w:val="0"/>
          <w:bCs w:val="0"/>
        </w:rPr>
      </w:r>
    </w:p>
    <w:p>
      <w:pPr>
        <w:spacing w:line="240" w:lineRule="auto" w:before="10"/>
        <w:rPr>
          <w:rFonts w:ascii="宋体" w:hAnsi="宋体" w:cs="宋体" w:eastAsia="宋体" w:hint="default"/>
          <w:b/>
          <w:bCs/>
          <w:sz w:val="23"/>
          <w:szCs w:val="23"/>
        </w:rPr>
      </w:pPr>
    </w:p>
    <w:p>
      <w:pPr>
        <w:pStyle w:val="BodyText"/>
        <w:spacing w:line="228" w:lineRule="auto"/>
        <w:ind w:left="1134" w:right="1130" w:firstLine="480"/>
        <w:jc w:val="both"/>
      </w:pPr>
      <w:r>
        <w:rPr/>
        <w:t>四川依米康环境科技股份有限公司（以下简称本公司，在包含子公司时统称本集团）是 根据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日公司创立大会决议，将四川依米康制冷设备有限公司截止</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w:t>
      </w:r>
      <w:r>
        <w:rPr>
          <w:spacing w:val="-106"/>
        </w:rPr>
        <w:t> </w:t>
      </w:r>
      <w:r>
        <w:rPr/>
        <w:t>经审计后的净资产折合股份整体变更设立的，注册资本</w:t>
      </w:r>
      <w:r>
        <w:rPr>
          <w:rFonts w:ascii="Times New Roman" w:hAnsi="Times New Roman" w:cs="Times New Roman" w:eastAsia="Times New Roman" w:hint="default"/>
        </w:rPr>
        <w:t>5,800.00</w:t>
      </w:r>
      <w:r>
        <w:rPr/>
        <w:t>万元，于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日取得</w:t>
      </w:r>
      <w:r>
        <w:rPr>
          <w:spacing w:val="-106"/>
        </w:rPr>
        <w:t> </w:t>
      </w:r>
      <w:r>
        <w:rPr>
          <w:spacing w:val="-106"/>
        </w:rPr>
      </w:r>
      <w:r>
        <w:rPr>
          <w:spacing w:val="-2"/>
        </w:rPr>
        <w:t>成都市工商行政管理局核发的</w:t>
      </w:r>
      <w:r>
        <w:rPr>
          <w:rFonts w:ascii="Times New Roman" w:hAnsi="Times New Roman" w:cs="Times New Roman" w:eastAsia="Times New Roman" w:hint="default"/>
          <w:spacing w:val="-2"/>
        </w:rPr>
        <w:t>510100400013149</w:t>
      </w:r>
      <w:r>
        <w:rPr>
          <w:spacing w:val="-2"/>
        </w:rPr>
        <w:t>号企业法人营业执照。根据本公司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40"/>
        </w:rPr>
        <w:t> </w:t>
      </w:r>
      <w:r>
        <w:rPr/>
        <w:t>日第</w:t>
      </w:r>
      <w:r>
        <w:rPr>
          <w:rFonts w:ascii="Times New Roman" w:hAnsi="Times New Roman" w:cs="Times New Roman" w:eastAsia="Times New Roman" w:hint="default"/>
        </w:rPr>
        <w:t>1</w:t>
      </w:r>
      <w:r>
        <w:rPr/>
        <w:t>次临时股东会决议，本公司申请增加注册资本人民币</w:t>
      </w:r>
      <w:r>
        <w:rPr>
          <w:rFonts w:ascii="Times New Roman" w:hAnsi="Times New Roman" w:cs="Times New Roman" w:eastAsia="Times New Roman" w:hint="default"/>
        </w:rPr>
        <w:t>80</w:t>
      </w:r>
      <w:r>
        <w:rPr/>
        <w:t>万元，于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日取得变</w:t>
      </w:r>
    </w:p>
    <w:p>
      <w:pPr>
        <w:spacing w:after="0" w:line="228" w:lineRule="auto"/>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134" w:right="1122"/>
        <w:jc w:val="left"/>
      </w:pPr>
      <w:r>
        <w:rPr>
          <w:spacing w:val="-2"/>
        </w:rPr>
        <w:t>更后的企业法人营业执照，变更后本公司注册资本为</w:t>
      </w:r>
      <w:r>
        <w:rPr>
          <w:rFonts w:ascii="Times New Roman" w:hAnsi="Times New Roman" w:cs="Times New Roman" w:eastAsia="Times New Roman" w:hint="default"/>
          <w:spacing w:val="-2"/>
        </w:rPr>
        <w:t>5,880.00</w:t>
      </w:r>
      <w:r>
        <w:rPr>
          <w:spacing w:val="-2"/>
        </w:rPr>
        <w:t>万元。公司注册地为成都高新区</w:t>
      </w:r>
      <w:r>
        <w:rPr>
          <w:spacing w:val="-112"/>
        </w:rPr>
        <w:t> </w:t>
      </w:r>
      <w:r>
        <w:rPr>
          <w:spacing w:val="-112"/>
        </w:rPr>
      </w:r>
      <w:r>
        <w:rPr/>
        <w:t>科园南二路二号，法定代表人为张菀。</w:t>
      </w:r>
    </w:p>
    <w:p>
      <w:pPr>
        <w:pStyle w:val="BodyText"/>
        <w:spacing w:line="225" w:lineRule="auto"/>
        <w:ind w:left="1134" w:right="1131" w:firstLine="48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月经中国证券监督管理委员会《关于核准四川依米康环境科技股份有限公司首次</w:t>
      </w:r>
      <w:r>
        <w:rPr/>
        <w:t> </w:t>
      </w:r>
      <w:r>
        <w:rPr>
          <w:spacing w:val="2"/>
        </w:rPr>
        <w:t>公开发行股票并在创业板上市的批复》（证监许可</w:t>
      </w:r>
      <w:r>
        <w:rPr>
          <w:rFonts w:ascii="Times New Roman" w:hAnsi="Times New Roman" w:cs="Times New Roman" w:eastAsia="Times New Roman" w:hint="default"/>
          <w:spacing w:val="2"/>
        </w:rPr>
        <w:t>[2011]1104</w:t>
      </w:r>
      <w:r>
        <w:rPr>
          <w:spacing w:val="2"/>
        </w:rPr>
        <w:t>号）核准，公开发行人民币普</w:t>
      </w:r>
      <w:r>
        <w:rPr>
          <w:spacing w:val="-106"/>
        </w:rPr>
        <w:t> </w:t>
      </w:r>
      <w:r>
        <w:rPr>
          <w:spacing w:val="-106"/>
        </w:rPr>
      </w:r>
      <w:r>
        <w:rPr>
          <w:spacing w:val="-1"/>
        </w:rPr>
        <w:t>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1,960.00</w:t>
      </w:r>
      <w:r>
        <w:rPr>
          <w:spacing w:val="-1"/>
        </w:rPr>
        <w:t>万股，并于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w:t>
      </w:r>
      <w:r>
        <w:rPr>
          <w:spacing w:val="-1"/>
        </w:rPr>
        <w:t>日在深圳证券交易所上市交易，公开发行后股本</w:t>
      </w:r>
      <w:r>
        <w:rPr>
          <w:spacing w:val="-89"/>
        </w:rPr>
        <w:t> </w:t>
      </w:r>
      <w:r>
        <w:rPr>
          <w:spacing w:val="-89"/>
        </w:rPr>
      </w:r>
      <w:r>
        <w:rPr/>
        <w:t>总额为</w:t>
      </w:r>
      <w:r>
        <w:rPr>
          <w:rFonts w:ascii="Times New Roman" w:hAnsi="Times New Roman" w:cs="Times New Roman" w:eastAsia="Times New Roman" w:hint="default"/>
        </w:rPr>
        <w:t>7,840</w:t>
      </w:r>
      <w:r>
        <w:rPr/>
        <w:t>万股。</w:t>
      </w:r>
    </w:p>
    <w:p>
      <w:pPr>
        <w:pStyle w:val="BodyText"/>
        <w:spacing w:line="312" w:lineRule="exact" w:before="13"/>
        <w:ind w:left="1134" w:right="1131" w:firstLine="48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日，根据本公司</w:t>
      </w:r>
      <w:r>
        <w:rPr>
          <w:rFonts w:ascii="Times New Roman" w:hAnsi="Times New Roman" w:cs="Times New Roman" w:eastAsia="Times New Roman" w:hint="default"/>
          <w:spacing w:val="-2"/>
        </w:rPr>
        <w:t>2012</w:t>
      </w:r>
      <w:r>
        <w:rPr>
          <w:spacing w:val="-2"/>
        </w:rPr>
        <w:t>年度股东大会决议和修改后章程的规定，本公司申请增</w:t>
      </w:r>
      <w:r>
        <w:rPr/>
        <w:t> 加注册资本人民币</w:t>
      </w:r>
      <w:r>
        <w:rPr>
          <w:rFonts w:ascii="Times New Roman" w:hAnsi="Times New Roman" w:cs="Times New Roman" w:eastAsia="Times New Roman" w:hint="default"/>
        </w:rPr>
        <w:t>7,840.00</w:t>
      </w:r>
      <w:r>
        <w:rPr/>
        <w:t>万元，由资本公积转增股本，转增基准日期为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日，转</w:t>
      </w:r>
      <w:r>
        <w:rPr>
          <w:spacing w:val="-106"/>
        </w:rPr>
        <w:t> </w:t>
      </w:r>
      <w:r>
        <w:rPr>
          <w:spacing w:val="-106"/>
        </w:rPr>
      </w:r>
      <w:r>
        <w:rPr>
          <w:spacing w:val="-2"/>
        </w:rPr>
        <w:t>增对象为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日下午深圳证券交易所收市后，在中国证券登记结算有限责任公司深圳</w:t>
      </w:r>
      <w:r>
        <w:rPr>
          <w:spacing w:val="-114"/>
        </w:rPr>
        <w:t> </w:t>
      </w:r>
      <w:r>
        <w:rPr>
          <w:spacing w:val="-114"/>
        </w:rPr>
      </w:r>
      <w:r>
        <w:rPr/>
        <w:t>分公司登记在册的本公司全体股东，变更后的注册资本为人民币</w:t>
      </w:r>
      <w:r>
        <w:rPr>
          <w:rFonts w:ascii="Times New Roman" w:hAnsi="Times New Roman" w:cs="Times New Roman" w:eastAsia="Times New Roman" w:hint="default"/>
        </w:rPr>
        <w:t>15,680.00</w:t>
      </w:r>
      <w:r>
        <w:rPr/>
        <w:t>万元。</w:t>
      </w:r>
    </w:p>
    <w:p>
      <w:pPr>
        <w:pStyle w:val="BodyText"/>
        <w:spacing w:line="312" w:lineRule="exact"/>
        <w:ind w:left="1134" w:right="994" w:firstLine="480"/>
        <w:jc w:val="left"/>
      </w:pPr>
      <w:r>
        <w:rPr/>
        <w:t>根据本公司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日第二届董事会第十六次会议决议以及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日取得的中 国证券监督管理委员会《关于核准四川依米康环境科技股份有限公司向宋正兴等发行股份购</w:t>
      </w:r>
      <w:r>
        <w:rPr>
          <w:spacing w:val="-111"/>
        </w:rPr>
        <w:t> </w:t>
      </w:r>
      <w:r>
        <w:rPr>
          <w:spacing w:val="-111"/>
        </w:rPr>
      </w:r>
      <w:r>
        <w:rPr/>
        <w:t>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[2014]1139</w:t>
      </w:r>
      <w:r>
        <w:rPr/>
        <w:t>号</w:t>
      </w:r>
      <w:r>
        <w:rPr>
          <w:rFonts w:ascii="Times New Roman" w:hAnsi="Times New Roman" w:cs="Times New Roman" w:eastAsia="Times New Roman" w:hint="default"/>
        </w:rPr>
        <w:t>)</w:t>
      </w:r>
      <w:r>
        <w:rPr/>
        <w:t>，核准本公司向江苏亿金环保科技股 份有限公司（以下简称江苏亿金公司或亿金环保公司）（后更名为江苏亿金环保科技有限公 司）股东宋正兴发行</w:t>
      </w:r>
      <w:r>
        <w:rPr>
          <w:rFonts w:ascii="Times New Roman" w:hAnsi="Times New Roman" w:cs="Times New Roman" w:eastAsia="Times New Roman" w:hint="default"/>
        </w:rPr>
        <w:t>8,270,823</w:t>
      </w:r>
      <w:r>
        <w:rPr/>
        <w:t>股、向叶春娥发行</w:t>
      </w:r>
      <w:r>
        <w:rPr>
          <w:rFonts w:ascii="Times New Roman" w:hAnsi="Times New Roman" w:cs="Times New Roman" w:eastAsia="Times New Roman" w:hint="default"/>
        </w:rPr>
        <w:t>739,667</w:t>
      </w:r>
      <w:r>
        <w:rPr/>
        <w:t>股、向宋丽娜发行</w:t>
      </w:r>
      <w:r>
        <w:rPr>
          <w:rFonts w:ascii="Times New Roman" w:hAnsi="Times New Roman" w:cs="Times New Roman" w:eastAsia="Times New Roman" w:hint="default"/>
        </w:rPr>
        <w:t>739,667</w:t>
      </w:r>
      <w:r>
        <w:rPr/>
        <w:t>股、向张家 </w:t>
      </w:r>
      <w:r>
        <w:rPr>
          <w:spacing w:val="-2"/>
        </w:rPr>
        <w:t>港市立业投资发展有限公司发行</w:t>
      </w:r>
      <w:r>
        <w:rPr>
          <w:rFonts w:ascii="Times New Roman" w:hAnsi="Times New Roman" w:cs="Times New Roman" w:eastAsia="Times New Roman" w:hint="default"/>
          <w:spacing w:val="-2"/>
        </w:rPr>
        <w:t>1,660,889</w:t>
      </w:r>
      <w:r>
        <w:rPr>
          <w:spacing w:val="-2"/>
        </w:rPr>
        <w:t>股、向上海添惠投资管理有限公司发行</w:t>
      </w:r>
      <w:r>
        <w:rPr>
          <w:rFonts w:ascii="Times New Roman" w:hAnsi="Times New Roman" w:cs="Times New Roman" w:eastAsia="Times New Roman" w:hint="default"/>
          <w:spacing w:val="-2"/>
        </w:rPr>
        <w:t>2,481,247</w:t>
      </w:r>
      <w:r>
        <w:rPr>
          <w:spacing w:val="-2"/>
        </w:rPr>
        <w:t>股、</w:t>
      </w:r>
      <w:r>
        <w:rPr>
          <w:spacing w:val="-100"/>
        </w:rPr>
        <w:t> </w:t>
      </w:r>
      <w:r>
        <w:rPr>
          <w:spacing w:val="5"/>
        </w:rPr>
        <w:t>向张家港市福兴投资管理咨询有限公司发行</w:t>
      </w:r>
      <w:r>
        <w:rPr>
          <w:rFonts w:ascii="Times New Roman" w:hAnsi="Times New Roman" w:cs="Times New Roman" w:eastAsia="Times New Roman" w:hint="default"/>
          <w:spacing w:val="5"/>
        </w:rPr>
        <w:t>941,395</w:t>
      </w:r>
      <w:r>
        <w:rPr>
          <w:spacing w:val="5"/>
        </w:rPr>
        <w:t>股、向张家港市嘉明商贸有限公司发行</w:t>
      </w:r>
      <w:r>
        <w:rPr/>
        <w:t> </w:t>
      </w:r>
      <w:r>
        <w:rPr>
          <w:rFonts w:ascii="Times New Roman" w:hAnsi="Times New Roman" w:cs="Times New Roman" w:eastAsia="Times New Roman" w:hint="default"/>
        </w:rPr>
        <w:t>672,425</w:t>
      </w:r>
      <w:r>
        <w:rPr/>
        <w:t>股、向上海同航投资管理有限公司发行</w:t>
      </w:r>
      <w:r>
        <w:rPr>
          <w:rFonts w:ascii="Times New Roman" w:hAnsi="Times New Roman" w:cs="Times New Roman" w:eastAsia="Times New Roman" w:hint="default"/>
        </w:rPr>
        <w:t>605,182</w:t>
      </w:r>
      <w:r>
        <w:rPr/>
        <w:t>股股票用于收购其合计持有的江苏亿金 公司</w:t>
      </w:r>
      <w:r>
        <w:rPr>
          <w:rFonts w:ascii="Times New Roman" w:hAnsi="Times New Roman" w:cs="Times New Roman" w:eastAsia="Times New Roman" w:hint="default"/>
        </w:rPr>
        <w:t>53%</w:t>
      </w:r>
      <w:r>
        <w:rPr/>
        <w:t>的股份；同意本公司非公开发行不超过</w:t>
      </w:r>
      <w:r>
        <w:rPr>
          <w:rFonts w:ascii="Times New Roman" w:hAnsi="Times New Roman" w:cs="Times New Roman" w:eastAsia="Times New Roman" w:hint="default"/>
        </w:rPr>
        <w:t>6,000,000.00</w:t>
      </w:r>
      <w:r>
        <w:rPr/>
        <w:t>股新股募集本次发行股票购买资</w:t>
      </w:r>
      <w:r>
        <w:rPr>
          <w:spacing w:val="-116"/>
        </w:rPr>
        <w:t> </w:t>
      </w:r>
      <w:r>
        <w:rPr>
          <w:spacing w:val="-116"/>
        </w:rPr>
      </w:r>
      <w:r>
        <w:rPr/>
        <w:t>产的配套资金。</w:t>
      </w:r>
    </w:p>
    <w:p>
      <w:pPr>
        <w:pStyle w:val="BodyText"/>
        <w:spacing w:line="312" w:lineRule="exact"/>
        <w:ind w:left="1134" w:right="1127" w:firstLine="480"/>
        <w:jc w:val="both"/>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日，亿金环保公司股东宋正兴、叶春娥、宋丽娜、张家港市立业投资 发展有限公司、上海添惠投资管理有限公司、张家港市福兴投资管理咨询有限公司、张家港 市嘉明商贸有限公司、上海同航投资管理有限公司将其合计持有的亿金环保公司</w:t>
      </w:r>
      <w:r>
        <w:rPr>
          <w:rFonts w:ascii="Times New Roman" w:hAnsi="Times New Roman" w:cs="Times New Roman" w:eastAsia="Times New Roman" w:hint="default"/>
        </w:rPr>
        <w:t>53%</w:t>
      </w:r>
      <w:r>
        <w:rPr/>
        <w:t>的股份</w:t>
      </w:r>
    </w:p>
    <w:p>
      <w:pPr>
        <w:pStyle w:val="BodyText"/>
        <w:spacing w:line="291" w:lineRule="exact"/>
        <w:ind w:left="1134" w:right="1033"/>
        <w:jc w:val="left"/>
      </w:pPr>
      <w:r>
        <w:rPr>
          <w:spacing w:val="3"/>
        </w:rPr>
        <w:t>过户给本公司，用于认购本公司向其合计发行的人民币普通股</w:t>
      </w:r>
      <w:r>
        <w:rPr>
          <w:rFonts w:ascii="Times New Roman" w:hAnsi="Times New Roman" w:cs="Times New Roman" w:eastAsia="Times New Roman" w:hint="default"/>
          <w:spacing w:val="3"/>
        </w:rPr>
        <w:t>16,111,295</w:t>
      </w:r>
      <w:r>
        <w:rPr>
          <w:spacing w:val="3"/>
        </w:rPr>
        <w:t>股股票，认购价为</w:t>
      </w:r>
    </w:p>
    <w:p>
      <w:pPr>
        <w:pStyle w:val="BodyText"/>
        <w:spacing w:line="312" w:lineRule="exact" w:before="20"/>
        <w:ind w:left="1614" w:right="1033" w:hanging="480"/>
        <w:jc w:val="left"/>
      </w:pPr>
      <w:r>
        <w:rPr>
          <w:rFonts w:ascii="Times New Roman" w:hAnsi="Times New Roman" w:cs="Times New Roman" w:eastAsia="Times New Roman" w:hint="default"/>
        </w:rPr>
        <w:t>8.95</w:t>
      </w:r>
      <w:r>
        <w:rPr/>
        <w:t>元</w:t>
      </w:r>
      <w:r>
        <w:rPr>
          <w:rFonts w:ascii="Times New Roman" w:hAnsi="Times New Roman" w:cs="Times New Roman" w:eastAsia="Times New Roman" w:hint="default"/>
        </w:rPr>
        <w:t>/</w:t>
      </w:r>
      <w:r>
        <w:rPr/>
        <w:t>股，本公司增加股本</w:t>
      </w:r>
      <w:r>
        <w:rPr>
          <w:rFonts w:ascii="Times New Roman" w:hAnsi="Times New Roman" w:cs="Times New Roman" w:eastAsia="Times New Roman" w:hint="default"/>
        </w:rPr>
        <w:t>16,111,295.00</w:t>
      </w:r>
      <w:r>
        <w:rPr/>
        <w:t>元，增加资本公积</w:t>
      </w:r>
      <w:r>
        <w:rPr>
          <w:rFonts w:ascii="Times New Roman" w:hAnsi="Times New Roman" w:cs="Times New Roman" w:eastAsia="Times New Roman" w:hint="default"/>
        </w:rPr>
        <w:t>128,084,795.25</w:t>
      </w:r>
      <w:r>
        <w:rPr/>
        <w:t>元。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日止，本公司非公开发行人民币普通股</w:t>
      </w:r>
      <w:r>
        <w:rPr>
          <w:rFonts w:ascii="Times New Roman" w:hAnsi="Times New Roman" w:cs="Times New Roman" w:eastAsia="Times New Roman" w:hint="default"/>
        </w:rPr>
        <w:t>3,061,484</w:t>
      </w:r>
      <w:r>
        <w:rPr/>
        <w:t>股新股用于募集发行</w:t>
      </w:r>
    </w:p>
    <w:p>
      <w:pPr>
        <w:pStyle w:val="BodyText"/>
        <w:spacing w:line="312" w:lineRule="exact"/>
        <w:ind w:left="1134" w:right="994"/>
        <w:jc w:val="left"/>
      </w:pPr>
      <w:r>
        <w:rPr/>
        <w:t>股份购买资产的配套资金，分别由第一创业证券股份有限公司、财通基金管理有限公司及安 </w:t>
      </w:r>
      <w:r>
        <w:rPr>
          <w:spacing w:val="-1"/>
        </w:rPr>
        <w:t>信证券股份有限公司以现金按人民币</w:t>
      </w:r>
      <w:r>
        <w:rPr>
          <w:rFonts w:ascii="Times New Roman" w:hAnsi="Times New Roman" w:cs="Times New Roman" w:eastAsia="Times New Roman" w:hint="default"/>
          <w:spacing w:val="-1"/>
        </w:rPr>
        <w:t>15.7</w:t>
      </w:r>
      <w:r>
        <w:rPr>
          <w:spacing w:val="-1"/>
        </w:rPr>
        <w:t>元</w:t>
      </w:r>
      <w:r>
        <w:rPr>
          <w:rFonts w:ascii="Times New Roman" w:hAnsi="Times New Roman" w:cs="Times New Roman" w:eastAsia="Times New Roman" w:hint="default"/>
          <w:spacing w:val="-1"/>
        </w:rPr>
        <w:t>/</w:t>
      </w:r>
      <w:r>
        <w:rPr>
          <w:spacing w:val="-1"/>
        </w:rPr>
        <w:t>股认购，募集资金总额为人民币</w:t>
      </w:r>
      <w:r>
        <w:rPr>
          <w:rFonts w:ascii="Times New Roman" w:hAnsi="Times New Roman" w:cs="Times New Roman" w:eastAsia="Times New Roman" w:hint="default"/>
          <w:spacing w:val="-1"/>
        </w:rPr>
        <w:t>48,065,298.80</w:t>
      </w:r>
      <w:r>
        <w:rPr>
          <w:spacing w:val="-1"/>
        </w:rPr>
        <w:t>元，</w:t>
      </w:r>
      <w:r>
        <w:rPr>
          <w:spacing w:val="-98"/>
        </w:rPr>
        <w:t> </w:t>
      </w:r>
      <w:r>
        <w:rPr/>
        <w:t>扣除本次相关发行费后，募集资金净额为人民币</w:t>
      </w:r>
      <w:r>
        <w:rPr>
          <w:rFonts w:ascii="Times New Roman" w:hAnsi="Times New Roman" w:cs="Times New Roman" w:eastAsia="Times New Roman" w:hint="default"/>
        </w:rPr>
        <w:t>41,510,366.02</w:t>
      </w:r>
      <w:r>
        <w:rPr/>
        <w:t>元，其中增加股本</w:t>
      </w:r>
      <w:r>
        <w:rPr>
          <w:rFonts w:ascii="Times New Roman" w:hAnsi="Times New Roman" w:cs="Times New Roman" w:eastAsia="Times New Roman" w:hint="default"/>
        </w:rPr>
        <w:t>3,061,484.00</w:t>
      </w:r>
      <w:r>
        <w:rPr>
          <w:rFonts w:ascii="Times New Roman" w:hAnsi="Times New Roman" w:cs="Times New Roman" w:eastAsia="Times New Roman" w:hint="default"/>
          <w:spacing w:val="-30"/>
        </w:rPr>
        <w:t> </w:t>
      </w:r>
      <w:r>
        <w:rPr/>
        <w:t>元，增加资本公积</w:t>
      </w:r>
      <w:r>
        <w:rPr>
          <w:rFonts w:ascii="Times New Roman" w:hAnsi="Times New Roman" w:cs="Times New Roman" w:eastAsia="Times New Roman" w:hint="default"/>
        </w:rPr>
        <w:t>38,448,882.02</w:t>
      </w:r>
      <w:r>
        <w:rPr/>
        <w:t>元。</w:t>
      </w:r>
    </w:p>
    <w:p>
      <w:pPr>
        <w:pStyle w:val="BodyText"/>
        <w:spacing w:line="312" w:lineRule="exact"/>
        <w:ind w:left="1134" w:right="1130" w:firstLine="480"/>
        <w:jc w:val="both"/>
      </w:pPr>
      <w:r>
        <w:rPr>
          <w:spacing w:val="-2"/>
        </w:rPr>
        <w:t>本公司重大资产重组亿金环保公司合计发行人民币普通股</w:t>
      </w:r>
      <w:r>
        <w:rPr>
          <w:rFonts w:ascii="Times New Roman" w:hAnsi="Times New Roman" w:cs="Times New Roman" w:eastAsia="Times New Roman" w:hint="default"/>
          <w:spacing w:val="-2"/>
        </w:rPr>
        <w:t>19,172,779</w:t>
      </w:r>
      <w:r>
        <w:rPr>
          <w:spacing w:val="-2"/>
        </w:rPr>
        <w:t>股股份，于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17</w:t>
      </w:r>
      <w:r>
        <w:rPr/>
        <w:t>日在中国证券登记结算有限责任公司深圳分公司登记，并于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日在深圳证券交</w:t>
      </w:r>
      <w:r>
        <w:rPr>
          <w:spacing w:val="-109"/>
        </w:rPr>
        <w:t> </w:t>
      </w:r>
      <w:r>
        <w:rPr/>
        <w:t>易所上市。变更后的注册资本为人民币</w:t>
      </w:r>
      <w:r>
        <w:rPr>
          <w:rFonts w:ascii="Times New Roman" w:hAnsi="Times New Roman" w:cs="Times New Roman" w:eastAsia="Times New Roman" w:hint="default"/>
        </w:rPr>
        <w:t>17,597.28</w:t>
      </w:r>
      <w:r>
        <w:rPr/>
        <w:t>万元。本次增资业经信永中和会计师事务所</w:t>
      </w:r>
    </w:p>
    <w:p>
      <w:pPr>
        <w:pStyle w:val="BodyText"/>
        <w:spacing w:line="302" w:lineRule="exact"/>
        <w:ind w:left="1134" w:right="1033"/>
        <w:jc w:val="left"/>
      </w:pPr>
      <w:r>
        <w:rPr/>
        <w:t>（特殊普通合伙）于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日出具的《</w:t>
      </w:r>
      <w:r>
        <w:rPr>
          <w:rFonts w:ascii="Times New Roman" w:hAnsi="Times New Roman" w:cs="Times New Roman" w:eastAsia="Times New Roman" w:hint="default"/>
        </w:rPr>
        <w:t>XYZH/2014CDA4033-3</w:t>
      </w:r>
      <w:r>
        <w:rPr/>
        <w:t>》号验资报告验证。</w:t>
      </w:r>
    </w:p>
    <w:p>
      <w:pPr>
        <w:spacing w:line="240" w:lineRule="auto" w:before="8"/>
        <w:rPr>
          <w:rFonts w:ascii="宋体" w:hAnsi="宋体" w:cs="宋体" w:eastAsia="宋体" w:hint="default"/>
          <w:sz w:val="18"/>
          <w:szCs w:val="18"/>
        </w:rPr>
      </w:pPr>
    </w:p>
    <w:p>
      <w:pPr>
        <w:spacing w:line="256" w:lineRule="auto" w:before="0"/>
        <w:ind w:left="1133" w:right="1127" w:firstLine="420"/>
        <w:jc w:val="both"/>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日，本公司总股本为</w:t>
      </w:r>
      <w:r>
        <w:rPr>
          <w:rFonts w:ascii="Times New Roman" w:hAnsi="Times New Roman" w:cs="Times New Roman" w:eastAsia="Times New Roman" w:hint="default"/>
          <w:sz w:val="21"/>
          <w:szCs w:val="21"/>
        </w:rPr>
        <w:t>17,597.28</w:t>
      </w:r>
      <w:r>
        <w:rPr>
          <w:rFonts w:ascii="宋体" w:hAnsi="宋体" w:cs="宋体" w:eastAsia="宋体" w:hint="default"/>
          <w:sz w:val="21"/>
          <w:szCs w:val="21"/>
        </w:rPr>
        <w:t>万股，其中有限售条件股份</w:t>
      </w:r>
      <w:r>
        <w:rPr>
          <w:rFonts w:ascii="Times New Roman" w:hAnsi="Times New Roman" w:cs="Times New Roman" w:eastAsia="Times New Roman" w:hint="default"/>
          <w:sz w:val="21"/>
          <w:szCs w:val="21"/>
        </w:rPr>
        <w:t>8,621.63</w:t>
      </w:r>
      <w:r>
        <w:rPr>
          <w:rFonts w:ascii="宋体" w:hAnsi="宋体" w:cs="宋体" w:eastAsia="宋体" w:hint="default"/>
          <w:sz w:val="21"/>
          <w:szCs w:val="21"/>
        </w:rPr>
        <w:t>万股，占总股本</w:t>
      </w:r>
      <w:r>
        <w:rPr>
          <w:rFonts w:ascii="宋体" w:hAnsi="宋体" w:cs="宋体" w:eastAsia="宋体" w:hint="default"/>
          <w:spacing w:val="2"/>
          <w:sz w:val="21"/>
          <w:szCs w:val="21"/>
        </w:rPr>
        <w:t> </w:t>
      </w:r>
      <w:r>
        <w:rPr>
          <w:rFonts w:ascii="宋体" w:hAnsi="宋体" w:cs="宋体" w:eastAsia="宋体" w:hint="default"/>
          <w:sz w:val="21"/>
          <w:szCs w:val="21"/>
        </w:rPr>
        <w:t>的</w:t>
      </w:r>
      <w:r>
        <w:rPr>
          <w:rFonts w:ascii="Times New Roman" w:hAnsi="Times New Roman" w:cs="Times New Roman" w:eastAsia="Times New Roman" w:hint="default"/>
          <w:sz w:val="21"/>
          <w:szCs w:val="21"/>
        </w:rPr>
        <w:t>48.99%</w:t>
      </w:r>
      <w:r>
        <w:rPr>
          <w:rFonts w:ascii="宋体" w:hAnsi="宋体" w:cs="宋体" w:eastAsia="宋体" w:hint="default"/>
          <w:sz w:val="21"/>
          <w:szCs w:val="21"/>
        </w:rPr>
        <w:t>；无限售条件股份</w:t>
      </w:r>
      <w:r>
        <w:rPr>
          <w:rFonts w:ascii="Times New Roman" w:hAnsi="Times New Roman" w:cs="Times New Roman" w:eastAsia="Times New Roman" w:hint="default"/>
          <w:sz w:val="21"/>
          <w:szCs w:val="21"/>
        </w:rPr>
        <w:t>8,975.65</w:t>
      </w:r>
      <w:r>
        <w:rPr>
          <w:rFonts w:ascii="宋体" w:hAnsi="宋体" w:cs="宋体" w:eastAsia="宋体" w:hint="default"/>
          <w:sz w:val="21"/>
          <w:szCs w:val="21"/>
        </w:rPr>
        <w:t>万股，占总股本的</w:t>
      </w:r>
      <w:r>
        <w:rPr>
          <w:rFonts w:ascii="Times New Roman" w:hAnsi="Times New Roman" w:cs="Times New Roman" w:eastAsia="Times New Roman" w:hint="default"/>
          <w:sz w:val="21"/>
          <w:szCs w:val="21"/>
        </w:rPr>
        <w:t>51.01%</w:t>
      </w:r>
      <w:r>
        <w:rPr>
          <w:rFonts w:ascii="宋体" w:hAnsi="宋体" w:cs="宋体" w:eastAsia="宋体" w:hint="default"/>
          <w:sz w:val="21"/>
          <w:szCs w:val="21"/>
        </w:rPr>
        <w:t>。</w:t>
      </w:r>
    </w:p>
    <w:p>
      <w:pPr>
        <w:spacing w:line="240" w:lineRule="auto" w:before="9"/>
        <w:rPr>
          <w:rFonts w:ascii="宋体" w:hAnsi="宋体" w:cs="宋体" w:eastAsia="宋体" w:hint="default"/>
          <w:sz w:val="18"/>
          <w:szCs w:val="18"/>
        </w:rPr>
      </w:pPr>
    </w:p>
    <w:p>
      <w:pPr>
        <w:spacing w:line="273" w:lineRule="auto" w:before="0"/>
        <w:ind w:left="1133" w:right="1130" w:firstLine="420"/>
        <w:jc w:val="both"/>
        <w:rPr>
          <w:rFonts w:ascii="宋体" w:hAnsi="宋体" w:cs="宋体" w:eastAsia="宋体" w:hint="default"/>
          <w:sz w:val="21"/>
          <w:szCs w:val="21"/>
        </w:rPr>
      </w:pPr>
      <w:r>
        <w:rPr>
          <w:rFonts w:ascii="宋体" w:hAnsi="宋体" w:cs="宋体" w:eastAsia="宋体" w:hint="default"/>
          <w:spacing w:val="-1"/>
          <w:sz w:val="21"/>
          <w:szCs w:val="21"/>
        </w:rPr>
        <w:t>本公司为精密环境服务业，经营范围主要为：生产、销售及安装制冷设备、空调、不间断电源、电池</w:t>
      </w:r>
      <w:r>
        <w:rPr>
          <w:rFonts w:ascii="宋体" w:hAnsi="宋体" w:cs="宋体" w:eastAsia="宋体" w:hint="default"/>
          <w:sz w:val="21"/>
          <w:szCs w:val="21"/>
        </w:rPr>
        <w:t> </w:t>
      </w:r>
      <w:r>
        <w:rPr>
          <w:rFonts w:ascii="宋体" w:hAnsi="宋体" w:cs="宋体" w:eastAsia="宋体" w:hint="default"/>
          <w:spacing w:val="-1"/>
          <w:sz w:val="21"/>
          <w:szCs w:val="21"/>
        </w:rPr>
        <w:t>及相关产品；提供环境工程技术咨询及相关工程服务（涉及许可的凭资质许可证从事经营）；节能技术的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研发、应用、推广；节能工程设计、工程施工（涉及许可的凭资质许可证从事经营）、技术咨询和技术服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务；合同能源管理；货物、技术进出口业务（法律、法规禁止的除外，法律、法规限制的取得许可后方可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经营），（以上经营项目不含法律、法规和国务院决定需要前置审批或许可的项目）。主要产品或提供劳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务包括：精密空调设备（精密机房空调、精密洁净空调、精密冷水机组）、精密环境工程、环保设备、计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算机系统集成、工程总承包业务等。</w:t>
      </w:r>
    </w:p>
    <w:p>
      <w:pPr>
        <w:spacing w:after="0" w:line="273" w:lineRule="auto"/>
        <w:jc w:val="both"/>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256" w:lineRule="auto" w:before="35"/>
        <w:ind w:left="1133" w:right="1130" w:firstLine="420"/>
        <w:jc w:val="both"/>
        <w:rPr>
          <w:rFonts w:ascii="宋体" w:hAnsi="宋体" w:cs="宋体" w:eastAsia="宋体" w:hint="default"/>
          <w:sz w:val="21"/>
          <w:szCs w:val="21"/>
        </w:rPr>
      </w:pPr>
      <w:r>
        <w:rPr>
          <w:rFonts w:ascii="宋体" w:hAnsi="宋体" w:cs="宋体" w:eastAsia="宋体" w:hint="default"/>
          <w:sz w:val="21"/>
          <w:szCs w:val="21"/>
        </w:rPr>
        <w:t>本公司目前为深圳证券交易所创业板上市公司。本公司前</w:t>
      </w:r>
      <w:r>
        <w:rPr>
          <w:rFonts w:ascii="Times New Roman" w:hAnsi="Times New Roman" w:cs="Times New Roman" w:eastAsia="Times New Roman" w:hint="default"/>
          <w:sz w:val="21"/>
          <w:szCs w:val="21"/>
        </w:rPr>
        <w:t>2</w:t>
      </w:r>
      <w:r>
        <w:rPr>
          <w:rFonts w:ascii="宋体" w:hAnsi="宋体" w:cs="宋体" w:eastAsia="宋体" w:hint="default"/>
          <w:sz w:val="21"/>
          <w:szCs w:val="21"/>
        </w:rPr>
        <w:t>位股东孙屹峥</w:t>
      </w:r>
      <w:r>
        <w:rPr>
          <w:rFonts w:ascii="Times New Roman" w:hAnsi="Times New Roman" w:cs="Times New Roman" w:eastAsia="Times New Roman" w:hint="default"/>
          <w:sz w:val="21"/>
          <w:szCs w:val="21"/>
        </w:rPr>
        <w:t>(</w:t>
      </w:r>
      <w:r>
        <w:rPr>
          <w:rFonts w:ascii="宋体" w:hAnsi="宋体" w:cs="宋体" w:eastAsia="宋体" w:hint="default"/>
          <w:sz w:val="21"/>
          <w:szCs w:val="21"/>
        </w:rPr>
        <w:t>董事长</w:t>
      </w:r>
      <w:r>
        <w:rPr>
          <w:rFonts w:ascii="Times New Roman" w:hAnsi="Times New Roman" w:cs="Times New Roman" w:eastAsia="Times New Roman" w:hint="default"/>
          <w:sz w:val="21"/>
          <w:szCs w:val="21"/>
        </w:rPr>
        <w:t>)</w:t>
      </w:r>
      <w:r>
        <w:rPr>
          <w:rFonts w:ascii="宋体" w:hAnsi="宋体" w:cs="宋体" w:eastAsia="宋体" w:hint="default"/>
          <w:sz w:val="21"/>
          <w:szCs w:val="21"/>
        </w:rPr>
        <w:t>、张菀</w:t>
      </w:r>
      <w:r>
        <w:rPr>
          <w:rFonts w:ascii="Times New Roman" w:hAnsi="Times New Roman" w:cs="Times New Roman" w:eastAsia="Times New Roman" w:hint="default"/>
          <w:sz w:val="21"/>
          <w:szCs w:val="21"/>
        </w:rPr>
        <w:t>(</w:t>
      </w:r>
      <w:r>
        <w:rPr>
          <w:rFonts w:ascii="宋体" w:hAnsi="宋体" w:cs="宋体" w:eastAsia="宋体" w:hint="default"/>
          <w:sz w:val="21"/>
          <w:szCs w:val="21"/>
        </w:rPr>
        <w:t>董事、总经 </w:t>
      </w:r>
      <w:r>
        <w:rPr>
          <w:rFonts w:ascii="宋体" w:hAnsi="宋体" w:cs="宋体" w:eastAsia="宋体" w:hint="default"/>
          <w:spacing w:val="-2"/>
          <w:sz w:val="21"/>
          <w:szCs w:val="21"/>
        </w:rPr>
        <w:t>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两人为夫妻关系</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，分别持有占本公司股本</w:t>
      </w:r>
      <w:r>
        <w:rPr>
          <w:rFonts w:ascii="Times New Roman" w:hAnsi="Times New Roman" w:cs="Times New Roman" w:eastAsia="Times New Roman" w:hint="default"/>
          <w:spacing w:val="-2"/>
          <w:sz w:val="21"/>
          <w:szCs w:val="21"/>
        </w:rPr>
        <w:t>17.84%</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17.14%</w:t>
      </w:r>
      <w:r>
        <w:rPr>
          <w:rFonts w:ascii="宋体" w:hAnsi="宋体" w:cs="宋体" w:eastAsia="宋体" w:hint="default"/>
          <w:spacing w:val="-2"/>
          <w:sz w:val="21"/>
          <w:szCs w:val="21"/>
        </w:rPr>
        <w:t>的股份，合计持有本公司总股本的</w:t>
      </w:r>
      <w:r>
        <w:rPr>
          <w:rFonts w:ascii="Times New Roman" w:hAnsi="Times New Roman" w:cs="Times New Roman" w:eastAsia="Times New Roman" w:hint="default"/>
          <w:spacing w:val="-2"/>
          <w:sz w:val="21"/>
          <w:szCs w:val="21"/>
        </w:rPr>
        <w:t>34.98%</w:t>
      </w:r>
      <w:r>
        <w:rPr>
          <w:rFonts w:ascii="宋体" w:hAnsi="宋体" w:cs="宋体" w:eastAsia="宋体" w:hint="default"/>
          <w:spacing w:val="-2"/>
          <w:sz w:val="21"/>
          <w:szCs w:val="21"/>
        </w:rPr>
        <w:t>股</w:t>
      </w:r>
      <w:r>
        <w:rPr>
          <w:rFonts w:ascii="宋体" w:hAnsi="宋体" w:cs="宋体" w:eastAsia="宋体" w:hint="default"/>
          <w:spacing w:val="-70"/>
          <w:sz w:val="21"/>
          <w:szCs w:val="21"/>
        </w:rPr>
        <w:t> </w:t>
      </w:r>
      <w:r>
        <w:rPr>
          <w:rFonts w:ascii="宋体" w:hAnsi="宋体" w:cs="宋体" w:eastAsia="宋体" w:hint="default"/>
          <w:sz w:val="21"/>
          <w:szCs w:val="21"/>
        </w:rPr>
        <w:t>份，为本公司的实际控制人。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73" w:lineRule="auto" w:before="164"/>
        <w:ind w:left="1133" w:right="1026" w:firstLine="440"/>
        <w:jc w:val="both"/>
        <w:rPr>
          <w:rFonts w:ascii="宋体" w:hAnsi="宋体" w:cs="宋体" w:eastAsia="宋体" w:hint="default"/>
          <w:sz w:val="21"/>
          <w:szCs w:val="21"/>
        </w:rPr>
      </w:pPr>
      <w:r>
        <w:rPr>
          <w:rFonts w:ascii="宋体" w:hAnsi="宋体" w:cs="宋体" w:eastAsia="宋体" w:hint="default"/>
          <w:sz w:val="21"/>
          <w:szCs w:val="21"/>
        </w:rPr>
        <w:t>本集团合并财务报表范围包括本公司、四川桑瑞思环境技术工程有限公司（以下简称桑瑞思公司）、 沈阳桑瑞思环境技术工程有限公司（以下简称沈阳桑瑞思公司）、深圳市龙控智能技术有限公司（以下简 </w:t>
      </w:r>
      <w:r>
        <w:rPr>
          <w:rFonts w:ascii="宋体" w:hAnsi="宋体" w:cs="宋体" w:eastAsia="宋体" w:hint="default"/>
          <w:spacing w:val="-5"/>
          <w:sz w:val="21"/>
          <w:szCs w:val="21"/>
        </w:rPr>
        <w:t>称深圳龙控公司）、四川龙控科技有限公司（以下简称四川龙控公司）、四川依米康软件有限责任公司（以</w:t>
      </w:r>
      <w:r>
        <w:rPr>
          <w:rFonts w:ascii="宋体" w:hAnsi="宋体" w:cs="宋体" w:eastAsia="宋体" w:hint="default"/>
          <w:sz w:val="21"/>
          <w:szCs w:val="21"/>
        </w:rPr>
        <w:t> 下简称依米康软件公司）、西安华西信息智能工程有限公司（以下简称西安华西公司）、江苏亿金环保科 </w:t>
      </w:r>
      <w:r>
        <w:rPr>
          <w:rFonts w:ascii="宋体" w:hAnsi="宋体" w:cs="宋体" w:eastAsia="宋体" w:hint="default"/>
          <w:spacing w:val="-3"/>
          <w:sz w:val="21"/>
          <w:szCs w:val="21"/>
        </w:rPr>
        <w:t>技有限公司（以下简称江苏亿金公司）、杭州亿金洁源环境工程技术有限公司（以下简称杭州亿金公司），</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江阴亿金物资贸易有限公司（以下简称亿金物资贸易）。</w:t>
      </w:r>
    </w:p>
    <w:p>
      <w:pPr>
        <w:pStyle w:val="BodyText"/>
        <w:spacing w:line="312" w:lineRule="exact" w:before="54"/>
        <w:ind w:left="1134" w:right="1131" w:firstLine="480"/>
        <w:jc w:val="both"/>
      </w:pPr>
      <w:r>
        <w:rPr>
          <w:spacing w:val="-4"/>
        </w:rPr>
        <w:t>合并财务报务范围变化详见本节</w:t>
      </w:r>
      <w:r>
        <w:rPr>
          <w:rFonts w:ascii="Times New Roman" w:hAnsi="Times New Roman" w:cs="Times New Roman" w:eastAsia="Times New Roman" w:hint="default"/>
          <w:spacing w:val="-4"/>
        </w:rPr>
        <w:t>“</w:t>
      </w:r>
      <w:r>
        <w:rPr>
          <w:spacing w:val="-4"/>
        </w:rPr>
        <w:t>八、合并范围的变更</w:t>
      </w:r>
      <w:r>
        <w:rPr>
          <w:rFonts w:ascii="Times New Roman" w:hAnsi="Times New Roman" w:cs="Times New Roman" w:eastAsia="Times New Roman" w:hint="default"/>
          <w:spacing w:val="-4"/>
        </w:rPr>
        <w:t>”</w:t>
      </w:r>
      <w:r>
        <w:rPr>
          <w:spacing w:val="-4"/>
        </w:rPr>
        <w:t>及本节</w:t>
      </w:r>
      <w:r>
        <w:rPr>
          <w:rFonts w:ascii="Times New Roman" w:hAnsi="Times New Roman" w:cs="Times New Roman" w:eastAsia="Times New Roman" w:hint="default"/>
          <w:spacing w:val="-4"/>
        </w:rPr>
        <w:t>“</w:t>
      </w:r>
      <w:r>
        <w:rPr>
          <w:spacing w:val="-4"/>
        </w:rPr>
        <w:t>九、在其他主体中的权益</w:t>
      </w:r>
      <w:r>
        <w:rPr>
          <w:rFonts w:ascii="Times New Roman" w:hAnsi="Times New Roman" w:cs="Times New Roman" w:eastAsia="Times New Roman" w:hint="default"/>
          <w:spacing w:val="-4"/>
        </w:rPr>
        <w:t>”</w:t>
      </w:r>
      <w:r>
        <w:rPr>
          <w:rFonts w:ascii="Times New Roman" w:hAnsi="Times New Roman" w:cs="Times New Roman" w:eastAsia="Times New Roman" w:hint="default"/>
          <w:w w:val="100"/>
        </w:rPr>
        <w:t> </w:t>
      </w:r>
      <w:r>
        <w:rPr/>
        <w:t>相关内容。</w:t>
      </w:r>
    </w:p>
    <w:p>
      <w:pPr>
        <w:spacing w:line="240" w:lineRule="auto" w:before="10"/>
        <w:rPr>
          <w:rFonts w:ascii="宋体" w:hAnsi="宋体" w:cs="宋体" w:eastAsia="宋体" w:hint="default"/>
          <w:sz w:val="20"/>
          <w:szCs w:val="20"/>
        </w:rPr>
      </w:pPr>
    </w:p>
    <w:p>
      <w:pPr>
        <w:pStyle w:val="Heading3"/>
        <w:spacing w:line="240" w:lineRule="auto"/>
        <w:ind w:left="1133" w:right="0"/>
        <w:jc w:val="both"/>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编制基础" w:id="162"/>
      <w:bookmarkEnd w:id="16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70"/>
        <w:jc w:val="both"/>
      </w:pPr>
      <w:r>
        <w:rPr/>
        <w:t>本集团财务报表以持续经营为基础，根据实际发生的交易和事项，按照财政部颁布的《企业 会计准则》及相关规定，并基于本节</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 计编制。</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2、持续经营" w:id="163"/>
      <w:bookmarkEnd w:id="1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52"/>
        <w:jc w:val="left"/>
      </w:pPr>
      <w:r>
        <w:rPr/>
        <w:t>本集团有近期获利经营历史且有财务资源支持，认为以持续经营为基础编制财务报表是合理 的。</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6"/>
        <w:rPr>
          <w:rFonts w:ascii="宋体" w:hAnsi="宋体" w:cs="宋体" w:eastAsia="宋体" w:hint="default"/>
          <w:sz w:val="14"/>
          <w:szCs w:val="14"/>
        </w:rPr>
      </w:pPr>
    </w:p>
    <w:p>
      <w:pPr>
        <w:spacing w:line="408" w:lineRule="auto" w:before="0"/>
        <w:ind w:left="1133" w:right="1033" w:firstLine="0"/>
        <w:jc w:val="left"/>
        <w:rPr>
          <w:rFonts w:ascii="宋体" w:hAnsi="宋体" w:cs="宋体" w:eastAsia="宋体" w:hint="default"/>
          <w:sz w:val="28"/>
          <w:szCs w:val="28"/>
        </w:rPr>
      </w:pPr>
      <w:r>
        <w:rPr>
          <w:rFonts w:ascii="宋体" w:hAnsi="宋体" w:cs="宋体" w:eastAsia="宋体" w:hint="default"/>
          <w:w w:val="95"/>
          <w:sz w:val="28"/>
          <w:szCs w:val="28"/>
        </w:rPr>
        <w:t>以下披露内容已涵盖了本公司根据实际生产经营特点制定的具体会计政策和会</w:t>
      </w:r>
      <w:r>
        <w:rPr>
          <w:rFonts w:ascii="宋体" w:hAnsi="宋体" w:cs="宋体" w:eastAsia="宋体" w:hint="default"/>
          <w:spacing w:val="63"/>
          <w:w w:val="95"/>
          <w:sz w:val="28"/>
          <w:szCs w:val="28"/>
        </w:rPr>
        <w:t> </w:t>
      </w:r>
      <w:r>
        <w:rPr>
          <w:rFonts w:ascii="宋体" w:hAnsi="宋体" w:cs="宋体" w:eastAsia="宋体" w:hint="default"/>
          <w:sz w:val="28"/>
          <w:szCs w:val="28"/>
        </w:rPr>
        <w:t>计估计，详见本附注：</w:t>
      </w:r>
    </w:p>
    <w:p>
      <w:pPr>
        <w:spacing w:line="240" w:lineRule="auto" w:before="2"/>
        <w:rPr>
          <w:rFonts w:ascii="宋体" w:hAnsi="宋体" w:cs="宋体" w:eastAsia="宋体" w:hint="default"/>
          <w:sz w:val="20"/>
          <w:szCs w:val="20"/>
        </w:rPr>
      </w:pPr>
    </w:p>
    <w:p>
      <w:pPr>
        <w:spacing w:before="0"/>
        <w:ind w:left="1133" w:right="0" w:firstLine="0"/>
        <w:jc w:val="both"/>
        <w:rPr>
          <w:rFonts w:ascii="宋体" w:hAnsi="宋体" w:cs="宋体" w:eastAsia="宋体" w:hint="default"/>
          <w:sz w:val="21"/>
          <w:szCs w:val="21"/>
        </w:rPr>
      </w:pPr>
      <w:bookmarkStart w:name="1、遵循企业会计准则的声明" w:id="165"/>
      <w:bookmarkEnd w:id="1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70" w:firstLine="480"/>
        <w:jc w:val="both"/>
      </w:pPr>
      <w:r>
        <w:rPr/>
        <w:t>本公司编制的财务报表符合企业会计准则的要求，真实、完整地反映了本公司及本集团 的财务状况、经营成果和现金流量等有关信息。</w:t>
      </w:r>
    </w:p>
    <w:p>
      <w:pPr>
        <w:spacing w:after="0" w:line="312" w:lineRule="exact"/>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72" w:lineRule="auto" w:before="35"/>
        <w:ind w:left="1134" w:right="5952" w:firstLine="0"/>
        <w:jc w:val="left"/>
        <w:rPr>
          <w:rFonts w:ascii="宋体" w:hAnsi="宋体" w:cs="宋体" w:eastAsia="宋体" w:hint="default"/>
          <w:sz w:val="21"/>
          <w:szCs w:val="21"/>
        </w:rPr>
      </w:pPr>
      <w:bookmarkStart w:name="2、会计期间" w:id="166"/>
      <w:bookmarkEnd w:id="1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4"/>
          <w:szCs w:val="24"/>
        </w:rPr>
        <w:t>本集团的会计期间为公历</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日至</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 </w:t>
      </w:r>
      <w:bookmarkStart w:name="3、营业周期" w:id="167"/>
      <w:bookmarkEnd w:id="167"/>
      <w:r>
        <w:rPr>
          <w:rFonts w:ascii="宋体" w:hAnsi="宋体" w:cs="宋体" w:eastAsia="宋体" w:hint="default"/>
          <w:sz w:val="24"/>
          <w:szCs w:val="24"/>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71"/>
        <w:ind w:left="1614" w:right="1033"/>
        <w:jc w:val="left"/>
      </w:pPr>
      <w:r>
        <w:rPr/>
        <w:t>本集团营业周期为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spacing w:before="0"/>
        <w:ind w:left="1133" w:right="0" w:firstLine="0"/>
        <w:jc w:val="both"/>
        <w:rPr>
          <w:rFonts w:ascii="宋体" w:hAnsi="宋体" w:cs="宋体" w:eastAsia="宋体" w:hint="default"/>
          <w:sz w:val="21"/>
          <w:szCs w:val="21"/>
        </w:rPr>
      </w:pPr>
      <w:bookmarkStart w:name="4、记账本位币" w:id="168"/>
      <w:bookmarkEnd w:id="16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613" w:right="1033"/>
        <w:jc w:val="left"/>
      </w:pPr>
      <w:r>
        <w:rPr/>
        <w:t>本集团以人民币为记账本位币。</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33" w:right="0" w:firstLine="0"/>
        <w:jc w:val="both"/>
        <w:rPr>
          <w:rFonts w:ascii="宋体" w:hAnsi="宋体" w:cs="宋体" w:eastAsia="宋体" w:hint="default"/>
          <w:sz w:val="21"/>
          <w:szCs w:val="21"/>
        </w:rPr>
      </w:pPr>
      <w:bookmarkStart w:name="5、同一控制下和非同一控制下企业合并的会计处理方法" w:id="169"/>
      <w:bookmarkEnd w:id="16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033" w:firstLine="480"/>
        <w:jc w:val="left"/>
      </w:pPr>
      <w:r>
        <w:rPr>
          <w:spacing w:val="-3"/>
        </w:rPr>
        <w:t>（</w:t>
      </w:r>
      <w:r>
        <w:rPr>
          <w:rFonts w:ascii="Times New Roman" w:hAnsi="Times New Roman" w:cs="Times New Roman" w:eastAsia="Times New Roman" w:hint="default"/>
          <w:spacing w:val="-3"/>
        </w:rPr>
        <w:t>1</w:t>
      </w:r>
      <w:r>
        <w:rPr>
          <w:spacing w:val="-3"/>
        </w:rPr>
        <w:t>）分步实现企业合并过程中的各项交易的条款、条件以及经济影响符合以下一种或多</w:t>
      </w:r>
      <w:r>
        <w:rPr/>
        <w:t> 种情况，将多次交易事项作为一揽子交易进行会计处理：</w:t>
      </w:r>
    </w:p>
    <w:p>
      <w:pPr>
        <w:pStyle w:val="BodyText"/>
        <w:spacing w:line="291" w:lineRule="exact"/>
        <w:ind w:left="1613" w:right="1033"/>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312" w:lineRule="exact"/>
        <w:ind w:left="1613" w:right="1033"/>
        <w:jc w:val="left"/>
      </w:pPr>
      <w:r>
        <w:rPr>
          <w:rFonts w:ascii="Times New Roman" w:hAnsi="Times New Roman" w:cs="Times New Roman" w:eastAsia="Times New Roman" w:hint="default"/>
        </w:rPr>
        <w:t>2</w:t>
      </w:r>
      <w:r>
        <w:rPr/>
        <w:t>）这些交易整体才能达成一项完整的商业结果；</w:t>
      </w:r>
    </w:p>
    <w:p>
      <w:pPr>
        <w:pStyle w:val="BodyText"/>
        <w:spacing w:line="312" w:lineRule="exact"/>
        <w:ind w:left="1613" w:right="1033"/>
        <w:jc w:val="left"/>
      </w:pPr>
      <w:r>
        <w:rPr>
          <w:rFonts w:ascii="Times New Roman" w:hAnsi="Times New Roman" w:cs="Times New Roman" w:eastAsia="Times New Roman" w:hint="default"/>
        </w:rPr>
        <w:t>3</w:t>
      </w:r>
      <w:r>
        <w:rPr/>
        <w:t>）一项交易的发生取决于其他至少一项交易的发生；</w:t>
      </w:r>
    </w:p>
    <w:p>
      <w:pPr>
        <w:pStyle w:val="BodyText"/>
        <w:spacing w:line="312" w:lineRule="exact"/>
        <w:ind w:left="1613" w:right="1033"/>
        <w:jc w:val="left"/>
      </w:pPr>
      <w:r>
        <w:rPr>
          <w:rFonts w:ascii="Times New Roman" w:hAnsi="Times New Roman" w:cs="Times New Roman" w:eastAsia="Times New Roman" w:hint="default"/>
        </w:rPr>
        <w:t>4</w:t>
      </w:r>
      <w:r>
        <w:rPr/>
        <w:t>）一项交易单独看是不经济的，但是和其他交易一并考虑时是最终的。</w:t>
      </w:r>
    </w:p>
    <w:p>
      <w:pPr>
        <w:pStyle w:val="BodyText"/>
        <w:spacing w:line="312" w:lineRule="exact"/>
        <w:ind w:left="1613" w:right="1033"/>
        <w:jc w:val="left"/>
      </w:pPr>
      <w:r>
        <w:rPr/>
        <w:t>（</w:t>
      </w:r>
      <w:r>
        <w:rPr>
          <w:rFonts w:ascii="Times New Roman" w:hAnsi="Times New Roman" w:cs="Times New Roman" w:eastAsia="Times New Roman" w:hint="default"/>
        </w:rPr>
        <w:t>2</w:t>
      </w:r>
      <w:r>
        <w:rPr/>
        <w:t>）同一控制下的企业合并</w:t>
      </w:r>
    </w:p>
    <w:p>
      <w:pPr>
        <w:pStyle w:val="BodyText"/>
        <w:spacing w:line="312" w:lineRule="exact" w:before="20"/>
        <w:ind w:left="1614" w:right="994"/>
        <w:jc w:val="left"/>
      </w:pPr>
      <w:r>
        <w:rPr>
          <w:rFonts w:ascii="Times New Roman" w:hAnsi="Times New Roman" w:cs="Times New Roman" w:eastAsia="Times New Roman" w:hint="default"/>
        </w:rPr>
        <w:t>1</w:t>
      </w:r>
      <w:r>
        <w:rPr/>
        <w:t>）个别财务报表 </w:t>
      </w:r>
      <w:r>
        <w:rPr>
          <w:spacing w:val="-3"/>
        </w:rPr>
        <w:t>公司以支付现金、转让非现金资产、承担债务方式或以发行权益性证券作为合并对价的，</w:t>
      </w:r>
    </w:p>
    <w:p>
      <w:pPr>
        <w:pStyle w:val="BodyText"/>
        <w:spacing w:line="312" w:lineRule="exact"/>
        <w:ind w:left="1134" w:right="1170"/>
        <w:jc w:val="both"/>
      </w:pPr>
      <w:r>
        <w:rPr/>
        <w:t>在合并日按照被合并方所有者权益在最终控制方合并财务报表中的账面价值的份额作为长期 股权投资的初始投资成本。长期股权投资初始投资成本与支付合并对价之间的差额，调整资 本公积；资本公积不足冲减的，调整留存收益；如果存在或有对价并需要确认预计负债或资 产，该预计负债或资产金额与后续或有对价结算金额间的差额，调整资本公积（资本溢价或 股本溢价），资本公积不足的，调整留存收益。</w:t>
      </w:r>
    </w:p>
    <w:p>
      <w:pPr>
        <w:pStyle w:val="BodyText"/>
        <w:spacing w:line="312" w:lineRule="exact"/>
        <w:ind w:left="1134" w:right="994" w:firstLine="480"/>
        <w:jc w:val="left"/>
      </w:pPr>
      <w:r>
        <w:rPr/>
        <w:t>对于通过多次交易最终实现企业合并的，属于一揽子交易的，将各项交易作为一项取得 控制权的交易进行会计处理；不属于一揽子交易的，在取得控制权日，长期股权投资初始投 资成本，与达到合并前的长期股权投资账面价值加上合并日进一步取得股份新支付对价的账 面价值之和的差额，调整资本公积；资本公积不足冲减的，调整留存收益。对于合并日之前 </w:t>
      </w:r>
      <w:r>
        <w:rPr>
          <w:spacing w:val="-2"/>
        </w:rPr>
        <w:t>持有的股权投资，因采用权益法核算或金融工具确认和计量准则核算而确认的其他综合收益，</w:t>
      </w:r>
      <w:r>
        <w:rPr/>
        <w:t> 暂不进行会计处理，直至处置该项投资时采用与被投资单位直接处置相关资产或负债相同的 基础进行会计处理；因采用权益法核算而确认的的被投资单位净资产中除净损益、其他综合 收益和利润分配以外的所有者权益其他变动，暂不进行会计处理，直至处置该项投资时转入 当期损益。</w:t>
      </w:r>
    </w:p>
    <w:p>
      <w:pPr>
        <w:pStyle w:val="BodyText"/>
        <w:spacing w:line="283" w:lineRule="exact"/>
        <w:ind w:left="1134" w:right="1033" w:firstLine="480"/>
        <w:jc w:val="left"/>
      </w:pPr>
      <w:r>
        <w:rPr/>
        <w:t>合并发生的各项直接相关费用，包括为进行合并而支付的审计费用、评估费用、法律服</w:t>
      </w:r>
    </w:p>
    <w:p>
      <w:pPr>
        <w:pStyle w:val="BodyText"/>
        <w:spacing w:line="312" w:lineRule="exact" w:before="30"/>
        <w:ind w:left="1134" w:right="1170"/>
        <w:jc w:val="both"/>
      </w:pPr>
      <w:r>
        <w:rPr/>
        <w:t>务费用等，于发生时直接计入当期损益；与发行权益性工具作为合并对价直接相关的交易费 用，冲减资本公积，资本公积不足冲减的，依次冲减盈余公积和未分配利润；与发行债务性 工具作为合并对价直接相关的交易费用，作为计入债务性工具的初始确认金额。</w:t>
      </w:r>
    </w:p>
    <w:p>
      <w:pPr>
        <w:pStyle w:val="BodyText"/>
        <w:spacing w:line="283" w:lineRule="exact"/>
        <w:ind w:left="1613" w:right="1033"/>
        <w:jc w:val="left"/>
      </w:pPr>
      <w:r>
        <w:rPr/>
        <w:t>被合并方存在合并财务报表，则以合并日被合并方合并财务中归属于母公司的所有者权</w:t>
      </w:r>
    </w:p>
    <w:p>
      <w:pPr>
        <w:spacing w:after="0" w:line="283"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3" w:lineRule="exact" w:before="26"/>
        <w:ind w:left="1134" w:right="0"/>
        <w:jc w:val="both"/>
      </w:pPr>
      <w:r>
        <w:rPr/>
        <w:t>益为基础确定长期股权投资的初始投资成本。</w:t>
      </w:r>
    </w:p>
    <w:p>
      <w:pPr>
        <w:pStyle w:val="BodyText"/>
        <w:spacing w:line="312" w:lineRule="exact" w:before="29"/>
        <w:ind w:left="1614" w:right="1152"/>
        <w:jc w:val="left"/>
      </w:pPr>
      <w:r>
        <w:rPr>
          <w:rFonts w:ascii="Times New Roman" w:hAnsi="Times New Roman" w:cs="Times New Roman" w:eastAsia="Times New Roman" w:hint="default"/>
        </w:rPr>
        <w:t>2</w:t>
      </w:r>
      <w:r>
        <w:rPr/>
        <w:t>）合并财务报表 合并方在企业合并中取得的资产和负债，按照合并日在被合并方所有者权益在最终控制</w:t>
      </w:r>
    </w:p>
    <w:p>
      <w:pPr>
        <w:pStyle w:val="BodyText"/>
        <w:spacing w:line="283" w:lineRule="exact"/>
        <w:ind w:left="1134" w:right="0"/>
        <w:jc w:val="both"/>
      </w:pPr>
      <w:r>
        <w:rPr/>
        <w:t>方合并财务报表中的账面价值计量。</w:t>
      </w:r>
    </w:p>
    <w:p>
      <w:pPr>
        <w:pStyle w:val="BodyText"/>
        <w:spacing w:line="312" w:lineRule="exact" w:before="30"/>
        <w:ind w:left="1134" w:right="1170" w:firstLine="480"/>
        <w:jc w:val="both"/>
      </w:pPr>
      <w:r>
        <w:rPr/>
        <w:t>对于通过多次交易最终实现企业合并的，属于一揽子交易的，将各项交易作为一项取得 控制权的交易进行会计处理；不属于一揽子交易的，合并方在达到合并之前持有的长期股权 投资，在取得日与合并方和被合并方同处于同一方最终控制之日孰晚日与合并日之间已确认 有关损益、其他综合收益和其他所有者权益变动，分别冲减比较报表期间的期初留存收益或 当期损益。</w:t>
      </w:r>
    </w:p>
    <w:p>
      <w:pPr>
        <w:pStyle w:val="BodyText"/>
        <w:spacing w:line="312" w:lineRule="exact"/>
        <w:ind w:left="1134" w:right="1169" w:firstLine="480"/>
        <w:jc w:val="both"/>
      </w:pPr>
      <w:r>
        <w:rPr/>
        <w:t>被合并各方采用的会计政策与本公司不一致的，本公司在合并日按照本公司会计政策进 行调整，在此基础上按照企业会计准则规定确认。</w:t>
      </w:r>
    </w:p>
    <w:p>
      <w:pPr>
        <w:pStyle w:val="BodyText"/>
        <w:spacing w:line="312" w:lineRule="exact"/>
        <w:ind w:left="1613" w:right="1153"/>
        <w:jc w:val="left"/>
      </w:pPr>
      <w:r>
        <w:rPr/>
        <w:t>（</w:t>
      </w:r>
      <w:r>
        <w:rPr>
          <w:rFonts w:ascii="Times New Roman" w:hAnsi="Times New Roman" w:cs="Times New Roman" w:eastAsia="Times New Roman" w:hint="default"/>
        </w:rPr>
        <w:t>3</w:t>
      </w:r>
      <w:r>
        <w:rPr/>
        <w:t>）非同一控制下企业合并 对于非同一控制下的企业合并，合并成本为本集团在购买日为取得对被购买方的控制权</w:t>
      </w:r>
    </w:p>
    <w:p>
      <w:pPr>
        <w:pStyle w:val="BodyText"/>
        <w:spacing w:line="312" w:lineRule="exact"/>
        <w:ind w:right="1170"/>
        <w:jc w:val="both"/>
      </w:pPr>
      <w:r>
        <w:rPr/>
        <w:t>而付出的资产、发生或承担的负债以及发行的权益工具或债务性的公允价值。在合并合同中 对可能影响合并成本的未来事项作出约定的，购买日如果估计未来事项很可能发生并且对合 并成本的影响金额能够可靠计量的，也计入合并成本。</w:t>
      </w:r>
    </w:p>
    <w:p>
      <w:pPr>
        <w:pStyle w:val="BodyText"/>
        <w:spacing w:line="312" w:lineRule="exact"/>
        <w:ind w:right="1169" w:firstLine="480"/>
        <w:jc w:val="both"/>
      </w:pPr>
      <w:r>
        <w:rPr/>
        <w:t>本集团为进行企业合并发生的审计、法律服务、评估咨询等中介费用以及其他相关管理 费用，于发生时计入当期损益；本集团作为合并对价发行的权益性工具或债务性工具的交易 费用，计入权益性工具或债务性工具的初始确认金额。</w:t>
      </w:r>
    </w:p>
    <w:p>
      <w:pPr>
        <w:pStyle w:val="BodyText"/>
        <w:spacing w:line="312" w:lineRule="exact"/>
        <w:ind w:right="1170" w:firstLine="480"/>
        <w:jc w:val="both"/>
      </w:pPr>
      <w:r>
        <w:rPr/>
        <w:t>本集团对合并成本大于合并中取得的被购买方可辨认净资产公允价值份额的差额，确认 为商誉。本集团对合并成本小于合并中取得的被购买方可辨认净资产公允价值份额的，经复 核后合并成本仍小于合并中取得的被购买方可辨认净资产公允价值份额的差额，计入当期损</w:t>
      </w:r>
    </w:p>
    <w:p>
      <w:pPr>
        <w:pStyle w:val="BodyText"/>
        <w:spacing w:line="283" w:lineRule="exact"/>
        <w:ind w:right="0"/>
        <w:jc w:val="both"/>
      </w:pPr>
      <w:r>
        <w:rPr/>
        <w:t>益。</w:t>
      </w:r>
    </w:p>
    <w:p>
      <w:pPr>
        <w:pStyle w:val="BodyText"/>
        <w:spacing w:line="312" w:lineRule="exact" w:before="29"/>
        <w:ind w:left="1134" w:right="1170" w:firstLine="480"/>
        <w:jc w:val="both"/>
      </w:pPr>
      <w:r>
        <w:rPr/>
        <w:t>通过多次交换交易分步实现的非同一控制下企业合并，属于一揽子交易的，将各项交易 作为一项取得控制权的交易进行会计处理；不属于一揽子交易的，区分个别财务报表和合并 财务报表进行相关会计处理：</w:t>
      </w:r>
    </w:p>
    <w:p>
      <w:pPr>
        <w:pStyle w:val="BodyText"/>
        <w:spacing w:line="312" w:lineRule="exact"/>
        <w:ind w:left="1134" w:right="1132" w:firstLine="480"/>
        <w:jc w:val="both"/>
      </w:pPr>
      <w:r>
        <w:rPr>
          <w:rFonts w:ascii="Times New Roman" w:hAnsi="Times New Roman" w:cs="Times New Roman" w:eastAsia="Times New Roman" w:hint="default"/>
          <w:spacing w:val="-3"/>
        </w:rPr>
        <w:t>1</w:t>
      </w:r>
      <w:r>
        <w:rPr>
          <w:spacing w:val="-3"/>
        </w:rPr>
        <w:t>）在个别财务报表中，合并日之前持有的股权投资采用权益法核算的，以购买日之前所</w:t>
      </w:r>
      <w:r>
        <w:rPr/>
        <w:t> 持被购买方的股权投资的账面价值与购买日新增投资成本之和，作为该项投资的初始投资成 本；购买日之前持有的股权投资因采用权益法核算而确认的其他综合收益，在处置该项投资 时采用与被投资单位直接相关资产或负债相同的基础进行会计处理。</w:t>
      </w:r>
    </w:p>
    <w:p>
      <w:pPr>
        <w:pStyle w:val="BodyText"/>
        <w:spacing w:line="312" w:lineRule="exact"/>
        <w:ind w:right="1169" w:firstLine="480"/>
        <w:jc w:val="both"/>
      </w:pPr>
      <w:r>
        <w:rPr/>
        <w:t>合并日之前持有的股权投资采用金融工具确认和计量准则核算的，以该股权投资在合并 日的公允价值加上新增投资成本之和，作为合并日的初始投资成本。原持有股权的公允价值 与账面价值之间的差额以及原计入其他综合收益的累计公允价值变动应全部转入合并日当期 的投资收益。</w:t>
      </w:r>
    </w:p>
    <w:p>
      <w:pPr>
        <w:pStyle w:val="BodyText"/>
        <w:spacing w:line="312" w:lineRule="exact"/>
        <w:ind w:right="1132" w:firstLine="480"/>
        <w:jc w:val="both"/>
      </w:pPr>
      <w:r>
        <w:rPr>
          <w:rFonts w:ascii="Times New Roman" w:hAnsi="Times New Roman" w:cs="Times New Roman" w:eastAsia="Times New Roman" w:hint="default"/>
          <w:spacing w:val="-3"/>
        </w:rPr>
        <w:t>2</w:t>
      </w:r>
      <w:r>
        <w:rPr>
          <w:spacing w:val="-3"/>
        </w:rPr>
        <w:t>）在合并财务报表中，对于购买日之前持有的被购买方的股权，按照该股权在购买日的</w:t>
      </w:r>
      <w:r>
        <w:rPr/>
        <w:t> 公允价值进行重新计量，公允价值与账面价值的差额计入当期投资收益；购买日之前持有的 被购买方的股权涉及权益法核算下的其他综合收益等的，与其相关的其他综合收益等转为购 买日所属当期投资收益。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6、合并财务报表的编制方法" w:id="170"/>
      <w:bookmarkEnd w:id="17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0" w:firstLine="480"/>
        <w:jc w:val="both"/>
      </w:pPr>
      <w:r>
        <w:rPr>
          <w:spacing w:val="-2"/>
        </w:rPr>
        <w:t>本公司合并财务报表的合并范围以控制为基础确定，所有子公司</w:t>
      </w:r>
      <w:r>
        <w:rPr>
          <w:rFonts w:ascii="Times New Roman" w:hAnsi="Times New Roman" w:cs="Times New Roman" w:eastAsia="Times New Roman" w:hint="default"/>
          <w:spacing w:val="-2"/>
        </w:rPr>
        <w:t>(</w:t>
      </w:r>
      <w:r>
        <w:rPr>
          <w:spacing w:val="-2"/>
        </w:rPr>
        <w:t>包括母公司控制的单独</w:t>
      </w:r>
      <w:r>
        <w:rPr/>
        <w:t> 主体</w:t>
      </w:r>
      <w:r>
        <w:rPr>
          <w:rFonts w:ascii="Times New Roman" w:hAnsi="Times New Roman" w:cs="Times New Roman" w:eastAsia="Times New Roman" w:hint="default"/>
        </w:rPr>
        <w:t>)</w:t>
      </w:r>
      <w:r>
        <w:rPr/>
        <w:t>均纳入合并财务报表。</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134" w:right="1170" w:firstLine="480"/>
        <w:jc w:val="both"/>
      </w:pPr>
      <w:r>
        <w:rPr/>
        <w:t>所有纳入合并报表合并范围的子公司所采用的会计政策、会计期间与本公司一致，如子 公司采用的会计政策、会计期间与本公司不一致的，在编制合并财务报表时，按本公司的会 计政策、会计期间进行必要的调整。</w:t>
      </w:r>
    </w:p>
    <w:p>
      <w:pPr>
        <w:pStyle w:val="BodyText"/>
        <w:spacing w:line="283" w:lineRule="exact"/>
        <w:ind w:left="1614" w:right="994"/>
        <w:jc w:val="left"/>
      </w:pPr>
      <w:r>
        <w:rPr>
          <w:spacing w:val="-3"/>
        </w:rPr>
        <w:t>合并报表时抵消本公司与子公司、各子公司相互之间发生的内部交易对合并资产负债表、</w:t>
      </w:r>
    </w:p>
    <w:p>
      <w:pPr>
        <w:pStyle w:val="BodyText"/>
        <w:spacing w:line="312" w:lineRule="exact" w:before="30"/>
        <w:ind w:left="1613" w:right="1153" w:hanging="480"/>
        <w:jc w:val="left"/>
      </w:pPr>
      <w:r>
        <w:rPr/>
        <w:t>合并利润表、合并现金流量表、合并股东权益变动表的影响。 子公司少数股东分担的当期亏损超过了少数股东在该子公司期初所有者权益中所享有的</w:t>
      </w:r>
    </w:p>
    <w:p>
      <w:pPr>
        <w:pStyle w:val="BodyText"/>
        <w:spacing w:line="312" w:lineRule="exact"/>
        <w:ind w:left="1614" w:right="1152" w:hanging="480"/>
        <w:jc w:val="left"/>
      </w:pPr>
      <w:r>
        <w:rPr/>
        <w:t>份额的，其余额仍应当冲减少数股东权益。 在报告期内，若因同一控制下企业合并增加子公司以及业务的，则调整合并资产负债表</w:t>
      </w:r>
    </w:p>
    <w:p>
      <w:pPr>
        <w:pStyle w:val="BodyText"/>
        <w:spacing w:line="312" w:lineRule="exact"/>
        <w:ind w:left="1134" w:right="994"/>
        <w:jc w:val="left"/>
      </w:pPr>
      <w:r>
        <w:rPr>
          <w:spacing w:val="-3"/>
        </w:rPr>
        <w:t>的期初数；将子公司以及业务合并当期期初至报告期末的收入、费用、利润纳入合并利润表；</w:t>
      </w:r>
      <w:r>
        <w:rPr>
          <w:spacing w:val="-81"/>
        </w:rPr>
        <w:t> </w:t>
      </w:r>
      <w:r>
        <w:rPr>
          <w:spacing w:val="-81"/>
        </w:rPr>
      </w:r>
      <w:r>
        <w:rPr/>
        <w:t>将子公司以及业务合并当期期初至报告期末的现金流量纳入合并现金流量表。</w:t>
      </w:r>
    </w:p>
    <w:p>
      <w:pPr>
        <w:pStyle w:val="BodyText"/>
        <w:spacing w:line="312" w:lineRule="exact"/>
        <w:ind w:right="1170" w:firstLine="480"/>
        <w:jc w:val="both"/>
      </w:pPr>
      <w:r>
        <w:rPr/>
        <w:t>在报告期内，若因非同一控制下企业合并增加的子公司以及业务的，则不调整合并资产 负债表期初数；将子公司以及业务购买日至报告期末的收入、费用、利润纳入合并利润表； 该子公司以及业务自购买日至报告期末的现金流量纳入合并现金流量表。</w:t>
      </w:r>
    </w:p>
    <w:p>
      <w:pPr>
        <w:pStyle w:val="BodyText"/>
        <w:spacing w:line="312" w:lineRule="exact"/>
        <w:ind w:right="995" w:firstLine="480"/>
        <w:jc w:val="left"/>
      </w:pPr>
      <w:r>
        <w:rPr/>
        <w:t>在报告期内，本公司处置子公司以及业务，则该公司以及业务期初至处置日的收入、费 </w:t>
      </w:r>
      <w:r>
        <w:rPr>
          <w:spacing w:val="-2"/>
        </w:rPr>
        <w:t>用、利润纳入合并利润表；该子公司以及业务期初至处置日的现金流量纳入合并现金流量表。</w:t>
      </w:r>
    </w:p>
    <w:p>
      <w:pPr>
        <w:pStyle w:val="BodyText"/>
        <w:spacing w:line="237" w:lineRule="auto" w:before="13"/>
        <w:ind w:left="1134" w:right="1139"/>
        <w:jc w:val="both"/>
      </w:pPr>
      <w:r>
        <w:rPr/>
        <w:t>本公司因处置部分股权投资或其他原因丧失了对原有子公司控制权的，在合并财务报表中， 对于剩余股权，按照其在丧失控制权日的公允价值进行重新计量。处置股权取得的对价与剩 余股权公允价值之和，减去按原持股比例计算应享有原有子公司自购买日开始持续计算的净 资产的份额之间的差额，计入丧失控制权当期的投资收益。与原有子公司股权投资相关的其 他综合收益，应当在丧失控制权时转为当期投资收益。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134" w:right="1033" w:firstLine="0"/>
        <w:jc w:val="left"/>
        <w:rPr>
          <w:rFonts w:ascii="宋体" w:hAnsi="宋体" w:cs="宋体" w:eastAsia="宋体" w:hint="default"/>
          <w:sz w:val="21"/>
          <w:szCs w:val="21"/>
        </w:rPr>
      </w:pPr>
      <w:bookmarkStart w:name="7、合营安排分类及共同经营会计处理方法" w:id="171"/>
      <w:bookmarkEnd w:id="17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4" w:right="1152"/>
        <w:jc w:val="left"/>
      </w:pPr>
      <w:r>
        <w:rPr/>
        <w:t>（</w:t>
      </w:r>
      <w:r>
        <w:rPr>
          <w:rFonts w:ascii="Times New Roman" w:hAnsi="Times New Roman" w:cs="Times New Roman" w:eastAsia="Times New Roman" w:hint="default"/>
        </w:rPr>
        <w:t>1</w:t>
      </w:r>
      <w:r>
        <w:rPr/>
        <w:t>）合营安排的分类 本公司根据合营安排的结构、法律形式以及合营安排中约定的条款、其他相关事实和情</w:t>
      </w:r>
    </w:p>
    <w:p>
      <w:pPr>
        <w:pStyle w:val="BodyText"/>
        <w:spacing w:line="312" w:lineRule="exact"/>
        <w:ind w:left="1614" w:right="1152" w:hanging="480"/>
        <w:jc w:val="left"/>
      </w:pPr>
      <w:r>
        <w:rPr/>
        <w:t>况等因素，将合营安排分为共同经营和合营企业。 未通过单独主体达成的合营安排，划分为共同经营，通过单独主体达成的合营安排，通</w:t>
      </w:r>
    </w:p>
    <w:p>
      <w:pPr>
        <w:pStyle w:val="BodyText"/>
        <w:spacing w:line="312" w:lineRule="exact"/>
        <w:ind w:left="1134" w:right="1152"/>
        <w:jc w:val="left"/>
      </w:pPr>
      <w:r>
        <w:rPr/>
        <w:t>常划分为合营企业；但有确凿证据表明满足下列任一条件并且符合相关法律法规规定的合营 安排划分为共同经营：</w:t>
      </w:r>
    </w:p>
    <w:p>
      <w:pPr>
        <w:pStyle w:val="BodyText"/>
        <w:spacing w:line="312" w:lineRule="exact"/>
        <w:ind w:left="1134" w:right="1131" w:firstLine="480"/>
        <w:jc w:val="both"/>
      </w:pPr>
      <w:r>
        <w:rPr>
          <w:rFonts w:ascii="Times New Roman" w:hAnsi="Times New Roman" w:cs="Times New Roman" w:eastAsia="Times New Roman" w:hint="default"/>
          <w:spacing w:val="-3"/>
        </w:rPr>
        <w:t>1</w:t>
      </w:r>
      <w:r>
        <w:rPr>
          <w:spacing w:val="-3"/>
        </w:rPr>
        <w:t>）合营安排的法律形式表明，合营方对该安排中的相关资产和负债分别享有权利和承担</w:t>
      </w:r>
      <w:r>
        <w:rPr/>
        <w:t> 义务；</w:t>
      </w:r>
    </w:p>
    <w:p>
      <w:pPr>
        <w:pStyle w:val="BodyText"/>
        <w:spacing w:line="312" w:lineRule="exact"/>
        <w:ind w:left="1134" w:right="1131" w:firstLine="480"/>
        <w:jc w:val="both"/>
      </w:pPr>
      <w:r>
        <w:rPr>
          <w:rFonts w:ascii="Times New Roman" w:hAnsi="Times New Roman" w:cs="Times New Roman" w:eastAsia="Times New Roman" w:hint="default"/>
          <w:spacing w:val="-3"/>
        </w:rPr>
        <w:t>2</w:t>
      </w:r>
      <w:r>
        <w:rPr>
          <w:spacing w:val="-3"/>
        </w:rPr>
        <w:t>）合营安排的合同条款约定，合营方对该安排中的相关资产和负债分别享有权利和承担</w:t>
      </w:r>
      <w:r>
        <w:rPr/>
        <w:t> 义务；</w:t>
      </w:r>
    </w:p>
    <w:p>
      <w:pPr>
        <w:pStyle w:val="BodyText"/>
        <w:spacing w:line="312" w:lineRule="exact"/>
        <w:ind w:left="1134" w:right="1131" w:firstLine="480"/>
        <w:jc w:val="both"/>
      </w:pPr>
      <w:r>
        <w:rPr>
          <w:rFonts w:ascii="Times New Roman" w:hAnsi="Times New Roman" w:cs="Times New Roman" w:eastAsia="Times New Roman" w:hint="default"/>
          <w:spacing w:val="-3"/>
        </w:rPr>
        <w:t>3</w:t>
      </w:r>
      <w:r>
        <w:rPr>
          <w:spacing w:val="-3"/>
        </w:rPr>
        <w:t>）其他相关事实和情况表明，合营方对该安排中的相关资产和负债分别享有权利和承担</w:t>
      </w:r>
      <w:r>
        <w:rPr/>
        <w:t> 义务，如合营方享有与合营安排相关的几乎所有产出，并且该安排中负债的清偿持续依赖于 合营方的支持。</w:t>
      </w:r>
    </w:p>
    <w:p>
      <w:pPr>
        <w:pStyle w:val="BodyText"/>
        <w:spacing w:line="312" w:lineRule="exact"/>
        <w:ind w:left="1613" w:right="1153"/>
        <w:jc w:val="left"/>
      </w:pPr>
      <w:r>
        <w:rPr/>
        <w:t>（</w:t>
      </w:r>
      <w:r>
        <w:rPr>
          <w:rFonts w:ascii="Times New Roman" w:hAnsi="Times New Roman" w:cs="Times New Roman" w:eastAsia="Times New Roman" w:hint="default"/>
        </w:rPr>
        <w:t>2</w:t>
      </w:r>
      <w:r>
        <w:rPr/>
        <w:t>）共同经营会计处理方法 本公司确认共同经营中利益份额中与本公司相关的下列项目，并按照相关企业会计准则</w:t>
      </w:r>
    </w:p>
    <w:p>
      <w:pPr>
        <w:pStyle w:val="BodyText"/>
        <w:spacing w:line="283" w:lineRule="exact"/>
        <w:ind w:right="1033"/>
        <w:jc w:val="left"/>
      </w:pPr>
      <w:r>
        <w:rPr/>
        <w:t>的规定进行会计处理：</w:t>
      </w:r>
    </w:p>
    <w:p>
      <w:pPr>
        <w:pStyle w:val="BodyText"/>
        <w:spacing w:line="321" w:lineRule="exact"/>
        <w:ind w:left="1613" w:right="1033"/>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312" w:lineRule="exact"/>
        <w:ind w:left="1613" w:right="1033"/>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312" w:lineRule="exact"/>
        <w:ind w:left="1613" w:right="1033"/>
        <w:jc w:val="left"/>
      </w:pPr>
      <w:r>
        <w:rPr>
          <w:rFonts w:ascii="Times New Roman" w:hAnsi="Times New Roman" w:cs="Times New Roman" w:eastAsia="Times New Roman" w:hint="default"/>
        </w:rPr>
        <w:t>3</w:t>
      </w:r>
      <w:r>
        <w:rPr/>
        <w:t>）确认出售其享有的共同经营产出份额所产生的收入；</w:t>
      </w:r>
    </w:p>
    <w:p>
      <w:pPr>
        <w:pStyle w:val="BodyText"/>
        <w:spacing w:line="322" w:lineRule="exact"/>
        <w:ind w:left="1613" w:right="1033"/>
        <w:jc w:val="left"/>
      </w:pPr>
      <w:r>
        <w:rPr>
          <w:rFonts w:ascii="Times New Roman" w:hAnsi="Times New Roman" w:cs="Times New Roman" w:eastAsia="Times New Roman" w:hint="default"/>
        </w:rPr>
        <w:t>4</w:t>
      </w:r>
      <w:r>
        <w:rPr/>
        <w:t>）按其份额确认共同经营因出售资产所产生的收入；</w:t>
      </w:r>
    </w:p>
    <w:p>
      <w:pPr>
        <w:spacing w:after="0" w:line="32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614" w:right="1152"/>
        <w:jc w:val="left"/>
      </w:pPr>
      <w:r>
        <w:rPr>
          <w:rFonts w:ascii="Times New Roman" w:hAnsi="Times New Roman" w:cs="Times New Roman" w:eastAsia="Times New Roman" w:hint="default"/>
        </w:rPr>
        <w:t>5</w:t>
      </w:r>
      <w:r>
        <w:rPr/>
        <w:t>）确认单独所发生的费用，以及按其份额确认共同经营发生的费用。 本公司向共同经营投出或出售资产等（该资产构成业务的除外），在该资产等由共同经</w:t>
      </w:r>
    </w:p>
    <w:p>
      <w:pPr>
        <w:pStyle w:val="BodyText"/>
        <w:spacing w:line="312" w:lineRule="exact"/>
        <w:ind w:right="1132"/>
        <w:jc w:val="both"/>
      </w:pPr>
      <w:r>
        <w:rPr/>
        <w:t>营出售给第三方之前，仅确认因该交易产生的损益中归属于共同经营其他参与方的部分。投 </w:t>
      </w:r>
      <w:r>
        <w:rPr>
          <w:spacing w:val="-3"/>
        </w:rPr>
        <w:t>出或出售的资产发生符合《企业会计准则第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资产减值》等规定的资产减值损失的，本公</w:t>
      </w:r>
    </w:p>
    <w:p>
      <w:pPr>
        <w:pStyle w:val="BodyText"/>
        <w:spacing w:line="312" w:lineRule="exact"/>
        <w:ind w:left="1613" w:right="1153" w:hanging="480"/>
        <w:jc w:val="left"/>
      </w:pPr>
      <w:r>
        <w:rPr/>
        <w:t>司全额确认该损失。 本公司自共同经营构成资产等（该资产构成业务的除外），在该资产等出售给第三方之</w:t>
      </w:r>
    </w:p>
    <w:p>
      <w:pPr>
        <w:pStyle w:val="BodyText"/>
        <w:spacing w:line="282" w:lineRule="exact"/>
        <w:ind w:right="0"/>
        <w:jc w:val="both"/>
      </w:pPr>
      <w:r>
        <w:rPr/>
        <w:t>前，仅确认因该交易产生的损益中归属于共同经营其他参与方的部分。购入的资产发生符合</w:t>
      </w:r>
    </w:p>
    <w:p>
      <w:pPr>
        <w:pStyle w:val="BodyText"/>
        <w:spacing w:line="312" w:lineRule="exact" w:before="29"/>
        <w:ind w:left="1134" w:right="1131"/>
        <w:jc w:val="both"/>
      </w:pPr>
      <w:r>
        <w:rPr>
          <w:spacing w:val="-2"/>
        </w:rPr>
        <w:t>《企业会计第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资产减值》等规定的资产减值损失的，本公司按承担的份额确认该部分损</w:t>
      </w:r>
      <w:r>
        <w:rPr/>
        <w:t> 失。</w:t>
      </w:r>
    </w:p>
    <w:p>
      <w:pPr>
        <w:pStyle w:val="BodyText"/>
        <w:spacing w:line="312" w:lineRule="exact"/>
        <w:ind w:left="1134" w:right="1170" w:firstLine="480"/>
        <w:jc w:val="both"/>
      </w:pPr>
      <w:r>
        <w:rPr/>
        <w:t>本公司对共同经营不享有共同控制，如果本公司享有该共同经营相关资产且承担该共同 经营相关负债的，仍按上述原则进行会计处理；否则，应当按照相关企业会计准则的规定进 行会计处理。</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8、现金及现金等价物的确定标准" w:id="172"/>
      <w:bookmarkEnd w:id="17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1" w:firstLine="480"/>
        <w:jc w:val="both"/>
      </w:pPr>
      <w:r>
        <w:rPr/>
        <w:t>本集团现金流量表之现金指库存现金以及可以随时用于支付的存款。现金流量表之现金 </w:t>
      </w:r>
      <w:r>
        <w:rPr>
          <w:spacing w:val="-2"/>
        </w:rPr>
        <w:t>等价物指持有期限不超过</w:t>
      </w:r>
      <w:r>
        <w:rPr>
          <w:rFonts w:ascii="Times New Roman" w:hAnsi="Times New Roman" w:cs="Times New Roman" w:eastAsia="Times New Roman" w:hint="default"/>
          <w:spacing w:val="-2"/>
        </w:rPr>
        <w:t>3</w:t>
      </w:r>
      <w:r>
        <w:rPr>
          <w:spacing w:val="-2"/>
        </w:rPr>
        <w:t>个月、流动性强、易于转换为已知金额现金且价值变动风险很小的</w:t>
      </w:r>
      <w:r>
        <w:rPr/>
        <w:t> 投资。</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9、外币业务和外币报表折算" w:id="173"/>
      <w:bookmarkEnd w:id="17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3" w:right="1153"/>
        <w:jc w:val="left"/>
      </w:pPr>
      <w:r>
        <w:rPr/>
        <w:t>外币业务交易在初始确认时，采用交易发生日的即期汇率折算为人民币金额。 资产负债表日，外币货币性项目采用资产负债表日即期汇率折算，因汇率不同而产生的</w:t>
      </w:r>
    </w:p>
    <w:p>
      <w:pPr>
        <w:pStyle w:val="BodyText"/>
        <w:spacing w:line="312" w:lineRule="exact"/>
        <w:ind w:right="1139"/>
        <w:jc w:val="both"/>
      </w:pPr>
      <w:r>
        <w:rPr/>
        <w:t>汇兑差额，除与购建符合资本化条件资产有关的外币专门借款本金及利息的汇兑差额外，计 入当期损益；以历史成本计量的外币非货币性项目仍采用交易发生日的即期汇率折算，不改 变其人民币金额。</w:t>
      </w:r>
    </w:p>
    <w:p>
      <w:pPr>
        <w:pStyle w:val="BodyText"/>
        <w:spacing w:line="237" w:lineRule="auto" w:before="13"/>
        <w:ind w:right="1139"/>
        <w:jc w:val="both"/>
      </w:pPr>
      <w:r>
        <w:rPr/>
        <w:t>以公允价值计量的外币非货币性项目，采用公允价值确定日的即期汇率折算，差额计入当期 损益或其他综合收益。如属于可供出售外币非货币性项目的，形成的汇兑差额计入其他综合 收益。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133" w:right="0" w:firstLine="0"/>
        <w:jc w:val="both"/>
        <w:rPr>
          <w:rFonts w:ascii="宋体" w:hAnsi="宋体" w:cs="宋体" w:eastAsia="宋体" w:hint="default"/>
          <w:sz w:val="21"/>
          <w:szCs w:val="21"/>
        </w:rPr>
      </w:pPr>
      <w:bookmarkStart w:name="10、金融工具" w:id="174"/>
      <w:bookmarkEnd w:id="174"/>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313" w:lineRule="exact"/>
        <w:ind w:left="1614" w:right="1033"/>
        <w:jc w:val="left"/>
      </w:pPr>
      <w:r>
        <w:rPr/>
        <w:t>金融工具包括金融资产、金融负债和权益工具。</w:t>
      </w:r>
    </w:p>
    <w:p>
      <w:pPr>
        <w:pStyle w:val="BodyText"/>
        <w:spacing w:line="312" w:lineRule="exact" w:before="29"/>
        <w:ind w:left="1614" w:right="1152"/>
        <w:jc w:val="left"/>
      </w:pPr>
      <w:r>
        <w:rPr/>
        <w:t>（</w:t>
      </w:r>
      <w:r>
        <w:rPr>
          <w:rFonts w:ascii="Times New Roman" w:hAnsi="Times New Roman" w:cs="Times New Roman" w:eastAsia="Times New Roman" w:hint="default"/>
        </w:rPr>
        <w:t>1</w:t>
      </w:r>
      <w:r>
        <w:rPr/>
        <w:t>）金融工具的分类 管理层根据所发行金融工具的合同条款及其所反映的经济实质而非仅以法律形式，结合</w:t>
      </w:r>
    </w:p>
    <w:p>
      <w:pPr>
        <w:pStyle w:val="BodyText"/>
        <w:spacing w:line="312" w:lineRule="exact"/>
        <w:ind w:left="1134" w:right="1170"/>
        <w:jc w:val="both"/>
      </w:pPr>
      <w:r>
        <w:rPr/>
        <w:t>取得持有金融资产和承担金融负债的目的，将金融资产和金融负债分为不同类别：以公允价 值计量且变动计入当期损益的金融资产（或金融负债）；持有至到期投资；应收款项；可供</w:t>
      </w:r>
    </w:p>
    <w:p>
      <w:pPr>
        <w:pStyle w:val="BodyText"/>
        <w:spacing w:line="283" w:lineRule="exact"/>
        <w:ind w:left="1134" w:right="0"/>
        <w:jc w:val="both"/>
      </w:pPr>
      <w:r>
        <w:rPr/>
        <w:t>出售金融资产；其他金融负债等。</w:t>
      </w:r>
    </w:p>
    <w:p>
      <w:pPr>
        <w:pStyle w:val="BodyText"/>
        <w:spacing w:line="312" w:lineRule="exact" w:before="29"/>
        <w:ind w:left="1614" w:right="1152"/>
        <w:jc w:val="left"/>
      </w:pPr>
      <w:r>
        <w:rPr/>
        <w:t>（</w:t>
      </w:r>
      <w:r>
        <w:rPr>
          <w:rFonts w:ascii="Times New Roman" w:hAnsi="Times New Roman" w:cs="Times New Roman" w:eastAsia="Times New Roman" w:hint="default"/>
        </w:rPr>
        <w:t>2</w:t>
      </w:r>
      <w:r>
        <w:rPr/>
        <w:t>）金融工具的确认依据和计量方法 </w:t>
      </w:r>
      <w:r>
        <w:rPr>
          <w:rFonts w:ascii="Times New Roman" w:hAnsi="Times New Roman" w:cs="Times New Roman" w:eastAsia="Times New Roman" w:hint="default"/>
        </w:rPr>
        <w:t>1</w:t>
      </w:r>
      <w:r>
        <w:rPr/>
        <w:t>）以公允价值计量且其变动计入当期损益的金融资产（金融负债） 以公允价值计量且其变动计入当期损益的金融资产或金融负债，包括交易性金融资产或</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613" w:right="1233" w:hanging="480"/>
        <w:jc w:val="left"/>
      </w:pPr>
      <w:r>
        <w:rPr/>
        <w:t>金融负债和直接指定为以公允价值计量且变动计入当期损益的金融资产或金融负债。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A</w:t>
      </w:r>
      <w:r>
        <w:rPr/>
        <w:t>、取得该金融资产或负债的目的是为了在短期内出售、回购或赎回； </w:t>
      </w:r>
      <w:r>
        <w:rPr>
          <w:rFonts w:ascii="Times New Roman" w:hAnsi="Times New Roman" w:cs="Times New Roman" w:eastAsia="Times New Roman" w:hint="default"/>
        </w:rPr>
        <w:t>B</w:t>
      </w:r>
      <w:r>
        <w:rPr/>
        <w:t>、属于进行集中管理的可辨认金融工具组合的一部分，且有客观证据表明本公司近期</w:t>
      </w:r>
    </w:p>
    <w:p>
      <w:pPr>
        <w:pStyle w:val="BodyText"/>
        <w:spacing w:line="283" w:lineRule="exact"/>
        <w:ind w:right="0"/>
        <w:jc w:val="both"/>
      </w:pPr>
      <w:r>
        <w:rPr/>
        <w:t>采用短期获利方式对该组合进行管理；</w:t>
      </w:r>
    </w:p>
    <w:p>
      <w:pPr>
        <w:pStyle w:val="BodyText"/>
        <w:spacing w:line="312" w:lineRule="exact" w:before="29"/>
        <w:ind w:left="1134" w:right="1152" w:firstLine="480"/>
        <w:jc w:val="left"/>
      </w:pPr>
      <w:r>
        <w:rPr>
          <w:rFonts w:ascii="Times New Roman" w:hAnsi="Times New Roman" w:cs="Times New Roman" w:eastAsia="Times New Roman" w:hint="default"/>
        </w:rPr>
        <w:t>C</w:t>
      </w:r>
      <w:r>
        <w:rPr/>
        <w:t>、属于衍生金融工具，但是被指定为有效套期工具的衍生工具、属于财务担保合同的 衍生工具、与在活跃市场中没有报价且公允价值不能可靠计量的权益工具投资挂钩并须通过 交付该权益工具结算的衍生工具除外。</w:t>
      </w:r>
    </w:p>
    <w:p>
      <w:pPr>
        <w:pStyle w:val="BodyText"/>
        <w:spacing w:line="312" w:lineRule="exact"/>
        <w:ind w:left="1134" w:right="1152" w:firstLine="480"/>
        <w:jc w:val="left"/>
      </w:pPr>
      <w:r>
        <w:rPr/>
        <w:t>只有符合以下条件之一，金融资产或金融负债才可在初始计量时指定为以公允价值计量 且变动计入损益的金融资产或金融负债：</w:t>
      </w:r>
    </w:p>
    <w:p>
      <w:pPr>
        <w:pStyle w:val="BodyText"/>
        <w:spacing w:line="312" w:lineRule="exact"/>
        <w:ind w:left="1134" w:right="1189" w:firstLine="48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6"/>
        </w:rPr>
        <w:t> </w:t>
      </w:r>
      <w:r>
        <w:rPr/>
        <w:t>、该项指定可以消除或明显减少由于该金融资产或金融负债的计量基础不同而导致的 相关利得；</w:t>
      </w:r>
    </w:p>
    <w:p>
      <w:pPr>
        <w:pStyle w:val="BodyText"/>
        <w:spacing w:line="312" w:lineRule="exact"/>
        <w:ind w:left="1134" w:right="991" w:firstLine="48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9"/>
        </w:rPr>
        <w:t> </w:t>
      </w:r>
      <w:r>
        <w:rPr/>
        <w:t>、风险管理或投资策略的正式书面文件已载明，该金融资产组合、该金融负债组合或； 或该金融资产和金融负债组合，以公允价值为基础进行管理、评价并向关键管理人员报告</w:t>
      </w:r>
    </w:p>
    <w:p>
      <w:pPr>
        <w:pStyle w:val="BodyText"/>
        <w:spacing w:line="312" w:lineRule="exact"/>
        <w:ind w:right="1190" w:firstLine="48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6"/>
        </w:rPr>
        <w:t> </w:t>
      </w:r>
      <w:r>
        <w:rPr/>
        <w:t>、包括一项或多项嵌入衍生工具的混合工具，除非嵌入衍生工具对混合工具的现金流 量没有发生重大改变、或所嵌入的衍生工具明显不应当从相关混合工具中分拆；</w:t>
      </w:r>
    </w:p>
    <w:p>
      <w:pPr>
        <w:pStyle w:val="BodyText"/>
        <w:spacing w:line="312" w:lineRule="exact"/>
        <w:ind w:right="1177" w:firstLine="48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36"/>
        </w:rPr>
        <w:t> </w:t>
      </w:r>
      <w:r>
        <w:rPr/>
        <w:t>、包含需要分拆但无法在取得时或后续的资产负债表日对其进行单独计量的嵌入衍生 工具的混合工具。</w:t>
      </w:r>
    </w:p>
    <w:p>
      <w:pPr>
        <w:pStyle w:val="BodyText"/>
        <w:spacing w:line="312" w:lineRule="exact"/>
        <w:ind w:right="995" w:firstLine="480"/>
        <w:jc w:val="left"/>
      </w:pPr>
      <w:r>
        <w:rPr/>
        <w:t>本集团对以公允价值计量且其变动计入当期损益的金融资产或金融负债，在取得时以公 允价值（扣除已宣告但尚未发放的现金股利或已到付息期但尚未领取的债券利息）作为初始 </w:t>
      </w:r>
      <w:r>
        <w:rPr>
          <w:spacing w:val="-2"/>
        </w:rPr>
        <w:t>确认金额，相关的交易费用计入当期损益。持有期间取得的利息或现金股利确认为投资收益，</w:t>
      </w:r>
      <w:r>
        <w:rPr/>
        <w:t> 期末将公允价值变动计入当期损益。处置时，公允价值与初始入账金额之间的差额确认为投</w:t>
      </w:r>
    </w:p>
    <w:p>
      <w:pPr>
        <w:pStyle w:val="BodyText"/>
        <w:spacing w:line="283" w:lineRule="exact"/>
        <w:ind w:right="0"/>
        <w:jc w:val="both"/>
      </w:pPr>
      <w:r>
        <w:rPr/>
        <w:t>资收益，同时调整公允价值变动损益。</w:t>
      </w:r>
    </w:p>
    <w:p>
      <w:pPr>
        <w:pStyle w:val="BodyText"/>
        <w:spacing w:line="312" w:lineRule="exact" w:before="29"/>
        <w:ind w:left="1614" w:right="1152"/>
        <w:jc w:val="left"/>
      </w:pPr>
      <w:r>
        <w:rPr>
          <w:rFonts w:ascii="Times New Roman" w:hAnsi="Times New Roman" w:cs="Times New Roman" w:eastAsia="Times New Roman" w:hint="default"/>
        </w:rPr>
        <w:t>2</w:t>
      </w:r>
      <w:r>
        <w:rPr/>
        <w:t>）应收款项 本公司对外销售商品或提供劳务形成的应收债权，以及公司持有的其他企业的不包括在</w:t>
      </w:r>
    </w:p>
    <w:p>
      <w:pPr>
        <w:pStyle w:val="BodyText"/>
        <w:spacing w:line="312" w:lineRule="exact"/>
        <w:ind w:left="1134" w:right="1170"/>
        <w:jc w:val="both"/>
      </w:pPr>
      <w:r>
        <w:rPr/>
        <w:t>活跃市场上有报价的债务工具的债权，包括应收账款、其他应收款、预付账款、长期应收款 等，以向购货方应收的合同或协议价款作为初始确认金额；具有融资性质的，按其现值进行 初始确认。</w:t>
      </w:r>
    </w:p>
    <w:p>
      <w:pPr>
        <w:pStyle w:val="BodyText"/>
        <w:spacing w:line="312" w:lineRule="exact"/>
        <w:ind w:left="1613" w:right="1153"/>
        <w:jc w:val="left"/>
      </w:pPr>
      <w:r>
        <w:rPr/>
        <w:t>收回或处置时，将取得的价款与该应收款项账面价值之间的差额计入当期损益。 </w:t>
      </w:r>
      <w:r>
        <w:rPr>
          <w:rFonts w:ascii="Times New Roman" w:hAnsi="Times New Roman" w:cs="Times New Roman" w:eastAsia="Times New Roman" w:hint="default"/>
        </w:rPr>
        <w:t>3</w:t>
      </w:r>
      <w:r>
        <w:rPr/>
        <w:t>）持有至到期投资 持有至到期投资，是指到期日固定、回收金额固定或可确定，且本集团有明确意图和能</w:t>
      </w:r>
    </w:p>
    <w:p>
      <w:pPr>
        <w:pStyle w:val="BodyText"/>
        <w:spacing w:line="312" w:lineRule="exact"/>
        <w:ind w:left="1614" w:right="1152" w:hanging="480"/>
        <w:jc w:val="left"/>
      </w:pPr>
      <w:r>
        <w:rPr/>
        <w:t>力持有至到期的非衍生金融资产。 本集团对持有至到期投资，在取得时按公允价值（扣除已到付息期但尚未领取的债券利</w:t>
      </w:r>
    </w:p>
    <w:p>
      <w:pPr>
        <w:pStyle w:val="BodyText"/>
        <w:spacing w:line="312" w:lineRule="exact"/>
        <w:ind w:left="1134" w:right="1170"/>
        <w:jc w:val="both"/>
      </w:pPr>
      <w:r>
        <w:rPr/>
        <w:t>息）和相关交易费用之和作为初始确认金额。持有期间按照摊余成本和实际利率计算确认利 息收入，计入投资收益。实际利率在取得时确定，在该预期存续期间或适用的更短期间内保 持不变。处置时，将所取得价款与该项账面价值之间的差额计入投资收益。</w:t>
      </w:r>
    </w:p>
    <w:p>
      <w:pPr>
        <w:pStyle w:val="BodyText"/>
        <w:spacing w:line="312" w:lineRule="exact"/>
        <w:ind w:right="1169" w:firstLine="480"/>
        <w:jc w:val="both"/>
      </w:pPr>
      <w:r>
        <w:rPr/>
        <w:t>如果持有至到期投资处置或重分类为其他类金融资产的金额，相对于本公司全部持有至 到期投资在出售或重分类前的总额较大，在处置或重分类后应立即将其剩余的持有至到期投 资分类为可供出售金融资产；重分类日，该投资的账面价值与其公允价值之间的差额计入其 他综合收益，在该可供出售金融资产发生减值或终止确认时转出，计入当期损益。但是，遇</w:t>
      </w:r>
    </w:p>
    <w:p>
      <w:pPr>
        <w:pStyle w:val="BodyText"/>
        <w:spacing w:line="283" w:lineRule="exact"/>
        <w:ind w:right="0"/>
        <w:jc w:val="both"/>
      </w:pPr>
      <w:r>
        <w:rPr/>
        <w:t>到下列情况可以除外：</w:t>
      </w:r>
    </w:p>
    <w:p>
      <w:pPr>
        <w:pStyle w:val="BodyText"/>
        <w:spacing w:line="312" w:lineRule="exact" w:before="29"/>
        <w:ind w:right="1033" w:firstLine="48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spacing w:val="-3"/>
        </w:rPr>
        <w:t>、出售日或重分类日距离该项投资到期日或赎回日较近</w:t>
      </w:r>
      <w:r>
        <w:rPr>
          <w:rFonts w:ascii="Times New Roman" w:hAnsi="Times New Roman" w:cs="Times New Roman" w:eastAsia="Times New Roman" w:hint="default"/>
          <w:spacing w:val="-3"/>
        </w:rPr>
        <w:t>(</w:t>
      </w:r>
      <w:r>
        <w:rPr>
          <w:spacing w:val="-3"/>
        </w:rPr>
        <w:t>如到期前三个月内</w:t>
      </w:r>
      <w:r>
        <w:rPr>
          <w:rFonts w:ascii="Times New Roman" w:hAnsi="Times New Roman" w:cs="Times New Roman" w:eastAsia="Times New Roman" w:hint="default"/>
          <w:spacing w:val="-3"/>
        </w:rPr>
        <w:t>)</w:t>
      </w:r>
      <w:r>
        <w:rPr>
          <w:spacing w:val="-3"/>
        </w:rPr>
        <w:t>，且市场利</w:t>
      </w:r>
      <w:r>
        <w:rPr/>
        <w:t> 率变化对该项投资的公允价值没有显著影响；</w:t>
      </w:r>
    </w:p>
    <w:p>
      <w:pPr>
        <w:pStyle w:val="BodyText"/>
        <w:spacing w:line="302" w:lineRule="exact"/>
        <w:ind w:left="1613" w:right="10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6"/>
        </w:rPr>
        <w:t> </w:t>
      </w:r>
      <w:r>
        <w:rPr/>
        <w:t>、根据合同约定的偿付方式，已收回几乎所有初始本金；</w:t>
      </w:r>
    </w:p>
    <w:p>
      <w:pPr>
        <w:spacing w:after="0" w:line="30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134" w:right="1207" w:firstLine="480"/>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36"/>
        </w:rPr>
        <w:t> </w:t>
      </w:r>
      <w:r>
        <w:rPr/>
        <w:t>、出售或重分类是由于企业无法控制、预期不会重复发生且难以合理预计的独立事件 所引起。</w:t>
      </w:r>
    </w:p>
    <w:p>
      <w:pPr>
        <w:pStyle w:val="BodyText"/>
        <w:spacing w:line="312" w:lineRule="exact"/>
        <w:ind w:left="1614" w:right="1152"/>
        <w:jc w:val="left"/>
      </w:pPr>
      <w:r>
        <w:rPr>
          <w:rFonts w:ascii="Times New Roman" w:hAnsi="Times New Roman" w:cs="Times New Roman" w:eastAsia="Times New Roman" w:hint="default"/>
        </w:rPr>
        <w:t>4</w:t>
      </w:r>
      <w:r>
        <w:rPr/>
        <w:t>）可供出售金融资产 可供出售金融资产，是指初始确认时即被指定为可供出售的非衍生金融资产，以及未被</w:t>
      </w:r>
    </w:p>
    <w:p>
      <w:pPr>
        <w:pStyle w:val="BodyText"/>
        <w:spacing w:line="312" w:lineRule="exact"/>
        <w:ind w:left="1614" w:right="1152" w:hanging="480"/>
        <w:jc w:val="left"/>
      </w:pPr>
      <w:r>
        <w:rPr/>
        <w:t>划分为其他类的金融资产。 本集团对可供出售金融资产，在取得时按公允价值（扣除已宣告但尚未发放的现金股利</w:t>
      </w:r>
    </w:p>
    <w:p>
      <w:pPr>
        <w:pStyle w:val="BodyText"/>
        <w:spacing w:line="312" w:lineRule="exact"/>
        <w:ind w:left="1134" w:right="994"/>
        <w:jc w:val="left"/>
      </w:pPr>
      <w:r>
        <w:rPr/>
        <w:t>或已到付息期但尚未领取的债券利息）和相关交易费用之和作为初始确认金额。持有期间取 </w:t>
      </w:r>
      <w:r>
        <w:rPr>
          <w:spacing w:val="-2"/>
        </w:rPr>
        <w:t>得的利息或现金股利确认为投资收益，可供出售金融资产的公允价值变动形成的利得或损失，</w:t>
      </w:r>
      <w:r>
        <w:rPr/>
        <w:t> 除减值损失和外币货币性金融资产形成的汇兑差额外，直接计入其他综合收益。处置可供出 售金融资产时，将取得的价款与该金融资产账面价值之间的差额计入投资损益；同时，将原 直接计入其他综合收益的公允价值变动累计额对应处置部分的金额转出，计入投资损益。</w:t>
      </w:r>
    </w:p>
    <w:p>
      <w:pPr>
        <w:pStyle w:val="BodyText"/>
        <w:spacing w:line="312" w:lineRule="exact"/>
        <w:ind w:right="1170" w:firstLine="480"/>
        <w:jc w:val="both"/>
      </w:pPr>
      <w:r>
        <w:rPr/>
        <w:t>本公司在对活跃市场中没有报价且其公允价值不能可靠计量的权益工具投资，以及与该 权益工具挂钩并须通过交付该权益工具结算的衍生金融资产，按照成本计量。</w:t>
      </w:r>
    </w:p>
    <w:p>
      <w:pPr>
        <w:pStyle w:val="BodyText"/>
        <w:spacing w:line="312" w:lineRule="exact"/>
        <w:ind w:left="1614" w:right="1392"/>
        <w:jc w:val="left"/>
      </w:pP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pStyle w:val="BodyText"/>
        <w:spacing w:line="312" w:lineRule="exact"/>
        <w:ind w:left="1614" w:right="1152"/>
        <w:jc w:val="left"/>
      </w:pPr>
      <w:r>
        <w:rPr/>
        <w:t>（</w:t>
      </w:r>
      <w:r>
        <w:rPr>
          <w:rFonts w:ascii="Times New Roman" w:hAnsi="Times New Roman" w:cs="Times New Roman" w:eastAsia="Times New Roman" w:hint="default"/>
        </w:rPr>
        <w:t>3</w:t>
      </w:r>
      <w:r>
        <w:rPr/>
        <w:t>）金融资产转移的确认依据和计量方法 公司发生金融资产转移时，如已将金融资产所有权上几乎所有的风险和报酬转移给转入</w:t>
      </w:r>
    </w:p>
    <w:p>
      <w:pPr>
        <w:pStyle w:val="BodyText"/>
        <w:spacing w:line="312" w:lineRule="exact"/>
        <w:ind w:left="1134" w:right="1152"/>
        <w:jc w:val="left"/>
      </w:pPr>
      <w:r>
        <w:rPr/>
        <w:t>方，则终止确认该金融资产；如保留了金融资产所有权上几乎所有的风险和报酬的，则不终 止确认该金融资产。</w:t>
      </w:r>
    </w:p>
    <w:p>
      <w:pPr>
        <w:pStyle w:val="BodyText"/>
        <w:spacing w:line="312" w:lineRule="exact"/>
        <w:ind w:left="1134" w:right="1169" w:firstLine="480"/>
        <w:jc w:val="both"/>
      </w:pPr>
      <w:r>
        <w:rPr/>
        <w:t>在判断金融资产转移是否满足上述金融资产终止确认条件时，</w:t>
      </w:r>
      <w:r>
        <w:rPr>
          <w:spacing w:val="61"/>
        </w:rPr>
        <w:t> </w:t>
      </w:r>
      <w:r>
        <w:rPr/>
        <w:t>采用实质重于形式的原</w:t>
      </w:r>
      <w:r>
        <w:rPr/>
        <w:t> 则。公司将金融资产转移区分为金融资产整体转移和部分转移。金融资产整体转移满足终止 确认条件的，将下列两项金额的差额计入当期损益：</w:t>
      </w:r>
    </w:p>
    <w:p>
      <w:pPr>
        <w:pStyle w:val="BodyText"/>
        <w:spacing w:line="292" w:lineRule="exact"/>
        <w:ind w:left="1614" w:right="1033"/>
        <w:jc w:val="left"/>
      </w:pPr>
      <w:r>
        <w:rPr>
          <w:rFonts w:ascii="Times New Roman" w:hAnsi="Times New Roman" w:cs="Times New Roman" w:eastAsia="Times New Roman" w:hint="default"/>
        </w:rPr>
        <w:t>1</w:t>
      </w:r>
      <w:r>
        <w:rPr/>
        <w:t>）所转移金融资产的账面价值；</w:t>
      </w:r>
    </w:p>
    <w:p>
      <w:pPr>
        <w:pStyle w:val="BodyText"/>
        <w:spacing w:line="312" w:lineRule="exact" w:before="20"/>
        <w:ind w:left="1134" w:right="1132" w:firstLine="480"/>
        <w:jc w:val="both"/>
      </w:pPr>
      <w:r>
        <w:rPr>
          <w:rFonts w:ascii="Times New Roman" w:hAnsi="Times New Roman" w:cs="Times New Roman" w:eastAsia="Times New Roman" w:hint="default"/>
          <w:spacing w:val="-3"/>
        </w:rPr>
        <w:t>2</w:t>
      </w:r>
      <w:r>
        <w:rPr>
          <w:spacing w:val="-3"/>
        </w:rPr>
        <w:t>）因转移而收到的对价，与原计入其他综合收益的公允价值变动累计额（涉及转移的金</w:t>
      </w:r>
      <w:r>
        <w:rPr/>
        <w:t> 融资产为可供出售金融资产的情形）之和。</w:t>
      </w:r>
    </w:p>
    <w:p>
      <w:pPr>
        <w:pStyle w:val="BodyText"/>
        <w:spacing w:line="312" w:lineRule="exact"/>
        <w:ind w:left="1134" w:right="1170" w:firstLine="480"/>
        <w:jc w:val="both"/>
      </w:pPr>
      <w:r>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BodyText"/>
        <w:spacing w:line="291" w:lineRule="exact"/>
        <w:ind w:left="1614" w:right="1033"/>
        <w:jc w:val="left"/>
      </w:pPr>
      <w:r>
        <w:rPr>
          <w:rFonts w:ascii="Times New Roman" w:hAnsi="Times New Roman" w:cs="Times New Roman" w:eastAsia="Times New Roman" w:hint="default"/>
        </w:rPr>
        <w:t>1</w:t>
      </w:r>
      <w:r>
        <w:rPr/>
        <w:t>）终止确认部分的账面价值；</w:t>
      </w:r>
    </w:p>
    <w:p>
      <w:pPr>
        <w:pStyle w:val="BodyText"/>
        <w:spacing w:line="312" w:lineRule="exact" w:before="20"/>
        <w:ind w:right="1131" w:firstLine="480"/>
        <w:jc w:val="both"/>
      </w:pPr>
      <w:r>
        <w:rPr>
          <w:rFonts w:ascii="Times New Roman" w:hAnsi="Times New Roman" w:cs="Times New Roman" w:eastAsia="Times New Roman" w:hint="default"/>
          <w:spacing w:val="-3"/>
        </w:rPr>
        <w:t>2</w:t>
      </w:r>
      <w:r>
        <w:rPr>
          <w:spacing w:val="-3"/>
        </w:rPr>
        <w:t>）终止确认部分的对价，与原直接计入所有者权益的公允价值变动累计额中对应终止确</w:t>
      </w:r>
      <w:r>
        <w:rPr/>
        <w:t> 认部分的金额（涉及转移的金融资产为可供出售金融资产的情形）之和。</w:t>
      </w:r>
    </w:p>
    <w:p>
      <w:pPr>
        <w:pStyle w:val="BodyText"/>
        <w:spacing w:line="312" w:lineRule="exact"/>
        <w:ind w:right="1170" w:firstLine="480"/>
        <w:jc w:val="both"/>
      </w:pPr>
      <w:r>
        <w:rPr/>
        <w:t>金融资产转移不满足终止确认条件的，继续确认该金融资产，所收到的对价确认为一项 金融负债。</w:t>
      </w:r>
    </w:p>
    <w:p>
      <w:pPr>
        <w:pStyle w:val="BodyText"/>
        <w:spacing w:line="312" w:lineRule="exact"/>
        <w:ind w:left="1613" w:right="1153"/>
        <w:jc w:val="left"/>
      </w:pPr>
      <w:r>
        <w:rPr/>
        <w:t>（</w:t>
      </w:r>
      <w:r>
        <w:rPr>
          <w:rFonts w:ascii="Times New Roman" w:hAnsi="Times New Roman" w:cs="Times New Roman" w:eastAsia="Times New Roman" w:hint="default"/>
        </w:rPr>
        <w:t>4</w:t>
      </w:r>
      <w:r>
        <w:rPr/>
        <w:t>）金融负债终止确认条件 金融负债的现时义务全部或部分已经解除的，则终止确认该金融负债或其一部分；本集</w:t>
      </w:r>
    </w:p>
    <w:p>
      <w:pPr>
        <w:pStyle w:val="BodyText"/>
        <w:spacing w:line="312" w:lineRule="exact"/>
        <w:ind w:right="1153"/>
        <w:jc w:val="left"/>
      </w:pPr>
      <w:r>
        <w:rPr/>
        <w:t>团若与债权人签订协议，以承担新金融负债方式替换现存金融负债，且新金融负债与现存金 融负债的合同条款实质上不同的，则终止确认现存金融负债，并同时确认新金融负债。</w:t>
      </w:r>
    </w:p>
    <w:p>
      <w:pPr>
        <w:pStyle w:val="BodyText"/>
        <w:spacing w:line="312" w:lineRule="exact"/>
        <w:ind w:right="1170" w:firstLine="480"/>
        <w:jc w:val="both"/>
      </w:pPr>
      <w:r>
        <w:rPr/>
        <w:t>对现存金融负债全部或部分合同条款作出实质性修改的，则终止确认现存金融负债其一 部分，同时将修改条款后金融负债确认为一项新金融负债。</w:t>
      </w:r>
    </w:p>
    <w:p>
      <w:pPr>
        <w:pStyle w:val="BodyText"/>
        <w:spacing w:line="283" w:lineRule="exact"/>
        <w:ind w:left="1613" w:right="1033"/>
        <w:jc w:val="left"/>
      </w:pPr>
      <w:r>
        <w:rPr/>
        <w:t>金融负债全部或部分终止确认时，终止确认的金融负债账面价值与支付对价（包括转出</w:t>
      </w:r>
    </w:p>
    <w:p>
      <w:pPr>
        <w:pStyle w:val="BodyText"/>
        <w:spacing w:line="312" w:lineRule="exact" w:before="30"/>
        <w:ind w:left="1613" w:right="1153" w:hanging="480"/>
        <w:jc w:val="left"/>
      </w:pPr>
      <w:r>
        <w:rPr/>
        <w:t>的非现金资产或承担的新金融负债）之间的差额，计入当期损益。 本集团若回购部分金融负债的，在回购日按照继续确认部分与终止确认部分的相对公允</w:t>
      </w:r>
    </w:p>
    <w:p>
      <w:pPr>
        <w:pStyle w:val="BodyText"/>
        <w:spacing w:line="312" w:lineRule="exact"/>
        <w:ind w:right="1153"/>
        <w:jc w:val="left"/>
      </w:pPr>
      <w:r>
        <w:rPr/>
        <w:t>价值，将该金融负债整体的账面价值进行分配。分配给终止确认部分的账面价值与支付的对 价（包括转出的非现金资产或承担的新金融负债）之间的差额，计入当期损益。</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614" w:right="1152"/>
        <w:jc w:val="left"/>
      </w:pPr>
      <w:r>
        <w:rPr/>
        <w:t>（</w:t>
      </w:r>
      <w:r>
        <w:rPr>
          <w:rFonts w:ascii="Times New Roman" w:hAnsi="Times New Roman" w:cs="Times New Roman" w:eastAsia="Times New Roman" w:hint="default"/>
        </w:rPr>
        <w:t>5</w:t>
      </w:r>
      <w:r>
        <w:rPr/>
        <w:t>）金融资产和金融负债公允价值的确定方法 本集团采用公允价值计量的金融资产和金融负债存在活跃市场的金融资产或金融负债，</w:t>
      </w:r>
    </w:p>
    <w:p>
      <w:pPr>
        <w:pStyle w:val="BodyText"/>
        <w:spacing w:line="282" w:lineRule="exact"/>
        <w:ind w:left="1134" w:right="0"/>
        <w:jc w:val="both"/>
      </w:pPr>
      <w:r>
        <w:rPr/>
        <w:t>以活跃市场的报价确定其公允价值；不存在活跃市场的金融资产或金融负债，采用估值技术</w:t>
      </w:r>
    </w:p>
    <w:p>
      <w:pPr>
        <w:pStyle w:val="BodyText"/>
        <w:spacing w:line="237" w:lineRule="auto" w:before="1"/>
        <w:ind w:left="1134" w:right="1170"/>
        <w:jc w:val="both"/>
      </w:pPr>
      <w:r>
        <w:rPr/>
        <w:t>（包括参考熟悉情况并自愿交易的各方最近进行的市场交易中使用的价格、参照实质上相同 的其他金融工具的当前公允价值、现金流量折现法和期权定价模型等）确定其公允价值；初 始取得或衍生的金融资产或承担的金融负债，以市场交易价格作为确定其公允价值的基础。</w:t>
      </w:r>
    </w:p>
    <w:p>
      <w:pPr>
        <w:pStyle w:val="BodyText"/>
        <w:spacing w:line="312" w:lineRule="exact" w:before="29"/>
        <w:ind w:left="1614" w:right="1152"/>
        <w:jc w:val="left"/>
      </w:pPr>
      <w:r>
        <w:rPr/>
        <w:t>（</w:t>
      </w:r>
      <w:r>
        <w:rPr>
          <w:rFonts w:ascii="Times New Roman" w:hAnsi="Times New Roman" w:cs="Times New Roman" w:eastAsia="Times New Roman" w:hint="default"/>
        </w:rPr>
        <w:t>6</w:t>
      </w:r>
      <w:r>
        <w:rPr/>
        <w:t>）金融资产（不含应收款项）减值准备计提 资产负债表日对以公允价值计量且变动计入当期损益的金融资产以外的金融资产的账面</w:t>
      </w:r>
    </w:p>
    <w:p>
      <w:pPr>
        <w:pStyle w:val="BodyText"/>
        <w:spacing w:line="312" w:lineRule="exact"/>
        <w:ind w:left="1613" w:right="2833" w:hanging="480"/>
        <w:jc w:val="left"/>
      </w:pPr>
      <w:r>
        <w:rPr/>
        <w:t>价值进行检查，如有客观证据表明该金融资产发生减值的，计提减值准备。 金融资产发生减值的客观证据，包括但不限于： </w:t>
      </w:r>
      <w:r>
        <w:rPr>
          <w:rFonts w:ascii="Times New Roman" w:hAnsi="Times New Roman" w:cs="Times New Roman" w:eastAsia="Times New Roman" w:hint="default"/>
        </w:rPr>
        <w:t>1</w:t>
      </w:r>
      <w:r>
        <w:rPr/>
        <w:t>）发行方或债务人发生严重财务困难；</w:t>
      </w:r>
    </w:p>
    <w:p>
      <w:pPr>
        <w:pStyle w:val="BodyText"/>
        <w:spacing w:line="291" w:lineRule="exact"/>
        <w:ind w:left="1614" w:right="1033"/>
        <w:jc w:val="left"/>
      </w:pPr>
      <w:r>
        <w:rPr>
          <w:rFonts w:ascii="Times New Roman" w:hAnsi="Times New Roman" w:cs="Times New Roman" w:eastAsia="Times New Roman" w:hint="default"/>
        </w:rPr>
        <w:t>2</w:t>
      </w:r>
      <w:r>
        <w:rPr/>
        <w:t>）债务人违反了合同条款，如偿付利息或本金发生违约或逾期等；</w:t>
      </w:r>
    </w:p>
    <w:p>
      <w:pPr>
        <w:pStyle w:val="BodyText"/>
        <w:spacing w:line="312" w:lineRule="exact"/>
        <w:ind w:left="1614" w:right="1033"/>
        <w:jc w:val="left"/>
      </w:pP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312" w:lineRule="exact"/>
        <w:ind w:left="1614" w:right="1033"/>
        <w:jc w:val="left"/>
      </w:pPr>
      <w:r>
        <w:rPr>
          <w:rFonts w:ascii="Times New Roman" w:hAnsi="Times New Roman" w:cs="Times New Roman" w:eastAsia="Times New Roman" w:hint="default"/>
        </w:rPr>
        <w:t>4</w:t>
      </w:r>
      <w:r>
        <w:rPr/>
        <w:t>）债务人很可能倒闭或进行其他财务重组；</w:t>
      </w:r>
    </w:p>
    <w:p>
      <w:pPr>
        <w:pStyle w:val="BodyText"/>
        <w:spacing w:line="312" w:lineRule="exact"/>
        <w:ind w:left="1614" w:right="1033"/>
        <w:jc w:val="left"/>
      </w:pP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12" w:lineRule="exact" w:before="20"/>
        <w:ind w:left="1134" w:right="1131" w:firstLine="480"/>
        <w:jc w:val="both"/>
      </w:pPr>
      <w:r>
        <w:rPr>
          <w:rFonts w:ascii="Times New Roman" w:hAnsi="Times New Roman" w:cs="Times New Roman" w:eastAsia="Times New Roman" w:hint="default"/>
          <w:spacing w:val="-3"/>
        </w:rPr>
        <w:t>6</w:t>
      </w:r>
      <w:r>
        <w:rPr>
          <w:spacing w:val="-3"/>
        </w:rPr>
        <w:t>）无法辨认一组金融资产中的某项资产的现金流量是否已经减少，但根据公开的数据对</w:t>
      </w:r>
      <w:r>
        <w:rPr/>
        <w:t> 其进行总体评价后发现，该组金融资产自初始确认以来的预计未来现金流量确已减少且可计 量，如该组金融资产的债务人支付能力逐步恶化，或债务人所在国家或地区失业率提高、担 保物在其所在地区的价格明显下降、所处行业不景气等；</w:t>
      </w:r>
    </w:p>
    <w:p>
      <w:pPr>
        <w:pStyle w:val="BodyText"/>
        <w:spacing w:line="312" w:lineRule="exact"/>
        <w:ind w:left="1134" w:right="1131" w:firstLine="480"/>
        <w:jc w:val="both"/>
      </w:pPr>
      <w:r>
        <w:rPr>
          <w:rFonts w:ascii="Times New Roman" w:hAnsi="Times New Roman" w:cs="Times New Roman" w:eastAsia="Times New Roman" w:hint="default"/>
          <w:spacing w:val="-3"/>
        </w:rPr>
        <w:t>7</w:t>
      </w:r>
      <w:r>
        <w:rPr>
          <w:spacing w:val="-3"/>
        </w:rPr>
        <w:t>）权益工具发行方经营所处的技术、市场、经济或法律环境等发生重大不利变化，使权</w:t>
      </w:r>
      <w:r>
        <w:rPr/>
        <w:t> 益工具投资人可能无法收回投资成本；</w:t>
      </w:r>
    </w:p>
    <w:p>
      <w:pPr>
        <w:pStyle w:val="BodyText"/>
        <w:spacing w:line="225" w:lineRule="auto"/>
        <w:ind w:left="1614" w:right="4392"/>
        <w:jc w:val="left"/>
      </w:pP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12" w:lineRule="exact" w:before="30"/>
        <w:ind w:left="1614" w:right="1152"/>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6"/>
        </w:rPr>
        <w:t> </w:t>
      </w:r>
      <w:r>
        <w:rPr/>
        <w:t>、可供出售金融资产的减值准备 期末如果可供出售金融资产的公允价值发生较大幅度下降，或在综合考虑各种相关因素</w:t>
      </w:r>
    </w:p>
    <w:p>
      <w:pPr>
        <w:pStyle w:val="BodyText"/>
        <w:spacing w:line="312" w:lineRule="exact"/>
        <w:ind w:left="1614" w:right="1152" w:hanging="480"/>
        <w:jc w:val="left"/>
      </w:pPr>
      <w:r>
        <w:rPr/>
        <w:t>后，预期这种下降趋势属于非暂时性的，就认定其已发生减值。 可供出售金融资产发生减值时，即使该金融资产没有终止确认，本集团将原直接计入其</w:t>
      </w:r>
    </w:p>
    <w:p>
      <w:pPr>
        <w:pStyle w:val="BodyText"/>
        <w:spacing w:line="312" w:lineRule="exact"/>
        <w:ind w:left="1134" w:right="1170"/>
        <w:jc w:val="both"/>
      </w:pPr>
      <w:r>
        <w:rPr/>
        <w:t>他综合收益的因公允价值下降形成的累计损失从其他综合收益转出，计入当期损益。该转出 的累计损失，</w:t>
      </w:r>
    </w:p>
    <w:p>
      <w:pPr>
        <w:pStyle w:val="BodyText"/>
        <w:spacing w:line="312" w:lineRule="exact"/>
        <w:ind w:left="1134" w:right="1169" w:firstLine="480"/>
        <w:jc w:val="both"/>
      </w:pPr>
      <w:r>
        <w:rPr/>
        <w:t>对于已确认减值损失的可供出售债务工具，在随后会计期间公允价值已上升且客观上与 确认原减值损失后发生的事项有关的，原确认的资产减值损失予以转回计入当期损益；对于 可供出售权益工具投资发生的减值损失，在该权益工具价值回升时通过权益转回；但在活跃 市场中没有报价且其公允价值不能可靠计量的权益工具投资，或与该权益工具挂钩并须通过 交付该权益工具结算的衍生金融资产发生的减值损失，不得转回。</w:t>
      </w:r>
    </w:p>
    <w:p>
      <w:pPr>
        <w:pStyle w:val="BodyText"/>
        <w:spacing w:line="312" w:lineRule="exact"/>
        <w:ind w:left="1614" w:right="133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6"/>
        </w:rPr>
        <w:t> </w:t>
      </w:r>
      <w:r>
        <w:rPr/>
        <w:t>、持有至到期投资的减值准备 对于持有至到期投资，有客观证据表明发生了减值的，</w:t>
      </w:r>
      <w:r>
        <w:rPr>
          <w:spacing w:val="-60"/>
        </w:rPr>
        <w:t> </w:t>
      </w:r>
      <w:r>
        <w:rPr/>
        <w:t>根据账面价值与预计未来现金</w:t>
      </w:r>
    </w:p>
    <w:p>
      <w:pPr>
        <w:pStyle w:val="BodyText"/>
        <w:spacing w:line="312" w:lineRule="exact"/>
        <w:ind w:right="1170"/>
        <w:jc w:val="both"/>
      </w:pPr>
      <w:r>
        <w:rPr/>
        <w:t>流量现值之间差额计算减值损失；计提后如有证据表明其价值已恢复，原确认的减值损失予 以转回，记入当期损益，但该转回的账面价值不超过假定不计提减值准备情况下该金融资产 在转回日的摊余成本。</w:t>
      </w:r>
    </w:p>
    <w:p>
      <w:pPr>
        <w:spacing w:after="0" w:line="312" w:lineRule="exact"/>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11、应收款项" w:id="175"/>
      <w:bookmarkEnd w:id="175"/>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单项金额重大并单独计提坏账准备的应收款项" w:id="176"/>
      <w:bookmarkEnd w:id="1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准备。单独测试未发生减值的应收款项，以账龄为信用风险 特征组合计提坏账准备</w:t>
            </w:r>
          </w:p>
        </w:tc>
      </w:tr>
    </w:tbl>
    <w:p>
      <w:pPr>
        <w:spacing w:line="240" w:lineRule="auto" w:before="2"/>
        <w:rPr>
          <w:rFonts w:ascii="宋体" w:hAnsi="宋体" w:cs="宋体" w:eastAsia="宋体" w:hint="default"/>
          <w:b/>
          <w:bCs/>
          <w:sz w:val="19"/>
          <w:szCs w:val="19"/>
        </w:rPr>
      </w:pPr>
    </w:p>
    <w:p>
      <w:pPr>
        <w:spacing w:before="35"/>
        <w:ind w:left="1134" w:right="1033" w:firstLine="0"/>
        <w:jc w:val="left"/>
        <w:rPr>
          <w:rFonts w:ascii="宋体" w:hAnsi="宋体" w:cs="宋体" w:eastAsia="宋体" w:hint="default"/>
          <w:sz w:val="21"/>
          <w:szCs w:val="21"/>
        </w:rPr>
      </w:pPr>
      <w:bookmarkStart w:name="（2）按信用风险特征组合计提坏账准备的应收款项" w:id="177"/>
      <w:bookmarkEnd w:id="1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交易对象的关系组合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3）单项金额不重大但单独计提坏账准备的应收款项" w:id="178"/>
      <w:bookmarkEnd w:id="1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spacing w:before="35"/>
        <w:ind w:left="1134" w:right="1033" w:firstLine="0"/>
        <w:jc w:val="left"/>
        <w:rPr>
          <w:rFonts w:ascii="宋体" w:hAnsi="宋体" w:cs="宋体" w:eastAsia="宋体" w:hint="default"/>
          <w:sz w:val="21"/>
          <w:szCs w:val="21"/>
        </w:rPr>
      </w:pPr>
      <w:bookmarkStart w:name="12、存货" w:id="179"/>
      <w:bookmarkEnd w:id="179"/>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52" w:firstLine="480"/>
        <w:jc w:val="left"/>
      </w:pPr>
      <w:r>
        <w:rPr/>
        <w:t>本集团存货主要包括：原材料、包装物、委托加工物资、工程施工、生产成本、库存商 品、发出商品等。</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134" w:right="1170" w:firstLine="480"/>
        <w:jc w:val="both"/>
      </w:pPr>
      <w:r>
        <w:rPr/>
        <w:t>存货取得和发出的计价方法：存货实行永续盘存制，存货在取得时按实际成本计价；领 用或发出原材料，采用加权平均法确定其实际成本；本集团的产成品为订单式生产，产成品 的成本按个别订单归集。</w:t>
      </w:r>
    </w:p>
    <w:p>
      <w:pPr>
        <w:pStyle w:val="BodyText"/>
        <w:spacing w:line="283" w:lineRule="exact"/>
        <w:ind w:left="1614" w:right="1033"/>
        <w:jc w:val="left"/>
      </w:pPr>
      <w:r>
        <w:rPr/>
        <w:t>存货中的低值易耗品和包装物在购入时按实际成本计价，发出时采用一次转销法。</w:t>
      </w:r>
    </w:p>
    <w:p>
      <w:pPr>
        <w:pStyle w:val="BodyText"/>
        <w:spacing w:line="312" w:lineRule="exact" w:before="30"/>
        <w:ind w:right="1139" w:firstLine="480"/>
        <w:jc w:val="both"/>
      </w:pPr>
      <w:r>
        <w:rPr/>
        <w:t>期末存货按成本与可变现净值孰低原则计价，对于存货因遭受毁损、全部或部分陈旧过 时或销售价格低于成本等原因，预计其成本不可收回的部分，提取存货跌价准备。库存商品 及大宗原材料的存货跌价准备按单个存货项目的成本高于其可变现净值的差额提取；其他数 量繁多、单价较低的原辅材料按类别提取存货跌价准备。</w:t>
      </w:r>
    </w:p>
    <w:p>
      <w:pPr>
        <w:pStyle w:val="BodyText"/>
        <w:spacing w:line="237" w:lineRule="auto" w:before="13"/>
        <w:ind w:right="1139"/>
        <w:jc w:val="both"/>
      </w:pPr>
      <w:r>
        <w:rPr/>
        <w:t>库存商品、在产品和用于出售的材料等直接用于出售的商品存货，其可变现净值按该存货的 估计售价减去估计的销售费用和相关税费后的金额确定；用于生产而持有的材料存货，其可 变现净值按所生产的产成品的估计售价减去至完工时估计将要发生的成本、估计的销售费用 和相关税费后的金额确定。</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133" w:right="0" w:firstLine="0"/>
        <w:jc w:val="both"/>
        <w:rPr>
          <w:rFonts w:ascii="宋体" w:hAnsi="宋体" w:cs="宋体" w:eastAsia="宋体" w:hint="default"/>
          <w:sz w:val="21"/>
          <w:szCs w:val="21"/>
        </w:rPr>
      </w:pPr>
      <w:bookmarkStart w:name="13、划分为持有待售资产" w:id="180"/>
      <w:bookmarkEnd w:id="18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4、长期股权投资" w:id="181"/>
      <w:bookmarkEnd w:id="181"/>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322" w:lineRule="exact"/>
        <w:ind w:left="1614" w:right="1033"/>
        <w:jc w:val="left"/>
      </w:pPr>
      <w:r>
        <w:rPr/>
        <w:t>（</w:t>
      </w:r>
      <w:r>
        <w:rPr>
          <w:rFonts w:ascii="Times New Roman" w:hAnsi="Times New Roman" w:cs="Times New Roman" w:eastAsia="Times New Roman" w:hint="default"/>
        </w:rPr>
        <w:t>1</w:t>
      </w:r>
      <w:r>
        <w:rPr/>
        <w:t>）投资成本的确定</w:t>
      </w:r>
    </w:p>
    <w:p>
      <w:pPr>
        <w:pStyle w:val="BodyText"/>
        <w:spacing w:line="312" w:lineRule="exact" w:before="20"/>
        <w:ind w:right="1130" w:firstLine="480"/>
        <w:jc w:val="both"/>
      </w:pPr>
      <w:r>
        <w:rPr>
          <w:rFonts w:ascii="Times New Roman" w:hAnsi="Times New Roman" w:cs="Times New Roman" w:eastAsia="Times New Roman" w:hint="default"/>
          <w:spacing w:val="-2"/>
        </w:rPr>
        <w:t>1</w:t>
      </w:r>
      <w:r>
        <w:rPr>
          <w:spacing w:val="-2"/>
        </w:rPr>
        <w:t>）企业合并形成的长期股权投资，具体会计政策详见本节</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spacing w:val="-2"/>
        </w:rPr>
        <w:t>、同一控制下和非同一</w:t>
      </w:r>
      <w:r>
        <w:rPr/>
        <w:t> 控制下企业合并的会计处理方法</w:t>
      </w:r>
      <w:r>
        <w:rPr>
          <w:rFonts w:ascii="Times New Roman" w:hAnsi="Times New Roman" w:cs="Times New Roman" w:eastAsia="Times New Roman" w:hint="default"/>
        </w:rPr>
        <w:t>”</w:t>
      </w:r>
      <w:r>
        <w:rPr/>
        <w:t>。</w:t>
      </w:r>
    </w:p>
    <w:p>
      <w:pPr>
        <w:pStyle w:val="BodyText"/>
        <w:spacing w:line="225" w:lineRule="auto"/>
        <w:ind w:left="1614" w:right="1152"/>
        <w:jc w:val="left"/>
      </w:pPr>
      <w:r>
        <w:rPr>
          <w:rFonts w:ascii="Times New Roman" w:hAnsi="Times New Roman" w:cs="Times New Roman" w:eastAsia="Times New Roman" w:hint="default"/>
        </w:rPr>
        <w:t>2</w:t>
      </w:r>
      <w:r>
        <w:rPr/>
        <w:t>）其他方式取得的长期股权投资 以支付现金取得的长期股权投资，按照实际支付的购买价款作为投资成本；初始投资成</w:t>
      </w:r>
    </w:p>
    <w:p>
      <w:pPr>
        <w:pStyle w:val="BodyText"/>
        <w:spacing w:line="312" w:lineRule="exact" w:before="30"/>
        <w:ind w:left="1613" w:right="994" w:hanging="480"/>
        <w:jc w:val="left"/>
      </w:pPr>
      <w:r>
        <w:rPr/>
        <w:t>本包括与取得长期股权投资直接相关的费用、税金及其他必要支出。 </w:t>
      </w:r>
      <w:r>
        <w:rPr>
          <w:spacing w:val="-3"/>
        </w:rPr>
        <w:t>以发行权益性证券取得的长期股权投资，按照发行权益性证券的公允价值作为投资成本；</w:t>
      </w:r>
    </w:p>
    <w:p>
      <w:pPr>
        <w:pStyle w:val="BodyText"/>
        <w:spacing w:line="312" w:lineRule="exact"/>
        <w:ind w:left="1613" w:right="1153" w:hanging="480"/>
        <w:jc w:val="left"/>
      </w:pPr>
      <w:r>
        <w:rPr/>
        <w:t>投资者投入的长期股权投资，按照投资合同或协议约定的价值作为投资成本。 在非化币性资产交换具备商业实质和换入资产或换出资产的公允价值能够可靠计量的前</w:t>
      </w:r>
    </w:p>
    <w:p>
      <w:pPr>
        <w:pStyle w:val="BodyText"/>
        <w:spacing w:line="312" w:lineRule="exact"/>
        <w:ind w:right="1170"/>
        <w:jc w:val="both"/>
      </w:pPr>
      <w:r>
        <w:rPr/>
        <w:t>提下，非货币性资产交换换入的长期股权投资以换出资产的公允价值为基础确定其初始投资 成本，除非有确凿证据表明换入资产的公允价值更加可靠；不满足上述前提的非货币性资产 交换，以换出资产的账面价值和应支付的相关税费作为换入长期股权投资的初始投资成本。</w:t>
      </w:r>
    </w:p>
    <w:p>
      <w:pPr>
        <w:pStyle w:val="BodyText"/>
        <w:spacing w:line="282" w:lineRule="exact"/>
        <w:ind w:left="1613" w:right="1033"/>
        <w:jc w:val="left"/>
      </w:pPr>
      <w:r>
        <w:rPr/>
        <w:t>通过债务重组方式取得的长期股权投资，其初始投资成本按照公允价值为基础确定。</w:t>
      </w:r>
    </w:p>
    <w:p>
      <w:pPr>
        <w:pStyle w:val="BodyText"/>
        <w:spacing w:line="312" w:lineRule="exact" w:before="29"/>
        <w:ind w:left="1613" w:right="1153"/>
        <w:jc w:val="left"/>
      </w:pPr>
      <w:r>
        <w:rPr/>
        <w:t>（</w:t>
      </w:r>
      <w:r>
        <w:rPr>
          <w:rFonts w:ascii="Times New Roman" w:hAnsi="Times New Roman" w:cs="Times New Roman" w:eastAsia="Times New Roman" w:hint="default"/>
        </w:rPr>
        <w:t>2</w:t>
      </w:r>
      <w:r>
        <w:rPr/>
        <w:t>）后续计量及损益确认 本集团能够对被投资单位实施控制的长期股权投资采用成本法核算，并按照初始投资成</w:t>
      </w:r>
    </w:p>
    <w:p>
      <w:pPr>
        <w:pStyle w:val="BodyText"/>
        <w:spacing w:line="312" w:lineRule="exact"/>
        <w:ind w:right="1169"/>
        <w:jc w:val="both"/>
      </w:pPr>
      <w:r>
        <w:rPr/>
        <w:t>本计价，追加或收回投资调整长期股权投资的成本。除取得投资时实际支付的价款或对价中 包含的已宣告分派但尚未发放的现金股利或利润外，本集团按照应享有被投资单位宣告分派 的现金股利或利润确认为当期投资收益。</w:t>
      </w:r>
    </w:p>
    <w:p>
      <w:pPr>
        <w:pStyle w:val="BodyText"/>
        <w:spacing w:line="312" w:lineRule="exact"/>
        <w:ind w:left="1134" w:right="1170" w:firstLine="480"/>
        <w:jc w:val="both"/>
      </w:pPr>
      <w:r>
        <w:rPr/>
        <w:t>本集团对联营企业或合营企业长期股权投资采用权益法核算；对于其中一部分通过风险 投资机构、共同基金、信托公司或包括投连险基金在内的类似主体间接持有的联营企业的权 益性投资，采用公允价值计量且其变动计入损益。</w:t>
      </w:r>
    </w:p>
    <w:p>
      <w:pPr>
        <w:pStyle w:val="BodyText"/>
        <w:spacing w:line="283" w:lineRule="exact"/>
        <w:ind w:left="1134" w:right="0" w:firstLine="480"/>
        <w:jc w:val="both"/>
      </w:pPr>
      <w:r>
        <w:rPr/>
        <w:t>长期股权投资的初始投资成本大于投资时应享有被投资单位可辨认净资产公允价值份额</w:t>
      </w:r>
    </w:p>
    <w:p>
      <w:pPr>
        <w:pStyle w:val="BodyText"/>
        <w:spacing w:line="312" w:lineRule="exact" w:before="30"/>
        <w:ind w:left="1134" w:right="1169"/>
        <w:jc w:val="both"/>
      </w:pPr>
      <w:r>
        <w:rPr/>
        <w:t>的差额，不调整长期股权投资的初始投资成本；初始投资成本小于投资时应享有被投资单位 可辨认净资产公允价值份额的差额，计入当期损益。</w:t>
      </w:r>
    </w:p>
    <w:p>
      <w:pPr>
        <w:pStyle w:val="BodyText"/>
        <w:spacing w:line="312" w:lineRule="exact"/>
        <w:ind w:left="1134" w:right="1170" w:firstLine="480"/>
        <w:jc w:val="both"/>
      </w:pPr>
      <w:r>
        <w:rPr/>
        <w:t>本公司取得长期股权投资后，按照应享有或应分担的被投资单位实现的净损益和其他综 合收益的份额，分别确认投资收益和其他综合收益，同时调整长期股权投资账面价值；并按</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134" w:right="1131"/>
        <w:jc w:val="both"/>
      </w:pPr>
      <w:r>
        <w:rPr/>
        <w:t>照被投资单位宣告分派的利润或现金股利计算应享有的部分，相应减少长期股权投资的账面 </w:t>
      </w:r>
      <w:r>
        <w:rPr>
          <w:spacing w:val="-1"/>
        </w:rPr>
        <w:t>价值</w:t>
      </w:r>
      <w:r>
        <w:rPr>
          <w:rFonts w:ascii="Times New Roman" w:hAnsi="Times New Roman" w:cs="Times New Roman" w:eastAsia="Times New Roman" w:hint="default"/>
          <w:spacing w:val="-1"/>
        </w:rPr>
        <w:t>;</w:t>
      </w:r>
      <w:r>
        <w:rPr>
          <w:spacing w:val="-1"/>
        </w:rPr>
        <w:t>对于被投资单位除净损益、其他综合收益和利润分配以外所有者权益的其他变动，调整</w:t>
      </w:r>
      <w:r>
        <w:rPr>
          <w:spacing w:val="-109"/>
        </w:rPr>
        <w:t> </w:t>
      </w:r>
      <w:r>
        <w:rPr>
          <w:spacing w:val="-109"/>
        </w:rPr>
      </w:r>
      <w:r>
        <w:rPr/>
        <w:t>长期股权投资的账面价值并计入所有者权益。</w:t>
      </w:r>
    </w:p>
    <w:p>
      <w:pPr>
        <w:pStyle w:val="BodyText"/>
        <w:spacing w:line="283" w:lineRule="exact"/>
        <w:ind w:left="1134" w:right="1033" w:firstLine="480"/>
        <w:jc w:val="left"/>
      </w:pPr>
      <w:r>
        <w:rPr/>
        <w:t>本集团确认应分担被投资单位发生的亏损时，按照以下顺序进行处理：首先，冲减长期</w:t>
      </w:r>
    </w:p>
    <w:p>
      <w:pPr>
        <w:pStyle w:val="BodyText"/>
        <w:spacing w:line="312" w:lineRule="exact" w:before="30"/>
        <w:ind w:left="1134" w:right="1170"/>
        <w:jc w:val="both"/>
      </w:pPr>
      <w:r>
        <w:rPr/>
        <w:t>股权投资的账面价值。其次，长期股权投资的账面价值不足以冲减的，以其他实质上构成对 被投资单位净投资的长期权益账面价值为限继续确定投资损失，冲减长期应收项目等的账面 价值。最后，经过上述处理，按照投资合同或协议约定企业仍承担额外义务的，按预计承担 的义务确认为预计负债，计入当期投资损失。</w:t>
      </w:r>
    </w:p>
    <w:p>
      <w:pPr>
        <w:pStyle w:val="BodyText"/>
        <w:spacing w:line="312" w:lineRule="exact"/>
        <w:ind w:left="1134" w:right="1170" w:firstLine="480"/>
        <w:jc w:val="both"/>
      </w:pPr>
      <w:r>
        <w:rPr/>
        <w:t>被投资单位以后期间实现盈利的，公司在扣除未确认的亏损分担额后，按与上述相反的 顺序处理，减记已确认预计负债的账面余额、恢复其他实质上构成对被投资单位净投资的长 期权益及长期股权投资的账面价值后，恢复确认投资收益。</w:t>
      </w:r>
    </w:p>
    <w:p>
      <w:pPr>
        <w:pStyle w:val="BodyText"/>
        <w:spacing w:line="291" w:lineRule="exact"/>
        <w:ind w:left="1613" w:right="1033"/>
        <w:jc w:val="left"/>
      </w:pPr>
      <w:r>
        <w:rPr/>
        <w:t>（</w:t>
      </w:r>
      <w:r>
        <w:rPr>
          <w:rFonts w:ascii="Times New Roman" w:hAnsi="Times New Roman" w:cs="Times New Roman" w:eastAsia="Times New Roman" w:hint="default"/>
        </w:rPr>
        <w:t>3</w:t>
      </w:r>
      <w:r>
        <w:rPr/>
        <w:t>）长期股权投资核算方法的转换</w:t>
      </w:r>
    </w:p>
    <w:p>
      <w:pPr>
        <w:pStyle w:val="BodyText"/>
        <w:spacing w:line="312" w:lineRule="exact" w:before="20"/>
        <w:ind w:left="1613" w:right="1153"/>
        <w:jc w:val="left"/>
      </w:pPr>
      <w:r>
        <w:rPr>
          <w:rFonts w:ascii="Times New Roman" w:hAnsi="Times New Roman" w:cs="Times New Roman" w:eastAsia="Times New Roman" w:hint="default"/>
        </w:rPr>
        <w:t>1</w:t>
      </w:r>
      <w:r>
        <w:rPr/>
        <w:t>）公允价值计量转权益法核算 本集团原持有的对被投资单位不具有控制、共同控制或重大影响的按金融工具确认和计</w:t>
      </w:r>
    </w:p>
    <w:p>
      <w:pPr>
        <w:pStyle w:val="BodyText"/>
        <w:spacing w:line="312" w:lineRule="exact"/>
        <w:ind w:left="0" w:right="1169"/>
        <w:jc w:val="right"/>
      </w:pPr>
      <w:r>
        <w:rPr/>
        <w:t>量准则进行会计处理的权益性投资，因追加投资等原因能够对被投资单位施加重大影响或实 施共同控制但不构成控制的，按照《企业会计准则第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 持有的股权投资的公允价值加上新增投资成本之和，作为改按权益法核算的初始投资成本。 原持有的股权投资分类为可供出售金融资产的，其公允价值与账面价值间的差额，以及</w:t>
      </w:r>
    </w:p>
    <w:p>
      <w:pPr>
        <w:pStyle w:val="BodyText"/>
        <w:spacing w:line="312" w:lineRule="exact"/>
        <w:ind w:left="1613" w:right="1153" w:hanging="480"/>
        <w:jc w:val="left"/>
      </w:pPr>
      <w:r>
        <w:rPr/>
        <w:t>原计入其他综合收益的累计公允价值变动转入改按权益法核算的当期损益。 按权益法核算的初始投资成本小于按照追加投资后全新的股权比例计算确定的应享有被</w:t>
      </w:r>
    </w:p>
    <w:p>
      <w:pPr>
        <w:pStyle w:val="BodyText"/>
        <w:spacing w:line="312" w:lineRule="exact"/>
        <w:ind w:right="1170"/>
        <w:jc w:val="both"/>
      </w:pPr>
      <w:r>
        <w:rPr/>
        <w:t>投资单位在追加投资日可辨认净资产公允价值份额之间的差额，调整长期股权投资的账面价 值，并计入当期营业外收入。</w:t>
      </w:r>
    </w:p>
    <w:p>
      <w:pPr>
        <w:pStyle w:val="BodyText"/>
        <w:spacing w:line="312" w:lineRule="exact"/>
        <w:ind w:left="1614" w:right="1152"/>
        <w:jc w:val="left"/>
      </w:pPr>
      <w:r>
        <w:rPr>
          <w:rFonts w:ascii="Times New Roman" w:hAnsi="Times New Roman" w:cs="Times New Roman" w:eastAsia="Times New Roman" w:hint="default"/>
        </w:rPr>
        <w:t>2</w:t>
      </w:r>
      <w:r>
        <w:rPr/>
        <w:t>）公允价值计量或权益法核算转成本法核算 本集团原持有的对被投资单位不具有控制、共同控制或重大影响的按金融工具确认和计</w:t>
      </w:r>
    </w:p>
    <w:p>
      <w:pPr>
        <w:pStyle w:val="BodyText"/>
        <w:spacing w:line="312" w:lineRule="exact"/>
        <w:ind w:left="0" w:right="1169"/>
        <w:jc w:val="right"/>
      </w:pPr>
      <w:r>
        <w:rPr/>
        <w:t>量准则进行会计处理的权益性投资，或原持有对联营企业、合营企业的长期股权投资，因追 加投资等原因能够对非同一控制下的被投资单位实施控制的，在编制个别财务报表时，按照 原持有的股权投资账面价值加上新增投资成本之和，作为改按成本法核算的初始投资成本。 购买日之前持有的股权投资因采用权益法核算而确认的其他综合收益，在处置该项投资</w:t>
      </w:r>
    </w:p>
    <w:p>
      <w:pPr>
        <w:pStyle w:val="BodyText"/>
        <w:spacing w:line="312" w:lineRule="exact"/>
        <w:ind w:left="1613" w:right="1153" w:hanging="480"/>
        <w:jc w:val="left"/>
      </w:pPr>
      <w:r>
        <w:rPr/>
        <w:t>时采用与被投资单位直接处置相关资产或负债相同的基础进行会计处理。 购买日之前持有的股权投资按照《企业会计准则第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w:t>
      </w:r>
    </w:p>
    <w:p>
      <w:pPr>
        <w:pStyle w:val="BodyText"/>
        <w:spacing w:line="312" w:lineRule="exact"/>
        <w:ind w:right="1170"/>
        <w:jc w:val="both"/>
      </w:pPr>
      <w:r>
        <w:rPr/>
        <w:t>规定进行会计处理的，原计入其他综合收益的累计公允价值变动在改按成本法核算时转入当 期损益。</w:t>
      </w:r>
    </w:p>
    <w:p>
      <w:pPr>
        <w:pStyle w:val="BodyText"/>
        <w:spacing w:line="312" w:lineRule="exact"/>
        <w:ind w:left="1613" w:right="1153"/>
        <w:jc w:val="left"/>
      </w:pPr>
      <w:r>
        <w:rPr>
          <w:rFonts w:ascii="Times New Roman" w:hAnsi="Times New Roman" w:cs="Times New Roman" w:eastAsia="Times New Roman" w:hint="default"/>
        </w:rPr>
        <w:t>3</w:t>
      </w:r>
      <w:r>
        <w:rPr/>
        <w:t>）权益法核算转公允价值计量 本集团因处置部分股权投资等原因丧失了对被投资单位的共同控制或重大影响的，处置</w:t>
      </w:r>
    </w:p>
    <w:p>
      <w:pPr>
        <w:pStyle w:val="BodyText"/>
        <w:spacing w:line="312" w:lineRule="exact"/>
        <w:ind w:left="1134" w:right="1169"/>
        <w:jc w:val="both"/>
      </w:pPr>
      <w:r>
        <w:rPr/>
        <w:t>后的剩余股权改按《企业会计准则第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金融工具确认和计量》核算，其在丧失共同控制 或重大影响之日的公允价值与账面价值间的差额计入当期损益。</w:t>
      </w:r>
    </w:p>
    <w:p>
      <w:pPr>
        <w:pStyle w:val="BodyText"/>
        <w:spacing w:line="312" w:lineRule="exact"/>
        <w:ind w:right="1170" w:firstLine="480"/>
        <w:jc w:val="both"/>
      </w:pPr>
      <w:r>
        <w:rPr/>
        <w:t>原股权投资因采用权益法核算而确认的其他综合收益，在终止采用权益法核算时采用与 被投资单位直接处置相关资产或负债相同的基础进行会计处理。</w:t>
      </w:r>
    </w:p>
    <w:p>
      <w:pPr>
        <w:pStyle w:val="BodyText"/>
        <w:spacing w:line="312" w:lineRule="exact"/>
        <w:ind w:left="1614" w:right="1152"/>
        <w:jc w:val="left"/>
      </w:pPr>
      <w:r>
        <w:rPr>
          <w:rFonts w:ascii="Times New Roman" w:hAnsi="Times New Roman" w:cs="Times New Roman" w:eastAsia="Times New Roman" w:hint="default"/>
        </w:rPr>
        <w:t>4</w:t>
      </w:r>
      <w:r>
        <w:rPr/>
        <w:t>）成本法转权益法 本集团因处置部分权益性投资等原因丧失了对被投资单位的控制的，在编制个别财务报</w:t>
      </w:r>
    </w:p>
    <w:p>
      <w:pPr>
        <w:pStyle w:val="BodyText"/>
        <w:spacing w:line="312" w:lineRule="exact"/>
        <w:ind w:left="1134" w:right="1170"/>
        <w:jc w:val="both"/>
      </w:pPr>
      <w:r>
        <w:rPr/>
        <w:t>表时，处置后的剩余股权能够对被投资单位实施共同控制或施加重大影响的，改按权益法核 算，并对该剩余股权视同自取得时即采用权益法核算进行调整。</w:t>
      </w:r>
    </w:p>
    <w:p>
      <w:pPr>
        <w:pStyle w:val="BodyText"/>
        <w:spacing w:line="312" w:lineRule="exact"/>
        <w:ind w:left="1613" w:right="1153"/>
        <w:jc w:val="left"/>
      </w:pPr>
      <w:r>
        <w:rPr>
          <w:rFonts w:ascii="Times New Roman" w:hAnsi="Times New Roman" w:cs="Times New Roman" w:eastAsia="Times New Roman" w:hint="default"/>
        </w:rPr>
        <w:t>5</w:t>
      </w:r>
      <w:r>
        <w:rPr/>
        <w:t>）成本法转公允价值计量 本集团因处置部分权益性投资等原因丧失了对被投资单位的控制的，在编制个别财务报</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134" w:right="1171"/>
        <w:jc w:val="both"/>
      </w:pPr>
      <w:r>
        <w:rPr/>
        <w:t>表时，处置后的剩余股权不能对被投资单位实施共同控制或施加重大影响的，改按《企业会 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金融工具确认和计量》的有关规定进行会计处理，其在丧失控制之日的公允 价值与账面价值间的差额计入当期损益。</w:t>
      </w:r>
    </w:p>
    <w:p>
      <w:pPr>
        <w:pStyle w:val="BodyText"/>
        <w:spacing w:line="225" w:lineRule="auto"/>
        <w:ind w:left="1613" w:right="1153"/>
        <w:jc w:val="left"/>
      </w:pPr>
      <w:r>
        <w:rPr/>
        <w:t>（</w:t>
      </w:r>
      <w:r>
        <w:rPr>
          <w:rFonts w:ascii="Times New Roman" w:hAnsi="Times New Roman" w:cs="Times New Roman" w:eastAsia="Times New Roman" w:hint="default"/>
        </w:rPr>
        <w:t>4</w:t>
      </w:r>
      <w:r>
        <w:rPr/>
        <w:t>）长期股权投资的处置 处置长期股权投资，其账面价值与实际取得价款的差额，计入当期投资收益。采用权益</w:t>
      </w:r>
    </w:p>
    <w:p>
      <w:pPr>
        <w:pStyle w:val="BodyText"/>
        <w:spacing w:line="312" w:lineRule="exact" w:before="30"/>
        <w:ind w:right="1153"/>
        <w:jc w:val="left"/>
      </w:pPr>
      <w:r>
        <w:rPr/>
        <w:t>法核算的长期股权投资，在处置该项投资时，采用与被投资单位直接处置相关资产或负债相 同的基础，按相应比例对原计入其他综合收益的部分进行会计处理</w:t>
      </w:r>
    </w:p>
    <w:p>
      <w:pPr>
        <w:pStyle w:val="BodyText"/>
        <w:spacing w:line="312" w:lineRule="exact"/>
        <w:ind w:right="994" w:firstLine="480"/>
        <w:jc w:val="left"/>
      </w:pPr>
      <w:r>
        <w:rPr>
          <w:spacing w:val="-3"/>
        </w:rPr>
        <w:t>处置对子公司股权投资的各项交易的条款、条件以及经济影响符合以下一种或多种情况，</w:t>
      </w:r>
      <w:r>
        <w:rPr/>
        <w:t> 将该多次交易作为一揽子交易进行会计处理：</w:t>
      </w:r>
    </w:p>
    <w:p>
      <w:pPr>
        <w:pStyle w:val="BodyText"/>
        <w:spacing w:line="291" w:lineRule="exact"/>
        <w:ind w:left="1614" w:right="1033"/>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312" w:lineRule="exact"/>
        <w:ind w:left="1613" w:right="1033"/>
        <w:jc w:val="left"/>
      </w:pPr>
      <w:r>
        <w:rPr>
          <w:rFonts w:ascii="Times New Roman" w:hAnsi="Times New Roman" w:cs="Times New Roman" w:eastAsia="Times New Roman" w:hint="default"/>
        </w:rPr>
        <w:t>2</w:t>
      </w:r>
      <w:r>
        <w:rPr/>
        <w:t>）这些交易整体才能达成一项完整的商业结果；</w:t>
      </w:r>
    </w:p>
    <w:p>
      <w:pPr>
        <w:pStyle w:val="BodyText"/>
        <w:spacing w:line="312" w:lineRule="exact"/>
        <w:ind w:left="1613" w:right="1033"/>
        <w:jc w:val="left"/>
      </w:pPr>
      <w:r>
        <w:rPr>
          <w:rFonts w:ascii="Times New Roman" w:hAnsi="Times New Roman" w:cs="Times New Roman" w:eastAsia="Times New Roman" w:hint="default"/>
        </w:rPr>
        <w:t>3</w:t>
      </w:r>
      <w:r>
        <w:rPr/>
        <w:t>）一项交易的发生取决于其他至少一项交易的发生；</w:t>
      </w:r>
    </w:p>
    <w:p>
      <w:pPr>
        <w:pStyle w:val="BodyText"/>
        <w:spacing w:line="312" w:lineRule="exact" w:before="20"/>
        <w:ind w:left="1613" w:right="1153"/>
        <w:jc w:val="left"/>
      </w:pPr>
      <w:r>
        <w:rPr>
          <w:rFonts w:ascii="Times New Roman" w:hAnsi="Times New Roman" w:cs="Times New Roman" w:eastAsia="Times New Roman" w:hint="default"/>
        </w:rPr>
        <w:t>4</w:t>
      </w:r>
      <w:r>
        <w:rPr/>
        <w:t>）一项交易单独看是不经济的，但是和其他交易一并考虑时是最终的。 因处置部分股权投资或其他原因丧失了对原有子公司控制权的，不属于一揽子交易的，</w:t>
      </w:r>
    </w:p>
    <w:p>
      <w:pPr>
        <w:pStyle w:val="BodyText"/>
        <w:spacing w:line="282" w:lineRule="exact"/>
        <w:ind w:right="1033"/>
        <w:jc w:val="left"/>
      </w:pPr>
      <w:r>
        <w:rPr/>
        <w:t>区分个别财务报表和合并财务报表进行相关会计处理：</w:t>
      </w:r>
    </w:p>
    <w:p>
      <w:pPr>
        <w:pStyle w:val="BodyText"/>
        <w:spacing w:line="312" w:lineRule="exact" w:before="29"/>
        <w:ind w:right="1132" w:firstLine="480"/>
        <w:jc w:val="both"/>
      </w:pPr>
      <w:r>
        <w:rPr>
          <w:rFonts w:ascii="Times New Roman" w:hAnsi="Times New Roman" w:cs="Times New Roman" w:eastAsia="Times New Roman" w:hint="default"/>
          <w:spacing w:val="-3"/>
        </w:rPr>
        <w:t>1</w:t>
      </w:r>
      <w:r>
        <w:rPr>
          <w:spacing w:val="-3"/>
        </w:rPr>
        <w:t>）在个别财务报表中，对于处置的股权，其账面价值与实际取得价款之间的差额计入当</w:t>
      </w:r>
      <w:r>
        <w:rPr/>
        <w:t> 期损益。处置后的剩余股权能够对被投资单位实施共同控制或施加重大影响的，改按权益法 核算，并对该剩余股权视同自取得时即采用权益法核算进行调整；处置后的剩余股权不能对 被投资单位实施共同控制或施加重大影响的，改按《企业会计准则第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 计量》的有关规定进行会计处理，其在丧失控制之日的公允价值与账面价值间的差额计入当 期投资损益。</w:t>
      </w:r>
    </w:p>
    <w:p>
      <w:pPr>
        <w:pStyle w:val="BodyText"/>
        <w:spacing w:line="225" w:lineRule="auto"/>
        <w:ind w:right="1033" w:firstLine="480"/>
        <w:jc w:val="left"/>
      </w:pPr>
      <w:r>
        <w:rPr>
          <w:rFonts w:ascii="Times New Roman" w:hAnsi="Times New Roman" w:cs="Times New Roman" w:eastAsia="Times New Roman" w:hint="default"/>
          <w:spacing w:val="-3"/>
        </w:rPr>
        <w:t>2</w:t>
      </w:r>
      <w:r>
        <w:rPr>
          <w:spacing w:val="-3"/>
        </w:rPr>
        <w:t>）在合并财务报表中，对于在丧失对子公司控制权以前的各项交易，处置价款与处置长</w:t>
      </w:r>
      <w:r>
        <w:rPr/>
        <w:t> 期股权投资相应对享有子公司自购买日或合并日开始持续计量的净资产份额之间的差额，调</w:t>
      </w:r>
    </w:p>
    <w:p>
      <w:pPr>
        <w:pStyle w:val="BodyText"/>
        <w:spacing w:line="312" w:lineRule="exact" w:before="30"/>
        <w:ind w:right="994"/>
        <w:jc w:val="left"/>
      </w:pPr>
      <w:r>
        <w:rPr>
          <w:spacing w:val="-3"/>
        </w:rPr>
        <w:t>整资本公积（股本溢价），资本公积不足冲减的，调整留存收益；在丧失对子公司控制权时，</w:t>
      </w:r>
      <w:r>
        <w:rPr>
          <w:spacing w:val="-82"/>
        </w:rPr>
        <w:t> </w:t>
      </w:r>
      <w:r>
        <w:rPr>
          <w:spacing w:val="-82"/>
        </w:rPr>
      </w:r>
      <w:r>
        <w:rPr/>
        <w:t>对于剩余股权，按照其在丧失控制权日的公允价值进行重新计量。处置股权取得的对价与剩 余股权公允价值之和，减去按原持股比例计算应享有原子公司自购买日开始持续计算的净资 产的份额之间的差额，计入丧失控制权当期的投资收益，同时冲减商誉。与原有子公司股权 投资相关的其他综合收益等，在丧失控制权时转为当期投资收益。</w:t>
      </w:r>
    </w:p>
    <w:p>
      <w:pPr>
        <w:pStyle w:val="BodyText"/>
        <w:spacing w:line="312" w:lineRule="exact"/>
        <w:ind w:right="1169" w:firstLine="480"/>
        <w:jc w:val="both"/>
      </w:pPr>
      <w:r>
        <w:rPr/>
        <w:t>处置对子公司股权投资直至丧失控制权的各项交易属于一揽子交易的，将各项交易作为 一项处置子公司股权投资并丧失控制权的交易进行会计处理，区分个别财务报表和合并财务 报表进行相关会计处理：</w:t>
      </w:r>
    </w:p>
    <w:p>
      <w:pPr>
        <w:pStyle w:val="BodyText"/>
        <w:spacing w:line="312" w:lineRule="exact"/>
        <w:ind w:left="1134" w:right="1131" w:firstLine="480"/>
        <w:jc w:val="both"/>
      </w:pPr>
      <w:r>
        <w:rPr>
          <w:rFonts w:ascii="Times New Roman" w:hAnsi="Times New Roman" w:cs="Times New Roman" w:eastAsia="Times New Roman" w:hint="default"/>
          <w:spacing w:val="-3"/>
        </w:rPr>
        <w:t>1</w:t>
      </w:r>
      <w:r>
        <w:rPr>
          <w:spacing w:val="-3"/>
        </w:rPr>
        <w:t>）在个别财务报表中，在丧失控制权之前每一次处置价款与处置的股权对应的长期股权</w:t>
      </w:r>
      <w:r>
        <w:rPr/>
        <w:t> 投资账面价值之间的差额，确认为其他综合收益，在丧失控制权时一并转入丧失控制权当期 的损益。</w:t>
      </w:r>
    </w:p>
    <w:p>
      <w:pPr>
        <w:pStyle w:val="BodyText"/>
        <w:spacing w:line="312" w:lineRule="exact"/>
        <w:ind w:left="1134" w:right="1131" w:firstLine="480"/>
        <w:jc w:val="both"/>
      </w:pPr>
      <w:r>
        <w:rPr>
          <w:rFonts w:ascii="Times New Roman" w:hAnsi="Times New Roman" w:cs="Times New Roman" w:eastAsia="Times New Roman" w:hint="default"/>
          <w:spacing w:val="-3"/>
        </w:rPr>
        <w:t>2</w:t>
      </w:r>
      <w:r>
        <w:rPr>
          <w:spacing w:val="-3"/>
        </w:rPr>
        <w:t>）在合并财务报表中，在丧失控制权之前每一次处置价款与处置投资对应的享有该子公</w:t>
      </w:r>
      <w:r>
        <w:rPr/>
        <w:t> 司净资产份额的差额，确认为其他综合收益，在丧失控制权时一并转入丧失控制权当期的损 益。</w:t>
      </w:r>
    </w:p>
    <w:p>
      <w:pPr>
        <w:pStyle w:val="BodyText"/>
        <w:spacing w:line="312" w:lineRule="exact"/>
        <w:ind w:left="1614" w:right="1152"/>
        <w:jc w:val="left"/>
      </w:pPr>
      <w:r>
        <w:rPr/>
        <w:t>（</w:t>
      </w:r>
      <w:r>
        <w:rPr>
          <w:rFonts w:ascii="Times New Roman" w:hAnsi="Times New Roman" w:cs="Times New Roman" w:eastAsia="Times New Roman" w:hint="default"/>
        </w:rPr>
        <w:t>5</w:t>
      </w:r>
      <w:r>
        <w:rPr/>
        <w:t>）共同控制、重大影响的判断标准 如果本集团按照相关约定与其他参与方集体控制某项安排，并且对该安排回报具有重大</w:t>
      </w:r>
    </w:p>
    <w:p>
      <w:pPr>
        <w:pStyle w:val="BodyText"/>
        <w:spacing w:line="283" w:lineRule="exact"/>
        <w:ind w:left="1134" w:right="1033"/>
        <w:jc w:val="left"/>
      </w:pPr>
      <w:r>
        <w:rPr/>
        <w:t>影响的活动决策，需要经过分享控制权的参与方一致同意时才存在，则视为本集团与其他参</w:t>
      </w:r>
    </w:p>
    <w:p>
      <w:pPr>
        <w:pStyle w:val="BodyText"/>
        <w:spacing w:line="312" w:lineRule="exact" w:before="30"/>
        <w:ind w:left="1614" w:right="1152" w:hanging="480"/>
        <w:jc w:val="left"/>
      </w:pPr>
      <w:r>
        <w:rPr/>
        <w:t>与方共同控制某项安排，该安排即属于合营安排。 合营安排通过单独主体达成的，根据相关约定判断本集团对该单独主体的净资产享有权</w:t>
      </w:r>
    </w:p>
    <w:p>
      <w:pPr>
        <w:pStyle w:val="BodyText"/>
        <w:spacing w:line="312" w:lineRule="exact"/>
        <w:ind w:left="1134" w:right="1152"/>
        <w:jc w:val="left"/>
      </w:pPr>
      <w:r>
        <w:rPr/>
        <w:t>利时，将该单独主体作为合营企业，采用权益法核算。若根据相关约定判断本公司并非对该 单独主体的净资产享有权利时，该单独主体作为共同经营，本集团确认与共同经营利益份额</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613" w:right="1153" w:hanging="480"/>
        <w:jc w:val="left"/>
      </w:pPr>
      <w:r>
        <w:rPr/>
        <w:t>相关的项目，并按照相关企业会计准则的规定进行会计处理。 重大影响，是指投资方对被投资单位的财务和经营政策有参与决策的权力，但并不能够</w:t>
      </w:r>
    </w:p>
    <w:p>
      <w:pPr>
        <w:pStyle w:val="BodyText"/>
        <w:spacing w:line="312" w:lineRule="exact"/>
        <w:ind w:right="1153"/>
        <w:jc w:val="left"/>
      </w:pPr>
      <w:r>
        <w:rPr/>
        <w:t>控制或者与其他方一起共同控制这些政策的制定。本集团通过以下一种或多种情形，并综合 考虑所有事实和情况后，判断对被投资单位具有重大影响。</w:t>
      </w:r>
    </w:p>
    <w:p>
      <w:pPr>
        <w:pStyle w:val="BodyText"/>
        <w:spacing w:line="292" w:lineRule="exact"/>
        <w:ind w:left="1613" w:right="1033"/>
        <w:jc w:val="left"/>
      </w:pPr>
      <w:r>
        <w:rPr>
          <w:rFonts w:ascii="Times New Roman" w:hAnsi="Times New Roman" w:cs="Times New Roman" w:eastAsia="Times New Roman" w:hint="default"/>
        </w:rPr>
        <w:t>1</w:t>
      </w:r>
      <w:r>
        <w:rPr/>
        <w:t>）在被投资单位的董事会或类似权力机构中派有代表；</w:t>
      </w:r>
    </w:p>
    <w:p>
      <w:pPr>
        <w:pStyle w:val="BodyText"/>
        <w:spacing w:line="312" w:lineRule="exact"/>
        <w:ind w:left="1613" w:right="1033"/>
        <w:jc w:val="left"/>
      </w:pPr>
      <w:r>
        <w:rPr>
          <w:rFonts w:ascii="Times New Roman" w:hAnsi="Times New Roman" w:cs="Times New Roman" w:eastAsia="Times New Roman" w:hint="default"/>
        </w:rPr>
        <w:t>2</w:t>
      </w:r>
      <w:r>
        <w:rPr/>
        <w:t>）参与被投资单位财务和经营政策制定过程；</w:t>
      </w:r>
    </w:p>
    <w:p>
      <w:pPr>
        <w:pStyle w:val="BodyText"/>
        <w:spacing w:line="312" w:lineRule="exact"/>
        <w:ind w:left="1613" w:right="1033"/>
        <w:jc w:val="left"/>
      </w:pPr>
      <w:r>
        <w:rPr>
          <w:rFonts w:ascii="Times New Roman" w:hAnsi="Times New Roman" w:cs="Times New Roman" w:eastAsia="Times New Roman" w:hint="default"/>
        </w:rPr>
        <w:t>3</w:t>
      </w:r>
      <w:r>
        <w:rPr/>
        <w:t>）与被投资单位之间发生重要交易；</w:t>
      </w:r>
    </w:p>
    <w:p>
      <w:pPr>
        <w:pStyle w:val="BodyText"/>
        <w:spacing w:line="312" w:lineRule="exact"/>
        <w:ind w:left="1613" w:right="1033"/>
        <w:jc w:val="left"/>
      </w:pPr>
      <w:r>
        <w:rPr>
          <w:rFonts w:ascii="Times New Roman" w:hAnsi="Times New Roman" w:cs="Times New Roman" w:eastAsia="Times New Roman" w:hint="default"/>
        </w:rPr>
        <w:t>4</w:t>
      </w:r>
      <w:r>
        <w:rPr/>
        <w:t>）向被投资单位派出管理人员；</w:t>
      </w:r>
    </w:p>
    <w:p>
      <w:pPr>
        <w:pStyle w:val="BodyText"/>
        <w:spacing w:line="322" w:lineRule="exact"/>
        <w:ind w:left="1613" w:right="1033"/>
        <w:jc w:val="left"/>
      </w:pP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spacing w:before="0"/>
        <w:ind w:left="1133" w:right="1033" w:firstLine="0"/>
        <w:jc w:val="left"/>
        <w:rPr>
          <w:rFonts w:ascii="宋体" w:hAnsi="宋体" w:cs="宋体" w:eastAsia="宋体" w:hint="default"/>
          <w:sz w:val="21"/>
          <w:szCs w:val="21"/>
        </w:rPr>
      </w:pPr>
      <w:bookmarkStart w:name="15、投资性房地产" w:id="182"/>
      <w:bookmarkEnd w:id="182"/>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312" w:lineRule="exact" w:before="6"/>
        <w:ind w:right="1170" w:firstLine="480"/>
        <w:jc w:val="both"/>
      </w:pPr>
      <w:r>
        <w:rPr/>
        <w:t>本集团对投资性房地产采用成本模式进行后续计量，按其预计使用寿命及净残值率采用 平均年限法计提折旧或摊销。投资性房地产的预计使用寿命、净残值率及年折旧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率如 下：</w:t>
      </w:r>
    </w:p>
    <w:tbl>
      <w:tblPr>
        <w:tblW w:w="0" w:type="auto"/>
        <w:jc w:val="left"/>
        <w:tblInd w:w="1126" w:type="dxa"/>
        <w:tblLayout w:type="fixed"/>
        <w:tblCellMar>
          <w:top w:w="0" w:type="dxa"/>
          <w:left w:w="0" w:type="dxa"/>
          <w:bottom w:w="0" w:type="dxa"/>
          <w:right w:w="0" w:type="dxa"/>
        </w:tblCellMar>
        <w:tblLook w:val="01E0"/>
      </w:tblPr>
      <w:tblGrid>
        <w:gridCol w:w="2490"/>
        <w:gridCol w:w="2015"/>
        <w:gridCol w:w="2254"/>
        <w:gridCol w:w="1775"/>
      </w:tblGrid>
      <w:tr>
        <w:trPr>
          <w:trHeight w:val="347"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hAnsi="宋体" w:cs="宋体" w:eastAsia="宋体" w:hint="default"/>
                <w:b/>
                <w:bCs/>
                <w:w w:val="95"/>
                <w:sz w:val="21"/>
                <w:szCs w:val="21"/>
              </w:rPr>
              <w:t>折旧年限（年）</w:t>
            </w:r>
            <w:r>
              <w:rPr>
                <w:rFonts w:ascii="宋体" w:hAnsi="宋体" w:cs="宋体" w:eastAsia="宋体" w:hint="default"/>
                <w:sz w:val="21"/>
                <w:szCs w:val="21"/>
              </w:rPr>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75" w:right="0"/>
              <w:jc w:val="left"/>
              <w:rPr>
                <w:rFonts w:ascii="宋体" w:hAnsi="宋体" w:cs="宋体" w:eastAsia="宋体" w:hint="default"/>
                <w:sz w:val="21"/>
                <w:szCs w:val="21"/>
              </w:rPr>
            </w:pPr>
            <w:r>
              <w:rPr>
                <w:rFonts w:ascii="宋体" w:hAnsi="宋体" w:cs="宋体" w:eastAsia="宋体" w:hint="default"/>
                <w:b/>
                <w:bCs/>
                <w:sz w:val="21"/>
                <w:szCs w:val="21"/>
              </w:rPr>
              <w:t>预计残值率（</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2"/>
              <w:jc w:val="right"/>
              <w:rPr>
                <w:rFonts w:ascii="宋体" w:hAnsi="宋体" w:cs="宋体" w:eastAsia="宋体" w:hint="default"/>
                <w:sz w:val="21"/>
                <w:szCs w:val="21"/>
              </w:rPr>
            </w:pPr>
            <w:r>
              <w:rPr>
                <w:rFonts w:ascii="宋体" w:hAnsi="宋体" w:cs="宋体" w:eastAsia="宋体" w:hint="default"/>
                <w:b/>
                <w:bCs/>
                <w:w w:val="95"/>
                <w:sz w:val="21"/>
                <w:szCs w:val="21"/>
              </w:rPr>
              <w:t>年折旧率（</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0.00</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2.00</w:t>
            </w:r>
          </w:p>
        </w:tc>
      </w:tr>
      <w:tr>
        <w:trPr>
          <w:trHeight w:val="348"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10.00</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35"/>
        <w:ind w:left="1134" w:right="1033" w:firstLine="0"/>
        <w:jc w:val="left"/>
        <w:rPr>
          <w:rFonts w:ascii="宋体" w:hAnsi="宋体" w:cs="宋体" w:eastAsia="宋体" w:hint="default"/>
          <w:sz w:val="21"/>
          <w:szCs w:val="21"/>
        </w:rPr>
      </w:pPr>
      <w:bookmarkStart w:name="16、固定资产" w:id="183"/>
      <w:bookmarkEnd w:id="183"/>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确认条件"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134" w:right="1032" w:firstLine="0"/>
        <w:jc w:val="left"/>
        <w:rPr>
          <w:rFonts w:ascii="宋体" w:hAnsi="宋体" w:cs="宋体" w:eastAsia="宋体" w:hint="default"/>
          <w:sz w:val="18"/>
          <w:szCs w:val="18"/>
        </w:rPr>
      </w:pPr>
      <w:r>
        <w:rPr>
          <w:rFonts w:ascii="宋体" w:hAnsi="宋体" w:cs="宋体" w:eastAsia="宋体" w:hint="default"/>
          <w:spacing w:val="-2"/>
          <w:sz w:val="18"/>
          <w:szCs w:val="18"/>
        </w:rPr>
        <w:t>本集团固定资产是指同时具有以下特征，即为生产商品、提供劳务、出租或经营管理而持有的，使用年限超过一年的有形资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产。固定资产包括房屋建筑物、机器设备、运输设备、办公设备和其他，按其取得时的成本作为入账的价值，其中，外购的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固定资产成本包括买价和进口关税等相关税费，以及为使固定资产达到预定可使用状态前所发生的可直接归属于该资产的其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他支出；自行建造固定资产的成本，由建造该项资产达到预定可使用状态前所发生的必要支出构成；投资者投入的固定资产，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按投资合同或协议约定的价值作为入账价值，但合同或协议约定价值不公允的按公允价值入账；融资租赁租入的固定资产，</w:t>
      </w:r>
      <w:r>
        <w:rPr>
          <w:rFonts w:ascii="宋体" w:hAnsi="宋体" w:cs="宋体" w:eastAsia="宋体" w:hint="default"/>
          <w:sz w:val="18"/>
          <w:szCs w:val="18"/>
        </w:rPr>
        <w:t> </w:t>
      </w:r>
      <w:r>
        <w:rPr>
          <w:rFonts w:ascii="宋体" w:hAnsi="宋体" w:cs="宋体" w:eastAsia="宋体" w:hint="default"/>
          <w:spacing w:val="-2"/>
          <w:sz w:val="18"/>
          <w:szCs w:val="18"/>
        </w:rPr>
        <w:t>按租赁开始日租赁资产公允价值与最低租赁付款额现值两者中较低者作为入账价值。与固定资产有关的后续支出，包括修理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支出、更新改造支出等，符合固定资产确认条件的，计入固定资产成本，对于被替换的部分，终止确认其账面价值；不符合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固定资产确认条件的，于发生时计入当期损益。</w:t>
      </w:r>
    </w:p>
    <w:p>
      <w:pPr>
        <w:spacing w:line="240" w:lineRule="auto" w:before="4"/>
        <w:rPr>
          <w:rFonts w:ascii="宋体" w:hAnsi="宋体" w:cs="宋体" w:eastAsia="宋体" w:hint="default"/>
          <w:sz w:val="22"/>
          <w:szCs w:val="22"/>
        </w:rPr>
      </w:pPr>
    </w:p>
    <w:p>
      <w:pPr>
        <w:spacing w:before="0"/>
        <w:ind w:left="1134" w:right="1033" w:firstLine="0"/>
        <w:jc w:val="left"/>
        <w:rPr>
          <w:rFonts w:ascii="宋体" w:hAnsi="宋体" w:cs="宋体" w:eastAsia="宋体" w:hint="default"/>
          <w:sz w:val="21"/>
          <w:szCs w:val="21"/>
        </w:rPr>
      </w:pPr>
      <w:bookmarkStart w:name="（2）折旧方法"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26"/>
        <w:gridCol w:w="1903"/>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9.00%-9.70%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9.00%-19.40%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26"/>
        <w:gridCol w:w="1903"/>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18.00%-19.40%</w:t>
            </w:r>
          </w:p>
        </w:tc>
      </w:tr>
    </w:tbl>
    <w:p>
      <w:pPr>
        <w:spacing w:line="240" w:lineRule="auto" w:before="2"/>
        <w:rPr>
          <w:rFonts w:ascii="宋体" w:hAnsi="宋体" w:cs="宋体" w:eastAsia="宋体" w:hint="default"/>
          <w:b/>
          <w:bCs/>
          <w:sz w:val="19"/>
          <w:szCs w:val="19"/>
        </w:rPr>
      </w:pPr>
    </w:p>
    <w:p>
      <w:pPr>
        <w:spacing w:before="35"/>
        <w:ind w:left="1134" w:right="1033" w:firstLine="0"/>
        <w:jc w:val="left"/>
        <w:rPr>
          <w:rFonts w:ascii="宋体" w:hAnsi="宋体" w:cs="宋体" w:eastAsia="宋体" w:hint="default"/>
          <w:sz w:val="21"/>
          <w:szCs w:val="21"/>
        </w:rPr>
      </w:pPr>
      <w:bookmarkStart w:name="（3）融资租入固定资产的认定依据、计价和折旧方法"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7、在建工程" w:id="187"/>
      <w:bookmarkEnd w:id="187"/>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70" w:firstLine="480"/>
        <w:jc w:val="both"/>
      </w:pPr>
      <w:r>
        <w:rPr/>
        <w:t>在建工程按实际发生的成本计量。自营建筑工程按直接材料、直接工资、直接施工费等 计量；出包建筑工程按应支付的工程价款等计量；设备安装工程按所安装设备的价值、安装 费用、工程试运转等所发生的支出等确定工程成本。在建工程成本还包括应当资本化的借款 费用和汇兑损益。</w:t>
      </w:r>
    </w:p>
    <w:p>
      <w:pPr>
        <w:pStyle w:val="BodyText"/>
        <w:spacing w:line="312" w:lineRule="exact"/>
        <w:ind w:left="1134" w:right="1170" w:firstLine="480"/>
        <w:jc w:val="both"/>
      </w:pPr>
      <w:r>
        <w:rPr/>
        <w:t>在建工程在达到预定可使用状态之日起，根据工程预算、造价或工程实际成本等，按估 计的价值结转固定资产，次月起开始计提折旧，待办理了竣工决算手续后再对固定资产原值 差异进行调整。</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4" w:right="1033" w:firstLine="0"/>
        <w:jc w:val="left"/>
        <w:rPr>
          <w:rFonts w:ascii="宋体" w:hAnsi="宋体" w:cs="宋体" w:eastAsia="宋体" w:hint="default"/>
          <w:sz w:val="21"/>
          <w:szCs w:val="21"/>
        </w:rPr>
      </w:pPr>
      <w:bookmarkStart w:name="18、借款费用" w:id="188"/>
      <w:bookmarkEnd w:id="188"/>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134" w:right="1170"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经开始时，开始资本化；当购建或生产符合资本化条件的资产达到预定可使用或可销售状态 时，停止资本化。其余借款费用在发生当期确认为费用。</w:t>
      </w:r>
    </w:p>
    <w:p>
      <w:pPr>
        <w:pStyle w:val="BodyText"/>
        <w:spacing w:line="312" w:lineRule="exact"/>
        <w:ind w:right="1169" w:firstLine="480"/>
        <w:jc w:val="both"/>
      </w:pPr>
      <w:r>
        <w:rPr/>
        <w:t>专门借款当期实际发生的利息费用，扣除尚未动用的借款资金存入银行取得的利息收入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化率根据一般借款加权平均利率计算确定。</w:t>
      </w:r>
    </w:p>
    <w:p>
      <w:pPr>
        <w:pStyle w:val="BodyText"/>
        <w:spacing w:line="312" w:lineRule="exact"/>
        <w:ind w:left="1134" w:right="1132" w:firstLine="480"/>
        <w:jc w:val="both"/>
      </w:pPr>
      <w:r>
        <w:rPr>
          <w:spacing w:val="-3"/>
        </w:rPr>
        <w:t>符合资本化条件的资产，是指需要经过相当长时间（通常指</w:t>
      </w:r>
      <w:r>
        <w:rPr>
          <w:rFonts w:ascii="Times New Roman" w:hAnsi="Times New Roman" w:cs="Times New Roman" w:eastAsia="Times New Roman" w:hint="default"/>
          <w:spacing w:val="-3"/>
        </w:rPr>
        <w:t>1</w:t>
      </w:r>
      <w:r>
        <w:rPr>
          <w:spacing w:val="-3"/>
        </w:rPr>
        <w:t>年以上）的购建或者生产活</w:t>
      </w:r>
      <w:r>
        <w:rPr/>
        <w:t> 动才能达到预定可使用或者可销售状态的固定资产、投资性房地产和存货等资产。</w:t>
      </w:r>
    </w:p>
    <w:p>
      <w:pPr>
        <w:pStyle w:val="BodyText"/>
        <w:spacing w:line="312" w:lineRule="exact" w:before="40"/>
        <w:ind w:left="1134" w:right="1033"/>
        <w:jc w:val="left"/>
      </w:pPr>
      <w:r>
        <w:rPr>
          <w:spacing w:val="3"/>
        </w:rPr>
        <w:t>如果符合资本化条件的资产在购建或者生产过程中发生非正常中断、且中断时间连续超过</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40"/>
        </w:rPr>
        <w:t> </w:t>
      </w:r>
      <w:r>
        <w:rPr/>
        <w:t>个月，暂停借款费用的资本化，直至资产的购建或生产活动重新开始。</w:t>
      </w:r>
    </w:p>
    <w:p>
      <w:pPr>
        <w:spacing w:line="240" w:lineRule="auto" w:before="4"/>
        <w:rPr>
          <w:rFonts w:ascii="宋体" w:hAnsi="宋体" w:cs="宋体" w:eastAsia="宋体" w:hint="default"/>
          <w:sz w:val="22"/>
          <w:szCs w:val="22"/>
        </w:rPr>
      </w:pPr>
    </w:p>
    <w:p>
      <w:pPr>
        <w:spacing w:before="0"/>
        <w:ind w:left="1134" w:right="1033" w:firstLine="0"/>
        <w:jc w:val="left"/>
        <w:rPr>
          <w:rFonts w:ascii="宋体" w:hAnsi="宋体" w:cs="宋体" w:eastAsia="宋体" w:hint="default"/>
          <w:sz w:val="21"/>
          <w:szCs w:val="21"/>
        </w:rPr>
      </w:pPr>
      <w:bookmarkStart w:name="19、生物资产" w:id="189"/>
      <w:bookmarkEnd w:id="189"/>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20、油气资产" w:id="190"/>
      <w:bookmarkEnd w:id="190"/>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21、无形资产" w:id="191"/>
      <w:bookmarkEnd w:id="191"/>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计价方法、使用寿命、减值测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37" w:lineRule="auto"/>
        <w:ind w:left="1134" w:right="1170" w:firstLine="480"/>
        <w:jc w:val="both"/>
      </w:pPr>
      <w:r>
        <w:rPr/>
        <w:t>本集团无形资产包括土地使用权、专利权、软件使用权、商标等，按取得时的实际成本 计量，其中，购入的无形资产，按实际支付的价款和相关的其他支出作为实际成本；投资者 投入的无形资产，按投资合同或协议约定的价值确定实际成本，但合同或协议约定价值不公 允的，按公允价值确定实际成本。</w:t>
      </w:r>
    </w:p>
    <w:p>
      <w:pPr>
        <w:pStyle w:val="BodyText"/>
        <w:spacing w:line="312" w:lineRule="exact"/>
        <w:ind w:left="1614" w:right="1033"/>
        <w:jc w:val="left"/>
      </w:pPr>
      <w:r>
        <w:rPr/>
        <w:t>土地使用权从出让起始日起，按其出让年限平均摊销；其他无形资产按预计使用年限、</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134" w:right="1152"/>
        <w:jc w:val="left"/>
      </w:pPr>
      <w:r>
        <w:rPr/>
        <w:t>合同规定的受益年限和法律规定的有效年限三者中最短者分期平均摊销。摊销金额按其受益 对象计入相关资产成本和当期损益。</w:t>
      </w:r>
    </w:p>
    <w:p>
      <w:pPr>
        <w:pStyle w:val="BodyText"/>
        <w:spacing w:line="312" w:lineRule="exact"/>
        <w:ind w:left="1134" w:right="1169" w:firstLine="480"/>
        <w:jc w:val="both"/>
      </w:pPr>
      <w:r>
        <w:rPr/>
        <w:t>对使用寿命有限的无形资产的预计使用寿命及摊销方法于每年年度终了进行复核并作适 当调整。在每个会计期间对使用寿命不确定的无形资产的预计使用寿命进行复核，如果有证</w:t>
      </w:r>
    </w:p>
    <w:p>
      <w:pPr>
        <w:pStyle w:val="BodyText"/>
        <w:spacing w:line="284" w:lineRule="exact"/>
        <w:ind w:left="1134" w:right="1033"/>
        <w:jc w:val="left"/>
      </w:pPr>
      <w:r>
        <w:rPr/>
        <w:t>据表明无形资产的使用寿命是有限的，则估计其使用寿命并在预计使用寿命内摊销。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33" w:right="1033" w:firstLine="0"/>
        <w:jc w:val="left"/>
        <w:rPr>
          <w:rFonts w:ascii="宋体" w:hAnsi="宋体" w:cs="宋体" w:eastAsia="宋体" w:hint="default"/>
          <w:sz w:val="21"/>
          <w:szCs w:val="21"/>
        </w:rPr>
      </w:pPr>
      <w:bookmarkStart w:name="（2）内部研究开发支出会计政策"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22、长期资产减值" w:id="194"/>
      <w:bookmarkEnd w:id="194"/>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69" w:firstLine="480"/>
        <w:jc w:val="both"/>
      </w:pPr>
      <w:r>
        <w:rPr/>
        <w:t>本集团于每一资产负债表日对长期股权投资、固定资产、在建工程、使用寿命有限的无 形资产等项目进行检查，当存在下列迹象时，表明资产可能发生了减值，本集团将进行减值 测试。对商誉和使用寿命不确定的无形资产，无论是否存在减值迹象，每年末均进行减值测 试。难以对单项资产的可收回金额进行测试的，以该资产所属的资产组或资产组组合为基础 测试。</w:t>
      </w:r>
    </w:p>
    <w:p>
      <w:pPr>
        <w:pStyle w:val="BodyText"/>
        <w:spacing w:line="312" w:lineRule="exact"/>
        <w:ind w:left="1134" w:right="1170" w:firstLine="480"/>
        <w:jc w:val="both"/>
      </w:pPr>
      <w:r>
        <w:rPr/>
        <w:t>减值测试后，若该资产的账面价值超过其可收回金额，其差额确认为减值损失，上述资 产的减值损失一经确认，在以后会计期间不予转回。资产的可收回金额是指资产的公允价值 减去处置费用后的净额与资产预计未来现金流量的现值两者之间的较高者。</w:t>
      </w:r>
    </w:p>
    <w:p>
      <w:pPr>
        <w:pStyle w:val="BodyText"/>
        <w:spacing w:line="282" w:lineRule="exact"/>
        <w:ind w:left="1614" w:right="1033"/>
        <w:jc w:val="left"/>
      </w:pPr>
      <w:r>
        <w:rPr/>
        <w:t>出现减值的迹象如下：</w:t>
      </w:r>
    </w:p>
    <w:p>
      <w:pPr>
        <w:pStyle w:val="BodyText"/>
        <w:spacing w:line="312" w:lineRule="exact" w:before="29"/>
        <w:ind w:right="1131" w:firstLine="480"/>
        <w:jc w:val="both"/>
      </w:pPr>
      <w:r>
        <w:rPr>
          <w:spacing w:val="-3"/>
        </w:rPr>
        <w:t>（</w:t>
      </w:r>
      <w:r>
        <w:rPr>
          <w:rFonts w:ascii="Times New Roman" w:hAnsi="Times New Roman" w:cs="Times New Roman" w:eastAsia="Times New Roman" w:hint="default"/>
          <w:spacing w:val="-3"/>
        </w:rPr>
        <w:t>1</w:t>
      </w:r>
      <w:r>
        <w:rPr>
          <w:spacing w:val="-3"/>
        </w:rPr>
        <w:t>）资产的市价当期大幅度下跌，其跌幅明显高于因时间的推移或者正常使用而预计的</w:t>
      </w:r>
      <w:r>
        <w:rPr/>
        <w:t> 下跌；</w:t>
      </w:r>
    </w:p>
    <w:p>
      <w:pPr>
        <w:pStyle w:val="BodyText"/>
        <w:spacing w:line="312" w:lineRule="exact"/>
        <w:ind w:right="1131" w:firstLine="480"/>
        <w:jc w:val="both"/>
      </w:pPr>
      <w:r>
        <w:rPr>
          <w:spacing w:val="-3"/>
        </w:rPr>
        <w:t>（</w:t>
      </w:r>
      <w:r>
        <w:rPr>
          <w:rFonts w:ascii="Times New Roman" w:hAnsi="Times New Roman" w:cs="Times New Roman" w:eastAsia="Times New Roman" w:hint="default"/>
          <w:spacing w:val="-3"/>
        </w:rPr>
        <w:t>2</w:t>
      </w:r>
      <w:r>
        <w:rPr>
          <w:spacing w:val="-3"/>
        </w:rPr>
        <w:t>）企业经营所处的经济、技术或者法律等环境以及资产所处的市场在当期或者将在近</w:t>
      </w:r>
      <w:r>
        <w:rPr/>
        <w:t> 期发生重大变化，从而对企业产生不利影响；</w:t>
      </w:r>
    </w:p>
    <w:p>
      <w:pPr>
        <w:pStyle w:val="BodyText"/>
        <w:spacing w:line="312" w:lineRule="exact"/>
        <w:ind w:right="1131" w:firstLine="480"/>
        <w:jc w:val="both"/>
      </w:pPr>
      <w:r>
        <w:rPr>
          <w:spacing w:val="-3"/>
        </w:rPr>
        <w:t>（</w:t>
      </w:r>
      <w:r>
        <w:rPr>
          <w:rFonts w:ascii="Times New Roman" w:hAnsi="Times New Roman" w:cs="Times New Roman" w:eastAsia="Times New Roman" w:hint="default"/>
          <w:spacing w:val="-3"/>
        </w:rPr>
        <w:t>3</w:t>
      </w:r>
      <w:r>
        <w:rPr>
          <w:spacing w:val="-3"/>
        </w:rPr>
        <w:t>）市场利率或者其他市场投资报酬率在当期已经提高，从而影响企业计算资产预计未</w:t>
      </w:r>
      <w:r>
        <w:rPr/>
        <w:t> 来现金流量现值的折现率，导致资产可收回金额大幅度降低；</w:t>
      </w:r>
    </w:p>
    <w:p>
      <w:pPr>
        <w:pStyle w:val="BodyText"/>
        <w:spacing w:line="291" w:lineRule="exact"/>
        <w:ind w:left="1613" w:right="1033"/>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312" w:lineRule="exact"/>
        <w:ind w:left="1613" w:right="1033"/>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12" w:lineRule="exact" w:before="20"/>
        <w:ind w:right="1131" w:firstLine="480"/>
        <w:jc w:val="both"/>
      </w:pPr>
      <w:r>
        <w:rPr>
          <w:spacing w:val="-3"/>
        </w:rPr>
        <w:t>（</w:t>
      </w:r>
      <w:r>
        <w:rPr>
          <w:rFonts w:ascii="Times New Roman" w:hAnsi="Times New Roman" w:cs="Times New Roman" w:eastAsia="Times New Roman" w:hint="default"/>
          <w:spacing w:val="-3"/>
        </w:rPr>
        <w:t>6</w:t>
      </w:r>
      <w:r>
        <w:rPr>
          <w:spacing w:val="-3"/>
        </w:rPr>
        <w:t>）企业内部报告的证据表明资产的经济绩效已经低于或者将低于预期，如资产所创造</w:t>
      </w:r>
      <w:r>
        <w:rPr/>
        <w:t> 的净现金流量或者实现的营业利润（或者亏损）远远低于（或者高于）预计金额等；</w:t>
      </w:r>
    </w:p>
    <w:p>
      <w:pPr>
        <w:pStyle w:val="BodyText"/>
        <w:spacing w:line="240" w:lineRule="auto" w:before="10"/>
        <w:ind w:right="1033"/>
        <w:jc w:val="left"/>
      </w:pPr>
      <w:r>
        <w:rPr/>
        <w:t>（</w:t>
      </w:r>
      <w:r>
        <w:rPr>
          <w:rFonts w:ascii="Times New Roman" w:hAnsi="Times New Roman" w:cs="Times New Roman" w:eastAsia="Times New Roman" w:hint="default"/>
        </w:rPr>
        <w:t>7</w:t>
      </w:r>
      <w:r>
        <w:rPr/>
        <w:t>）其他表明资产可能已经发生减值的迹象。</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23、长期待摊费用" w:id="195"/>
      <w:bookmarkEnd w:id="195"/>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70" w:firstLine="480"/>
        <w:jc w:val="both"/>
      </w:pPr>
      <w:r>
        <w:rPr/>
        <w:t>本集团的长期待摊费用包括房屋装修费、律师费、上市公司公告费等。费用在受益期内 平均摊销，如果长期待摊费用项目不能使以后会计期间受益，则将尚未摊销的该项目的摊余 价值全部转入当期损益。</w:t>
      </w:r>
    </w:p>
    <w:p>
      <w:pPr>
        <w:spacing w:after="0" w:line="312" w:lineRule="exact"/>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24、职工薪酬" w:id="196"/>
      <w:bookmarkEnd w:id="196"/>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短期薪酬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70" w:firstLine="480"/>
        <w:jc w:val="both"/>
      </w:pPr>
      <w:r>
        <w:rPr/>
        <w:t>短期薪酬是指本集团在职工提供相关服务的年度报告期间结束后十二个月内需要全部支 付的职工薪酬，离职后福利和辞退福利除外。本集团在职工提供服务的会计期间，将应付的 短期薪酬确认为负债，并根据职工服务的受益对象计入相关资产成本和费用。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3" w:right="1033" w:firstLine="0"/>
        <w:jc w:val="left"/>
        <w:rPr>
          <w:rFonts w:ascii="宋体" w:hAnsi="宋体" w:cs="宋体" w:eastAsia="宋体" w:hint="default"/>
          <w:sz w:val="21"/>
          <w:szCs w:val="21"/>
        </w:rPr>
      </w:pPr>
      <w:bookmarkStart w:name="（2）离职后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3"/>
        <w:rPr>
          <w:rFonts w:ascii="宋体" w:hAnsi="宋体" w:cs="宋体" w:eastAsia="宋体" w:hint="default"/>
          <w:b/>
          <w:bCs/>
          <w:sz w:val="28"/>
          <w:szCs w:val="28"/>
        </w:rPr>
      </w:pPr>
    </w:p>
    <w:p>
      <w:pPr>
        <w:spacing w:line="300" w:lineRule="auto" w:before="0"/>
        <w:ind w:left="1134" w:right="1134" w:firstLine="440"/>
        <w:jc w:val="both"/>
        <w:rPr>
          <w:rFonts w:ascii="宋体" w:hAnsi="宋体" w:cs="宋体" w:eastAsia="宋体" w:hint="default"/>
          <w:sz w:val="22"/>
          <w:szCs w:val="22"/>
        </w:rPr>
      </w:pPr>
      <w:r>
        <w:rPr>
          <w:rFonts w:ascii="宋体" w:hAnsi="宋体" w:cs="宋体" w:eastAsia="宋体" w:hint="default"/>
          <w:spacing w:val="-2"/>
          <w:sz w:val="22"/>
          <w:szCs w:val="22"/>
        </w:rPr>
        <w:t>离职后福利是指本集团为获得职工提供的服务而在职工退休或与企业解除劳动关系后，提供的各</w:t>
      </w:r>
      <w:r>
        <w:rPr>
          <w:rFonts w:ascii="宋体" w:hAnsi="宋体" w:cs="宋体" w:eastAsia="宋体" w:hint="default"/>
          <w:w w:val="99"/>
          <w:sz w:val="22"/>
          <w:szCs w:val="22"/>
        </w:rPr>
        <w:t> </w:t>
      </w:r>
      <w:r>
        <w:rPr>
          <w:rFonts w:ascii="宋体" w:hAnsi="宋体" w:cs="宋体" w:eastAsia="宋体" w:hint="default"/>
          <w:spacing w:val="-1"/>
          <w:w w:val="95"/>
          <w:sz w:val="22"/>
          <w:szCs w:val="22"/>
        </w:rPr>
        <w:t>种形式的报酬和福利。短期薪酬和辞退福利除外。离职后福利计划分类为设定提存计划和设定收益计</w:t>
      </w:r>
      <w:r>
        <w:rPr>
          <w:rFonts w:ascii="宋体" w:hAnsi="宋体" w:cs="宋体" w:eastAsia="宋体" w:hint="default"/>
          <w:w w:val="95"/>
          <w:sz w:val="22"/>
          <w:szCs w:val="22"/>
        </w:rPr>
        <w:t>   </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划。</w:t>
      </w:r>
    </w:p>
    <w:p>
      <w:pPr>
        <w:spacing w:line="240" w:lineRule="auto" w:before="2"/>
        <w:rPr>
          <w:rFonts w:ascii="宋体" w:hAnsi="宋体" w:cs="宋体" w:eastAsia="宋体" w:hint="default"/>
          <w:sz w:val="25"/>
          <w:szCs w:val="25"/>
        </w:rPr>
      </w:pPr>
    </w:p>
    <w:p>
      <w:pPr>
        <w:spacing w:line="297" w:lineRule="auto" w:before="0"/>
        <w:ind w:left="1134" w:right="994" w:firstLine="440"/>
        <w:jc w:val="left"/>
        <w:rPr>
          <w:rFonts w:ascii="宋体" w:hAnsi="宋体" w:cs="宋体" w:eastAsia="宋体" w:hint="default"/>
          <w:sz w:val="22"/>
          <w:szCs w:val="22"/>
        </w:rPr>
      </w:pPr>
      <w:r>
        <w:rPr>
          <w:rFonts w:ascii="宋体" w:hAnsi="宋体" w:cs="宋体" w:eastAsia="宋体" w:hint="default"/>
          <w:sz w:val="22"/>
          <w:szCs w:val="22"/>
        </w:rPr>
        <w:t>离职后福利设定提存计划主要为参加由各地劳动及社会保障机构组织实施的社会基本养老保险、</w:t>
      </w:r>
      <w:r>
        <w:rPr>
          <w:rFonts w:ascii="宋体" w:hAnsi="宋体" w:cs="宋体" w:eastAsia="宋体" w:hint="default"/>
          <w:w w:val="99"/>
          <w:sz w:val="22"/>
          <w:szCs w:val="22"/>
        </w:rPr>
        <w:t> </w:t>
      </w:r>
      <w:r>
        <w:rPr>
          <w:rFonts w:ascii="宋体" w:hAnsi="宋体" w:cs="宋体" w:eastAsia="宋体" w:hint="default"/>
          <w:spacing w:val="-4"/>
          <w:sz w:val="22"/>
          <w:szCs w:val="22"/>
        </w:rPr>
        <w:t>失业保险等。在职工为本集团提供服务的会计期间，将所设定提存计划计算的应缴存金额确认为负债，</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并计入当期损益或相关资产成本。</w:t>
      </w:r>
      <w:r>
        <w:rPr>
          <w:rFonts w:ascii="宋体" w:hAnsi="宋体" w:cs="宋体" w:eastAsia="宋体" w:hint="default"/>
          <w:w w:val="99"/>
          <w:sz w:val="22"/>
          <w:szCs w:val="22"/>
        </w:rPr>
        <w:t> </w:t>
      </w:r>
      <w:r>
        <w:rPr>
          <w:rFonts w:ascii="宋体" w:hAnsi="宋体" w:cs="宋体" w:eastAsia="宋体" w:hint="default"/>
          <w:sz w:val="22"/>
          <w:szCs w:val="22"/>
        </w:rPr>
        <w:t>本集团按照国家规定的标准定期缴付上述款项后，不再有其他的支付义务。</w:t>
      </w:r>
    </w:p>
    <w:p>
      <w:pPr>
        <w:spacing w:line="240" w:lineRule="auto" w:before="6"/>
        <w:rPr>
          <w:rFonts w:ascii="宋体" w:hAnsi="宋体" w:cs="宋体" w:eastAsia="宋体" w:hint="default"/>
          <w:sz w:val="21"/>
          <w:szCs w:val="21"/>
        </w:rPr>
      </w:pPr>
    </w:p>
    <w:p>
      <w:pPr>
        <w:spacing w:before="0"/>
        <w:ind w:left="1133" w:right="1033" w:firstLine="0"/>
        <w:jc w:val="left"/>
        <w:rPr>
          <w:rFonts w:ascii="宋体" w:hAnsi="宋体" w:cs="宋体" w:eastAsia="宋体" w:hint="default"/>
          <w:sz w:val="21"/>
          <w:szCs w:val="21"/>
        </w:rPr>
      </w:pPr>
      <w:bookmarkStart w:name="（3）辞退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70" w:firstLine="480"/>
        <w:jc w:val="both"/>
      </w:pPr>
      <w:r>
        <w:rPr/>
        <w:t>辞退福利是指本集团在职工劳动合同到期之前解除与职工的劳动关系，或者为鼓励职工 自愿接受裁减而给予职工的补偿，在发生当期计入当期损益。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3" w:right="1033" w:firstLine="0"/>
        <w:jc w:val="left"/>
        <w:rPr>
          <w:rFonts w:ascii="宋体" w:hAnsi="宋体" w:cs="宋体" w:eastAsia="宋体" w:hint="default"/>
          <w:sz w:val="21"/>
          <w:szCs w:val="21"/>
        </w:rPr>
      </w:pPr>
      <w:bookmarkStart w:name="（4）其他长期职工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9" w:lineRule="auto"/>
        <w:ind w:right="1133" w:firstLine="480"/>
        <w:jc w:val="right"/>
      </w:pPr>
      <w:r>
        <w:rPr/>
        <w:t>其他长期职工福利是指除短期薪酬、离职后福利、辞退福利之外的其他所有职工福利。 </w:t>
      </w:r>
      <w:r>
        <w:rPr>
          <w:spacing w:val="-3"/>
        </w:rPr>
        <w:t>对于符合设定提存计划的其他长期职工福利，在职工为本集团提供服务的会计期间，将应</w:t>
      </w:r>
      <w:r>
        <w:rPr/>
        <w:t> 缴存金额确认为负债，并计入当期损益或资产成本；除上述情形外的其他长期职工福利，在 资产负债表日使用预期累计福利单位进行清算，将设定受益计划产生的福利义务归属于职工</w:t>
      </w:r>
    </w:p>
    <w:p>
      <w:pPr>
        <w:pStyle w:val="BodyText"/>
        <w:spacing w:line="304" w:lineRule="exact"/>
        <w:ind w:right="1033"/>
        <w:jc w:val="left"/>
      </w:pPr>
      <w:r>
        <w:rPr/>
        <w:t>提供服务的期间，并计入当期损益或资产成本。</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134" w:right="1033" w:firstLine="0"/>
        <w:jc w:val="left"/>
        <w:rPr>
          <w:rFonts w:ascii="宋体" w:hAnsi="宋体" w:cs="宋体" w:eastAsia="宋体" w:hint="default"/>
          <w:sz w:val="21"/>
          <w:szCs w:val="21"/>
        </w:rPr>
      </w:pPr>
      <w:bookmarkStart w:name="25、预计负债" w:id="201"/>
      <w:bookmarkEnd w:id="201"/>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37" w:lineRule="auto"/>
        <w:ind w:left="1134" w:right="1170" w:firstLine="480"/>
        <w:jc w:val="both"/>
      </w:pPr>
      <w:r>
        <w:rPr/>
        <w:t>当与对外担保、商业承兑汇票贴现、未决诉讼或仲裁、产品质量保证等或有事项相关的 业务同时符合以下条件时，本集团将其确认为负债：该义务是本集团承担的现时义务；该义 务的履行很可能导致经济利益流出企业；该义务的金额能够可靠地计量。</w:t>
      </w:r>
    </w:p>
    <w:p>
      <w:pPr>
        <w:pStyle w:val="BodyText"/>
        <w:spacing w:line="312" w:lineRule="exact" w:before="29"/>
        <w:ind w:right="1170" w:firstLine="480"/>
        <w:jc w:val="both"/>
      </w:pPr>
      <w:r>
        <w:rPr/>
        <w:t>预计负债按照履行相关现时义务所需支出的最佳估计数进行初始计量，并综合考虑与或 有事项有关的风险、不确定性和货币时间价值等因素。货币时间价值影响重大的，通过对相 关未来现金流出进行折现后确定最佳估计数。每个资产负债表日对预计负债的账面价值进行</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left="1134" w:right="0"/>
        <w:jc w:val="both"/>
      </w:pPr>
      <w:r>
        <w:rPr/>
        <w:t>复核，如有改变则对账面价值进行调整以反映当前最佳估计数。</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33" w:right="0" w:firstLine="0"/>
        <w:jc w:val="both"/>
        <w:rPr>
          <w:rFonts w:ascii="宋体" w:hAnsi="宋体" w:cs="宋体" w:eastAsia="宋体" w:hint="default"/>
          <w:sz w:val="21"/>
          <w:szCs w:val="21"/>
        </w:rPr>
      </w:pPr>
      <w:bookmarkStart w:name="26、股份支付" w:id="202"/>
      <w:bookmarkEnd w:id="202"/>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994" w:firstLine="480"/>
        <w:jc w:val="left"/>
      </w:pPr>
      <w:r>
        <w:rPr/>
        <w:t>用以换取职工提供服务的以权益结算的股份支付，以授予职工权益工具在授予日的公允 </w:t>
      </w:r>
      <w:r>
        <w:rPr>
          <w:spacing w:val="-2"/>
        </w:rPr>
        <w:t>价值计量。该公允价值的金额在完成等待期内的服务或达到规定业绩条件才可行权的情况下，</w:t>
      </w:r>
      <w:r>
        <w:rPr/>
        <w:t> </w:t>
      </w:r>
      <w:r>
        <w:rPr>
          <w:spacing w:val="-2"/>
        </w:rPr>
        <w:t>在等待期内以对可行权权益工具数量的最佳估计为基础，按直线法计算计入相关成本或费用，</w:t>
      </w:r>
      <w:r>
        <w:rPr/>
        <w:t> 相应增加资本公积。</w:t>
      </w:r>
    </w:p>
    <w:p>
      <w:pPr>
        <w:pStyle w:val="BodyText"/>
        <w:spacing w:line="312" w:lineRule="exact"/>
        <w:ind w:left="1134" w:right="994" w:firstLine="480"/>
        <w:jc w:val="left"/>
      </w:pPr>
      <w:r>
        <w:rPr/>
        <w:t>以现金结算的股份支付，按照本集团承担的以股份或其他权益工具为基础确定的负债的 </w:t>
      </w:r>
      <w:r>
        <w:rPr>
          <w:spacing w:val="-2"/>
        </w:rPr>
        <w:t>公允价值计量。如授予后立即可行权，在授予日以承担负债的公允价值计入相关成本或费用，</w:t>
      </w:r>
      <w:r>
        <w:rPr/>
        <w:t> 相应增加负债；如需完成等待期内的服务或达到规定业绩条件以后才可行权，在等待期的每 </w:t>
      </w:r>
      <w:r>
        <w:rPr>
          <w:spacing w:val="-2"/>
        </w:rPr>
        <w:t>个资产负债表日，以对可行权情况的最佳估计为基础，按照本集团承担负债的公允价值金额，</w:t>
      </w:r>
      <w:r>
        <w:rPr/>
        <w:t> 将当期取得的服务计入成本或费用，相应调整负债。</w:t>
      </w:r>
    </w:p>
    <w:p>
      <w:pPr>
        <w:pStyle w:val="BodyText"/>
        <w:spacing w:line="312" w:lineRule="exact"/>
        <w:ind w:left="1134" w:right="1152" w:firstLine="480"/>
        <w:jc w:val="left"/>
      </w:pPr>
      <w:r>
        <w:rPr/>
        <w:t>在相关负债结算前的每个资产负债表日以及结算日，对负债的公允价值重新计量，其变 动计入当期损益。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27、优先股、永续债等其他金融工具" w:id="203"/>
      <w:bookmarkEnd w:id="203"/>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28、收入" w:id="204"/>
      <w:bookmarkEnd w:id="204"/>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line="259" w:lineRule="auto" w:before="0"/>
        <w:ind w:left="1134" w:right="1011" w:firstLine="420"/>
        <w:jc w:val="left"/>
        <w:rPr>
          <w:rFonts w:ascii="宋体" w:hAnsi="宋体" w:cs="宋体" w:eastAsia="宋体" w:hint="default"/>
          <w:sz w:val="22"/>
          <w:szCs w:val="22"/>
        </w:rPr>
      </w:pPr>
      <w:r>
        <w:rPr>
          <w:rFonts w:ascii="宋体" w:hAnsi="宋体" w:cs="宋体" w:eastAsia="宋体" w:hint="default"/>
          <w:spacing w:val="-3"/>
          <w:sz w:val="21"/>
          <w:szCs w:val="21"/>
        </w:rPr>
        <w:t>本</w:t>
      </w:r>
      <w:r>
        <w:rPr>
          <w:rFonts w:ascii="宋体" w:hAnsi="宋体" w:cs="宋体" w:eastAsia="宋体" w:hint="default"/>
          <w:spacing w:val="-3"/>
          <w:sz w:val="22"/>
          <w:szCs w:val="22"/>
        </w:rPr>
        <w:t>集团的营业收入主要包括销售商品收入、提供劳务收入、让渡资产使用权收入和建造合同收入，</w:t>
      </w:r>
      <w:r>
        <w:rPr>
          <w:rFonts w:ascii="宋体" w:hAnsi="宋体" w:cs="宋体" w:eastAsia="宋体" w:hint="default"/>
          <w:w w:val="99"/>
          <w:sz w:val="22"/>
          <w:szCs w:val="22"/>
        </w:rPr>
        <w:t> </w:t>
      </w:r>
      <w:r>
        <w:rPr>
          <w:rFonts w:ascii="宋体" w:hAnsi="宋体" w:cs="宋体" w:eastAsia="宋体" w:hint="default"/>
          <w:sz w:val="22"/>
          <w:szCs w:val="22"/>
        </w:rPr>
        <w:t>收入确认原则如下：</w:t>
      </w:r>
    </w:p>
    <w:p>
      <w:pPr>
        <w:spacing w:line="530" w:lineRule="atLeast" w:before="21"/>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）精密环境空调、计算机系统集成及环保设备销售收入</w:t>
      </w:r>
      <w:r>
        <w:rPr>
          <w:rFonts w:ascii="宋体" w:hAnsi="宋体" w:cs="宋体" w:eastAsia="宋体" w:hint="default"/>
          <w:w w:val="99"/>
          <w:sz w:val="22"/>
          <w:szCs w:val="22"/>
        </w:rPr>
        <w:t> </w:t>
      </w:r>
      <w:r>
        <w:rPr>
          <w:rFonts w:ascii="宋体" w:hAnsi="宋体" w:cs="宋体" w:eastAsia="宋体" w:hint="default"/>
          <w:spacing w:val="-2"/>
          <w:sz w:val="22"/>
          <w:szCs w:val="22"/>
        </w:rPr>
        <w:t>本集团在已将商品所有权上的主要风险和报酬转移给购货方、本集团既没有保留通常与所有权相</w:t>
      </w:r>
    </w:p>
    <w:p>
      <w:pPr>
        <w:spacing w:line="259" w:lineRule="auto" w:before="24"/>
        <w:ind w:left="1133" w:right="1095" w:firstLine="0"/>
        <w:jc w:val="both"/>
        <w:rPr>
          <w:rFonts w:ascii="宋体" w:hAnsi="宋体" w:cs="宋体" w:eastAsia="宋体" w:hint="default"/>
          <w:sz w:val="22"/>
          <w:szCs w:val="22"/>
        </w:rPr>
      </w:pPr>
      <w:r>
        <w:rPr>
          <w:rFonts w:ascii="宋体" w:hAnsi="宋体" w:cs="宋体" w:eastAsia="宋体" w:hint="default"/>
          <w:spacing w:val="-2"/>
          <w:sz w:val="22"/>
          <w:szCs w:val="22"/>
        </w:rPr>
        <w:t>联系的继续管理权、也没有对已售出的商品实施有效控制、收入的金额能够可靠地计量、相关的经济</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w w:val="95"/>
          <w:sz w:val="22"/>
          <w:szCs w:val="22"/>
        </w:rPr>
        <w:t>利益很可能流入企业、相关的已发生或将发生的成本能够可靠地计量时，确认销售商品收入的实现。</w:t>
      </w:r>
      <w:r>
        <w:rPr>
          <w:rFonts w:ascii="宋体" w:hAnsi="宋体" w:cs="宋体" w:eastAsia="宋体" w:hint="default"/>
          <w:spacing w:val="46"/>
          <w:w w:val="95"/>
          <w:sz w:val="22"/>
          <w:szCs w:val="22"/>
        </w:rPr>
        <w:t> </w:t>
      </w:r>
      <w:r>
        <w:rPr>
          <w:rFonts w:ascii="宋体" w:hAnsi="宋体" w:cs="宋体" w:eastAsia="宋体" w:hint="default"/>
          <w:spacing w:val="46"/>
          <w:w w:val="95"/>
          <w:sz w:val="22"/>
          <w:szCs w:val="22"/>
        </w:rPr>
      </w:r>
      <w:r>
        <w:rPr>
          <w:rFonts w:ascii="宋体" w:hAnsi="宋体" w:cs="宋体" w:eastAsia="宋体" w:hint="default"/>
          <w:sz w:val="22"/>
          <w:szCs w:val="22"/>
        </w:rPr>
        <w:t>具体确认原则如下：</w:t>
      </w:r>
    </w:p>
    <w:p>
      <w:pPr>
        <w:spacing w:line="240" w:lineRule="auto" w:before="11"/>
        <w:rPr>
          <w:rFonts w:ascii="宋体" w:hAnsi="宋体" w:cs="宋体" w:eastAsia="宋体" w:hint="default"/>
          <w:sz w:val="18"/>
          <w:szCs w:val="18"/>
        </w:rPr>
      </w:pPr>
    </w:p>
    <w:p>
      <w:pPr>
        <w:spacing w:line="252" w:lineRule="auto" w:before="0"/>
        <w:ind w:left="1133" w:right="1026" w:firstLine="550"/>
        <w:jc w:val="both"/>
        <w:rPr>
          <w:rFonts w:ascii="宋体" w:hAnsi="宋体" w:cs="宋体" w:eastAsia="宋体" w:hint="default"/>
          <w:sz w:val="22"/>
          <w:szCs w:val="22"/>
        </w:rPr>
      </w:pPr>
      <w:r>
        <w:rPr>
          <w:rFonts w:ascii="Times New Roman" w:hAnsi="Times New Roman" w:cs="Times New Roman" w:eastAsia="Times New Roman" w:hint="default"/>
          <w:spacing w:val="-4"/>
          <w:sz w:val="22"/>
          <w:szCs w:val="22"/>
        </w:rPr>
        <w:t>1</w:t>
      </w:r>
      <w:r>
        <w:rPr>
          <w:rFonts w:ascii="宋体" w:hAnsi="宋体" w:cs="宋体" w:eastAsia="宋体" w:hint="default"/>
          <w:spacing w:val="-4"/>
          <w:sz w:val="22"/>
          <w:szCs w:val="22"/>
        </w:rPr>
        <w:t>）销售给客户的精密环境空调，合同约定本集团没有安装义务的，在精密环境空调交付给客户，</w:t>
      </w:r>
      <w:r>
        <w:rPr>
          <w:rFonts w:ascii="宋体" w:hAnsi="宋体" w:cs="宋体" w:eastAsia="宋体" w:hint="default"/>
          <w:w w:val="99"/>
          <w:sz w:val="22"/>
          <w:szCs w:val="22"/>
        </w:rPr>
        <w:t> </w:t>
      </w:r>
      <w:r>
        <w:rPr>
          <w:rFonts w:ascii="宋体" w:hAnsi="宋体" w:cs="宋体" w:eastAsia="宋体" w:hint="default"/>
          <w:sz w:val="22"/>
          <w:szCs w:val="22"/>
        </w:rPr>
        <w:t>并取得客户收货证明时确认收入；销售给客户的精密环境空调，合同约定由本集团提供安装服务的，</w:t>
      </w:r>
      <w:r>
        <w:rPr>
          <w:rFonts w:ascii="宋体" w:hAnsi="宋体" w:cs="宋体" w:eastAsia="宋体" w:hint="default"/>
          <w:w w:val="99"/>
          <w:sz w:val="22"/>
          <w:szCs w:val="22"/>
        </w:rPr>
        <w:t> </w:t>
      </w:r>
      <w:r>
        <w:rPr>
          <w:rFonts w:ascii="宋体" w:hAnsi="宋体" w:cs="宋体" w:eastAsia="宋体" w:hint="default"/>
          <w:sz w:val="22"/>
          <w:szCs w:val="22"/>
        </w:rPr>
        <w:t>在精密环境空调交付并取得开机调试验收报告后确认收入。</w:t>
      </w:r>
    </w:p>
    <w:p>
      <w:pPr>
        <w:spacing w:line="240" w:lineRule="auto" w:before="4"/>
        <w:rPr>
          <w:rFonts w:ascii="宋体" w:hAnsi="宋体" w:cs="宋体" w:eastAsia="宋体" w:hint="default"/>
          <w:sz w:val="19"/>
          <w:szCs w:val="19"/>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本集团销售精密环境空调同时提供安装劳务的，如果销售商品部分和提供劳务部分能够区分且能</w:t>
      </w:r>
      <w:r>
        <w:rPr>
          <w:rFonts w:ascii="宋体" w:hAnsi="宋体" w:cs="宋体" w:eastAsia="宋体" w:hint="default"/>
          <w:w w:val="99"/>
          <w:sz w:val="22"/>
          <w:szCs w:val="22"/>
        </w:rPr>
        <w:t> </w:t>
      </w:r>
      <w:r>
        <w:rPr>
          <w:rFonts w:ascii="宋体" w:hAnsi="宋体" w:cs="宋体" w:eastAsia="宋体" w:hint="default"/>
          <w:spacing w:val="-1"/>
          <w:w w:val="95"/>
          <w:sz w:val="22"/>
          <w:szCs w:val="22"/>
        </w:rPr>
        <w:t>够单独计量的，分别确认销售商品部分和提供劳务部分的收入；如果销售商品部分和提供劳务部分不</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能够区分，或虽能区分但不能够单独计量的，将销售商品部分和提供劳务部分全部作为销售商品部分</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进行会计处理。</w:t>
      </w:r>
    </w:p>
    <w:p>
      <w:pPr>
        <w:spacing w:line="240" w:lineRule="auto" w:before="11"/>
        <w:rPr>
          <w:rFonts w:ascii="宋体" w:hAnsi="宋体" w:cs="宋体" w:eastAsia="宋体" w:hint="default"/>
          <w:sz w:val="18"/>
          <w:szCs w:val="18"/>
        </w:rPr>
      </w:pPr>
    </w:p>
    <w:p>
      <w:pPr>
        <w:spacing w:line="252" w:lineRule="auto" w:before="0"/>
        <w:ind w:left="1133" w:right="994" w:firstLine="66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）销售给客户的计算机系统集成，合同约定本集团没有安装义务的，在产品交付给客户，并</w:t>
      </w:r>
      <w:r>
        <w:rPr>
          <w:rFonts w:ascii="宋体" w:hAnsi="宋体" w:cs="宋体" w:eastAsia="宋体" w:hint="default"/>
          <w:w w:val="99"/>
          <w:sz w:val="22"/>
          <w:szCs w:val="22"/>
        </w:rPr>
        <w:t> </w:t>
      </w:r>
      <w:r>
        <w:rPr>
          <w:rFonts w:ascii="宋体" w:hAnsi="宋体" w:cs="宋体" w:eastAsia="宋体" w:hint="default"/>
          <w:spacing w:val="-4"/>
          <w:sz w:val="22"/>
          <w:szCs w:val="22"/>
        </w:rPr>
        <w:t>取得购客户收货证明时确认收入；销售给客户的计算机软、硬件，合同约定由本集团提供安装服务的，</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在计算机软硬件交付并取得开机调试验收报告后确认收入。</w:t>
      </w:r>
    </w:p>
    <w:p>
      <w:pPr>
        <w:spacing w:line="240" w:lineRule="auto" w:before="4"/>
        <w:rPr>
          <w:rFonts w:ascii="宋体" w:hAnsi="宋体" w:cs="宋体" w:eastAsia="宋体" w:hint="default"/>
          <w:sz w:val="19"/>
          <w:szCs w:val="19"/>
        </w:rPr>
      </w:pPr>
    </w:p>
    <w:p>
      <w:pPr>
        <w:spacing w:before="0"/>
        <w:ind w:left="1574" w:right="1033" w:firstLine="0"/>
        <w:jc w:val="left"/>
        <w:rPr>
          <w:rFonts w:ascii="宋体" w:hAnsi="宋体" w:cs="宋体" w:eastAsia="宋体" w:hint="default"/>
          <w:sz w:val="22"/>
          <w:szCs w:val="22"/>
        </w:rPr>
      </w:pPr>
      <w:r>
        <w:rPr>
          <w:rFonts w:ascii="宋体" w:hAnsi="宋体" w:cs="宋体" w:eastAsia="宋体" w:hint="default"/>
          <w:sz w:val="22"/>
          <w:szCs w:val="22"/>
        </w:rPr>
        <w:t>本集团销售计算机系统集成同时提供安装劳务的，如果销售商品部分和提供劳务部分能够区分且</w:t>
      </w:r>
    </w:p>
    <w:p>
      <w:pPr>
        <w:spacing w:after="0"/>
        <w:jc w:val="left"/>
        <w:rPr>
          <w:rFonts w:ascii="宋体" w:hAnsi="宋体" w:cs="宋体" w:eastAsia="宋体" w:hint="default"/>
          <w:sz w:val="22"/>
          <w:szCs w:val="22"/>
        </w:rPr>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4" w:right="1136" w:firstLine="0"/>
        <w:jc w:val="both"/>
        <w:rPr>
          <w:rFonts w:ascii="宋体" w:hAnsi="宋体" w:cs="宋体" w:eastAsia="宋体" w:hint="default"/>
          <w:sz w:val="22"/>
          <w:szCs w:val="22"/>
        </w:rPr>
      </w:pPr>
      <w:r>
        <w:rPr>
          <w:rFonts w:ascii="宋体" w:hAnsi="宋体" w:cs="宋体" w:eastAsia="宋体" w:hint="default"/>
          <w:spacing w:val="-1"/>
          <w:w w:val="95"/>
          <w:sz w:val="22"/>
          <w:szCs w:val="22"/>
        </w:rPr>
        <w:t>能够单独计量的，分别确认销售商品部分和提供劳务部分的收入；如果销售商品部分和提供劳务部分</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不能够区分，或虽能区分但不能够单独计量的，将销售商品部分和提供劳务部分全部作为销售商品部</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分进行会计处理。</w:t>
      </w:r>
    </w:p>
    <w:p>
      <w:pPr>
        <w:spacing w:line="240" w:lineRule="auto" w:before="11"/>
        <w:rPr>
          <w:rFonts w:ascii="宋体" w:hAnsi="宋体" w:cs="宋体" w:eastAsia="宋体" w:hint="default"/>
          <w:sz w:val="18"/>
          <w:szCs w:val="18"/>
        </w:rPr>
      </w:pPr>
    </w:p>
    <w:p>
      <w:pPr>
        <w:spacing w:line="252" w:lineRule="auto" w:before="0"/>
        <w:ind w:left="1134" w:right="1134" w:firstLine="550"/>
        <w:jc w:val="both"/>
        <w:rPr>
          <w:rFonts w:ascii="宋体" w:hAnsi="宋体" w:cs="宋体" w:eastAsia="宋体" w:hint="default"/>
          <w:sz w:val="22"/>
          <w:szCs w:val="22"/>
        </w:rPr>
      </w:pPr>
      <w:r>
        <w:rPr>
          <w:rFonts w:ascii="Times New Roman" w:hAnsi="Times New Roman" w:cs="Times New Roman" w:eastAsia="Times New Roman" w:hint="default"/>
          <w:spacing w:val="-2"/>
          <w:sz w:val="22"/>
          <w:szCs w:val="22"/>
        </w:rPr>
        <w:t>3</w:t>
      </w:r>
      <w:r>
        <w:rPr>
          <w:rFonts w:ascii="宋体" w:hAnsi="宋体" w:cs="宋体" w:eastAsia="宋体" w:hint="default"/>
          <w:spacing w:val="-2"/>
          <w:sz w:val="22"/>
          <w:szCs w:val="22"/>
        </w:rPr>
        <w:t>）销售给客户的环保设备，合同约定本集团没有安装义务的，在环保设备交付给客户，并取得</w:t>
      </w:r>
      <w:r>
        <w:rPr>
          <w:rFonts w:ascii="宋体" w:hAnsi="宋体" w:cs="宋体" w:eastAsia="宋体" w:hint="default"/>
          <w:w w:val="99"/>
          <w:sz w:val="22"/>
          <w:szCs w:val="22"/>
        </w:rPr>
        <w:t> </w:t>
      </w:r>
      <w:r>
        <w:rPr>
          <w:rFonts w:ascii="宋体" w:hAnsi="宋体" w:cs="宋体" w:eastAsia="宋体" w:hint="default"/>
          <w:spacing w:val="-1"/>
          <w:w w:val="95"/>
          <w:sz w:val="22"/>
          <w:szCs w:val="22"/>
        </w:rPr>
        <w:t>客户收货证明时确认收入；销售给客户的环保设备，合同约定由本集团提供安装服务的，在环保设备</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交付安装完毕并取得验收报告或同等证明资料后确认收入。</w:t>
      </w:r>
    </w:p>
    <w:p>
      <w:pPr>
        <w:spacing w:line="240" w:lineRule="auto" w:before="4"/>
        <w:rPr>
          <w:rFonts w:ascii="宋体" w:hAnsi="宋体" w:cs="宋体" w:eastAsia="宋体" w:hint="default"/>
          <w:sz w:val="19"/>
          <w:szCs w:val="19"/>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本集团销售环保设备同时提供安装劳务的，如果销售商品部分和提供劳务部分能够区分且能够单</w:t>
      </w:r>
      <w:r>
        <w:rPr>
          <w:rFonts w:ascii="宋体" w:hAnsi="宋体" w:cs="宋体" w:eastAsia="宋体" w:hint="default"/>
          <w:w w:val="99"/>
          <w:sz w:val="22"/>
          <w:szCs w:val="22"/>
        </w:rPr>
        <w:t> </w:t>
      </w:r>
      <w:r>
        <w:rPr>
          <w:rFonts w:ascii="宋体" w:hAnsi="宋体" w:cs="宋体" w:eastAsia="宋体" w:hint="default"/>
          <w:spacing w:val="-1"/>
          <w:w w:val="95"/>
          <w:sz w:val="22"/>
          <w:szCs w:val="22"/>
        </w:rPr>
        <w:t>独计量的，分别确认销售商品部分和提供劳务部分的收入；如果销售商品部分和提供劳务部分不能够</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区分，或虽能区分但不能够单独计量的，将销售商品部分和提供劳务部分全部作为销售商品部分进行</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会计处理。</w:t>
      </w:r>
    </w:p>
    <w:p>
      <w:pPr>
        <w:spacing w:line="240" w:lineRule="auto" w:before="11"/>
        <w:rPr>
          <w:rFonts w:ascii="宋体" w:hAnsi="宋体" w:cs="宋体" w:eastAsia="宋体" w:hint="default"/>
          <w:sz w:val="18"/>
          <w:szCs w:val="18"/>
        </w:rPr>
      </w:pPr>
    </w:p>
    <w:p>
      <w:pPr>
        <w:spacing w:before="0"/>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）提供劳务收入</w:t>
      </w:r>
    </w:p>
    <w:p>
      <w:pPr>
        <w:spacing w:line="530" w:lineRule="atLeast" w:before="22"/>
        <w:ind w:left="1574" w:right="1033" w:firstLine="109"/>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）精密环境工程承包业务</w:t>
      </w:r>
      <w:r>
        <w:rPr>
          <w:rFonts w:ascii="宋体" w:hAnsi="宋体" w:cs="宋体" w:eastAsia="宋体" w:hint="default"/>
          <w:w w:val="99"/>
          <w:sz w:val="22"/>
          <w:szCs w:val="22"/>
        </w:rPr>
        <w:t> </w:t>
      </w:r>
      <w:r>
        <w:rPr>
          <w:rFonts w:ascii="宋体" w:hAnsi="宋体" w:cs="宋体" w:eastAsia="宋体" w:hint="default"/>
          <w:spacing w:val="-2"/>
          <w:sz w:val="22"/>
          <w:szCs w:val="22"/>
        </w:rPr>
        <w:t>本集团精密环境工程在相关服务已经提供，收到价款或取得收取款项的证据时确认收入。具体确</w:t>
      </w:r>
    </w:p>
    <w:p>
      <w:pPr>
        <w:spacing w:before="24"/>
        <w:ind w:left="1134" w:right="0" w:firstLine="0"/>
        <w:jc w:val="both"/>
        <w:rPr>
          <w:rFonts w:ascii="宋体" w:hAnsi="宋体" w:cs="宋体" w:eastAsia="宋体" w:hint="default"/>
          <w:sz w:val="22"/>
          <w:szCs w:val="22"/>
        </w:rPr>
      </w:pPr>
      <w:r>
        <w:rPr>
          <w:rFonts w:ascii="宋体" w:hAnsi="宋体" w:cs="宋体" w:eastAsia="宋体" w:hint="default"/>
          <w:sz w:val="22"/>
          <w:szCs w:val="22"/>
        </w:rPr>
        <w:t>认原则如下：</w:t>
      </w:r>
    </w:p>
    <w:p>
      <w:pPr>
        <w:spacing w:line="240" w:lineRule="auto" w:before="2"/>
        <w:rPr>
          <w:rFonts w:ascii="宋体" w:hAnsi="宋体" w:cs="宋体" w:eastAsia="宋体" w:hint="default"/>
          <w:sz w:val="20"/>
          <w:szCs w:val="20"/>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精密环境工程项目竣工后，经验收合格，并办理工程移交手续，公司在取得验收报告或同等证明</w:t>
      </w:r>
      <w:r>
        <w:rPr>
          <w:rFonts w:ascii="宋体" w:hAnsi="宋体" w:cs="宋体" w:eastAsia="宋体" w:hint="default"/>
          <w:w w:val="99"/>
          <w:sz w:val="22"/>
          <w:szCs w:val="22"/>
        </w:rPr>
        <w:t> </w:t>
      </w:r>
      <w:r>
        <w:rPr>
          <w:rFonts w:ascii="宋体" w:hAnsi="宋体" w:cs="宋体" w:eastAsia="宋体" w:hint="default"/>
          <w:sz w:val="22"/>
          <w:szCs w:val="22"/>
        </w:rPr>
        <w:t>资料时确认收入。</w:t>
      </w:r>
    </w:p>
    <w:p>
      <w:pPr>
        <w:spacing w:line="530" w:lineRule="atLeast" w:before="21"/>
        <w:ind w:left="1574" w:right="1033" w:firstLine="109"/>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）空调设备安装及维护服务收入</w:t>
      </w:r>
      <w:r>
        <w:rPr>
          <w:rFonts w:ascii="宋体" w:hAnsi="宋体" w:cs="宋体" w:eastAsia="宋体" w:hint="default"/>
          <w:w w:val="99"/>
          <w:sz w:val="22"/>
          <w:szCs w:val="22"/>
        </w:rPr>
        <w:t> </w:t>
      </w:r>
      <w:r>
        <w:rPr>
          <w:rFonts w:ascii="宋体" w:hAnsi="宋体" w:cs="宋体" w:eastAsia="宋体" w:hint="default"/>
          <w:w w:val="95"/>
          <w:sz w:val="22"/>
          <w:szCs w:val="22"/>
        </w:rPr>
        <w:t>本集团与客户单独签定的空调设备安装服务合同、销售空调设备质保期以外的空调设备维护合</w:t>
      </w:r>
      <w:r>
        <w:rPr>
          <w:rFonts w:ascii="宋体" w:hAnsi="宋体" w:cs="宋体" w:eastAsia="宋体" w:hint="default"/>
          <w:sz w:val="22"/>
          <w:szCs w:val="22"/>
        </w:rPr>
      </w:r>
    </w:p>
    <w:p>
      <w:pPr>
        <w:spacing w:before="24"/>
        <w:ind w:left="1134" w:right="0" w:firstLine="0"/>
        <w:jc w:val="both"/>
        <w:rPr>
          <w:rFonts w:ascii="宋体" w:hAnsi="宋体" w:cs="宋体" w:eastAsia="宋体" w:hint="default"/>
          <w:sz w:val="22"/>
          <w:szCs w:val="22"/>
        </w:rPr>
      </w:pPr>
      <w:r>
        <w:rPr>
          <w:rFonts w:ascii="宋体" w:hAnsi="宋体" w:cs="宋体" w:eastAsia="宋体" w:hint="default"/>
          <w:sz w:val="22"/>
          <w:szCs w:val="22"/>
        </w:rPr>
        <w:t>同，在劳务提供后确认收入。</w:t>
      </w:r>
    </w:p>
    <w:p>
      <w:pPr>
        <w:spacing w:line="530" w:lineRule="atLeast" w:before="38"/>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）让渡资产使用权收入</w:t>
      </w:r>
      <w:r>
        <w:rPr>
          <w:rFonts w:ascii="宋体" w:hAnsi="宋体" w:cs="宋体" w:eastAsia="宋体" w:hint="default"/>
          <w:w w:val="99"/>
          <w:sz w:val="22"/>
          <w:szCs w:val="22"/>
        </w:rPr>
        <w:t> </w:t>
      </w:r>
      <w:r>
        <w:rPr>
          <w:rFonts w:ascii="宋体" w:hAnsi="宋体" w:cs="宋体" w:eastAsia="宋体" w:hint="default"/>
          <w:spacing w:val="-2"/>
          <w:sz w:val="22"/>
          <w:szCs w:val="22"/>
        </w:rPr>
        <w:t>与交易相关的经济利益很可能流入本集团、收入的金额能够可靠地计量时，确认让渡资产使用权</w:t>
      </w:r>
    </w:p>
    <w:p>
      <w:pPr>
        <w:spacing w:before="24"/>
        <w:ind w:left="1134" w:right="0" w:firstLine="0"/>
        <w:jc w:val="both"/>
        <w:rPr>
          <w:rFonts w:ascii="宋体" w:hAnsi="宋体" w:cs="宋体" w:eastAsia="宋体" w:hint="default"/>
          <w:sz w:val="22"/>
          <w:szCs w:val="22"/>
        </w:rPr>
      </w:pPr>
      <w:r>
        <w:rPr>
          <w:rFonts w:ascii="宋体" w:hAnsi="宋体" w:cs="宋体" w:eastAsia="宋体" w:hint="default"/>
          <w:sz w:val="22"/>
          <w:szCs w:val="22"/>
        </w:rPr>
        <w:t>收入的实现。</w:t>
      </w:r>
    </w:p>
    <w:p>
      <w:pPr>
        <w:spacing w:line="240" w:lineRule="auto" w:before="2"/>
        <w:rPr>
          <w:rFonts w:ascii="宋体" w:hAnsi="宋体" w:cs="宋体" w:eastAsia="宋体" w:hint="default"/>
          <w:sz w:val="20"/>
          <w:szCs w:val="20"/>
        </w:rPr>
      </w:pPr>
    </w:p>
    <w:p>
      <w:pPr>
        <w:spacing w:before="0"/>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）建造合同收入</w:t>
      </w:r>
    </w:p>
    <w:p>
      <w:pPr>
        <w:spacing w:line="324" w:lineRule="auto" w:before="108"/>
        <w:ind w:left="1633" w:right="103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）工程总承包业务</w:t>
      </w:r>
      <w:r>
        <w:rPr>
          <w:rFonts w:ascii="宋体" w:hAnsi="宋体" w:cs="宋体" w:eastAsia="宋体" w:hint="default"/>
          <w:w w:val="99"/>
          <w:sz w:val="22"/>
          <w:szCs w:val="22"/>
        </w:rPr>
        <w:t> </w:t>
      </w:r>
      <w:r>
        <w:rPr>
          <w:rFonts w:ascii="宋体" w:hAnsi="宋体" w:cs="宋体" w:eastAsia="宋体" w:hint="default"/>
          <w:spacing w:val="-3"/>
          <w:sz w:val="22"/>
          <w:szCs w:val="22"/>
        </w:rPr>
        <w:t>本集团的工程总承包业务在建造合同的结果能够可靠估计，合同总收入能够可靠计量、与合同相</w:t>
      </w:r>
    </w:p>
    <w:p>
      <w:pPr>
        <w:spacing w:line="235" w:lineRule="exact" w:before="0"/>
        <w:ind w:left="1134" w:right="0" w:firstLine="0"/>
        <w:jc w:val="both"/>
        <w:rPr>
          <w:rFonts w:ascii="宋体" w:hAnsi="宋体" w:cs="宋体" w:eastAsia="宋体" w:hint="default"/>
          <w:sz w:val="22"/>
          <w:szCs w:val="22"/>
        </w:rPr>
      </w:pPr>
      <w:r>
        <w:rPr>
          <w:rFonts w:ascii="宋体" w:hAnsi="宋体" w:cs="宋体" w:eastAsia="宋体" w:hint="default"/>
          <w:sz w:val="22"/>
          <w:szCs w:val="22"/>
        </w:rPr>
        <w:t>关的经济利益很可能流入本集团、实际发生的合同成本能够清楚区分和可靠计量、合同完工进度和为</w:t>
      </w:r>
    </w:p>
    <w:p>
      <w:pPr>
        <w:spacing w:line="259" w:lineRule="auto" w:before="24"/>
        <w:ind w:left="1134" w:right="1142" w:firstLine="0"/>
        <w:jc w:val="both"/>
        <w:rPr>
          <w:rFonts w:ascii="宋体" w:hAnsi="宋体" w:cs="宋体" w:eastAsia="宋体" w:hint="default"/>
          <w:sz w:val="22"/>
          <w:szCs w:val="22"/>
        </w:rPr>
      </w:pPr>
      <w:r>
        <w:rPr>
          <w:rFonts w:ascii="宋体" w:hAnsi="宋体" w:cs="宋体" w:eastAsia="宋体" w:hint="default"/>
          <w:spacing w:val="3"/>
          <w:sz w:val="22"/>
          <w:szCs w:val="22"/>
        </w:rPr>
        <w:t>完成合同尚需发生的成本能够可靠确定时，于资产负债表日按完工百分比法确认合同收入和合同费</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用。采用完工百分比法时，合同完工进度根据业主方确认的实际测定的完工进度确定。</w:t>
      </w:r>
    </w:p>
    <w:p>
      <w:pPr>
        <w:spacing w:line="259" w:lineRule="auto" w:before="107"/>
        <w:ind w:left="1133" w:right="1130" w:firstLine="499"/>
        <w:jc w:val="both"/>
        <w:rPr>
          <w:rFonts w:ascii="宋体" w:hAnsi="宋体" w:cs="宋体" w:eastAsia="宋体" w:hint="default"/>
          <w:sz w:val="22"/>
          <w:szCs w:val="22"/>
        </w:rPr>
      </w:pPr>
      <w:r>
        <w:rPr>
          <w:rFonts w:ascii="宋体" w:hAnsi="宋体" w:cs="宋体" w:eastAsia="宋体" w:hint="default"/>
          <w:spacing w:val="-3"/>
          <w:sz w:val="22"/>
          <w:szCs w:val="22"/>
        </w:rPr>
        <w:t>建造合同的结果不能可靠地估计时，如果合同成本能够收回的，合同收入根据能够收回的实际合</w:t>
      </w:r>
      <w:r>
        <w:rPr>
          <w:rFonts w:ascii="宋体" w:hAnsi="宋体" w:cs="宋体" w:eastAsia="宋体" w:hint="default"/>
          <w:w w:val="99"/>
          <w:sz w:val="22"/>
          <w:szCs w:val="22"/>
        </w:rPr>
        <w:t> </w:t>
      </w:r>
      <w:r>
        <w:rPr>
          <w:rFonts w:ascii="宋体" w:hAnsi="宋体" w:cs="宋体" w:eastAsia="宋体" w:hint="default"/>
          <w:spacing w:val="-1"/>
          <w:sz w:val="22"/>
          <w:szCs w:val="22"/>
        </w:rPr>
        <w:t>同成本加以确认，合同成本在其发生的当期确认为费用；如果合同成本不可能收回的，应在发生时立</w:t>
      </w:r>
      <w:r>
        <w:rPr>
          <w:rFonts w:ascii="宋体" w:hAnsi="宋体" w:cs="宋体" w:eastAsia="宋体" w:hint="default"/>
          <w:w w:val="99"/>
          <w:sz w:val="22"/>
          <w:szCs w:val="22"/>
        </w:rPr>
        <w:t> </w:t>
      </w:r>
      <w:r>
        <w:rPr>
          <w:rFonts w:ascii="宋体" w:hAnsi="宋体" w:cs="宋体" w:eastAsia="宋体" w:hint="default"/>
          <w:sz w:val="22"/>
          <w:szCs w:val="22"/>
        </w:rPr>
        <w:t>即确认为费用，不确认收入。</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1"/>
          <w:szCs w:val="21"/>
        </w:rPr>
      </w:pPr>
      <w:r>
        <w:rPr>
          <w:rFonts w:ascii="宋体" w:hAnsi="宋体" w:cs="宋体" w:eastAsia="宋体" w:hint="default"/>
          <w:spacing w:val="-2"/>
          <w:sz w:val="22"/>
          <w:szCs w:val="22"/>
        </w:rPr>
        <w:t>本集团于期末对建造合同进行检查，如果建造合同预计总成本将超过合同预计总收入时，提取损</w:t>
      </w:r>
      <w:r>
        <w:rPr>
          <w:rFonts w:ascii="宋体" w:hAnsi="宋体" w:cs="宋体" w:eastAsia="宋体" w:hint="default"/>
          <w:w w:val="99"/>
          <w:sz w:val="22"/>
          <w:szCs w:val="22"/>
        </w:rPr>
        <w:t> </w:t>
      </w:r>
      <w:r>
        <w:rPr>
          <w:rFonts w:ascii="宋体" w:hAnsi="宋体" w:cs="宋体" w:eastAsia="宋体" w:hint="default"/>
          <w:sz w:val="22"/>
          <w:szCs w:val="22"/>
        </w:rPr>
        <w:t>失准备，将预计损失确认为当期费用</w:t>
      </w:r>
      <w:r>
        <w:rPr>
          <w:rFonts w:ascii="宋体" w:hAnsi="宋体" w:cs="宋体" w:eastAsia="宋体" w:hint="default"/>
          <w:sz w:val="21"/>
          <w:szCs w:val="21"/>
        </w:rPr>
        <w:t>。</w:t>
      </w:r>
    </w:p>
    <w:p>
      <w:pPr>
        <w:spacing w:after="0" w:line="259" w:lineRule="auto"/>
        <w:jc w:val="both"/>
        <w:rPr>
          <w:rFonts w:ascii="宋体" w:hAnsi="宋体" w:cs="宋体" w:eastAsia="宋体" w:hint="default"/>
          <w:sz w:val="21"/>
          <w:szCs w:val="21"/>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29、政府补助" w:id="205"/>
      <w:bookmarkEnd w:id="205"/>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与资产相关的政府补助判断依据及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70" w:firstLine="480"/>
        <w:jc w:val="both"/>
      </w:pPr>
      <w:r>
        <w:rPr/>
        <w:t>与资产相关的政府补助，是指本集团取得的、用于购建或以其他方式形成长期资产的政 府补助。</w:t>
      </w:r>
    </w:p>
    <w:p>
      <w:pPr>
        <w:pStyle w:val="BodyText"/>
        <w:spacing w:line="283" w:lineRule="exact"/>
        <w:ind w:left="1614" w:right="994"/>
        <w:jc w:val="left"/>
      </w:pPr>
      <w:r>
        <w:rPr>
          <w:spacing w:val="-3"/>
        </w:rPr>
        <w:t>与资产相关的政府补助确认为递延收益，在相关资产使用寿命内平均分配计入当期损益。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34" w:right="1033" w:firstLine="0"/>
        <w:jc w:val="left"/>
        <w:rPr>
          <w:rFonts w:ascii="宋体" w:hAnsi="宋体" w:cs="宋体" w:eastAsia="宋体" w:hint="default"/>
          <w:sz w:val="21"/>
          <w:szCs w:val="21"/>
        </w:rPr>
      </w:pPr>
      <w:bookmarkStart w:name="（2）与收益相关的政府补助判断依据及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3" w:right="1153"/>
        <w:jc w:val="left"/>
      </w:pPr>
      <w:r>
        <w:rPr/>
        <w:t>与收益相关的政府补助，是指除与资产相关的政府补助之外的政府补助。 与收益相关的政府补助，用于补偿以后期间的相关费用或损失的，确认为递延收益，并</w:t>
      </w:r>
    </w:p>
    <w:p>
      <w:pPr>
        <w:pStyle w:val="BodyText"/>
        <w:spacing w:line="312" w:lineRule="exact"/>
        <w:ind w:right="1153"/>
        <w:jc w:val="left"/>
      </w:pPr>
      <w:r>
        <w:rPr/>
        <w:t>在确认相关费用的期间计入当期损益；用于补偿已发生的相关费用或损失的，直接计入当期 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3" w:right="1033" w:firstLine="0"/>
        <w:jc w:val="left"/>
        <w:rPr>
          <w:rFonts w:ascii="宋体" w:hAnsi="宋体" w:cs="宋体" w:eastAsia="宋体" w:hint="default"/>
          <w:sz w:val="21"/>
          <w:szCs w:val="21"/>
        </w:rPr>
      </w:pPr>
      <w:bookmarkStart w:name="30、递延所得税资产/递延所得税负债" w:id="208"/>
      <w:bookmarkEnd w:id="208"/>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35" w:lineRule="auto"/>
        <w:ind w:right="1170" w:firstLine="480"/>
        <w:jc w:val="both"/>
      </w:pPr>
      <w:r>
        <w:rPr/>
        <w:t>本集团递延所得税资产和递延所得税负债根据资产和负债的计税基础与其账面价值的差 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计算确认。对于按照税法规定能够于以后年度抵减应纳税所得额的可抵扣亏 损和税款抵减，视同暂时性差异确认相应的递延所得税资产。于资产负债表日，递延所得税 资产和递延所得税负债，按照预期收回该资产或清偿该负债期间的适用税率计量。</w:t>
      </w:r>
    </w:p>
    <w:p>
      <w:pPr>
        <w:pStyle w:val="BodyText"/>
        <w:spacing w:line="312" w:lineRule="exact" w:before="29"/>
        <w:ind w:right="1170" w:firstLine="480"/>
        <w:jc w:val="both"/>
      </w:pPr>
      <w:r>
        <w:rPr/>
        <w:t>本集团以很可能取得用来抵扣可抵扣暂时性差异的应纳税所得额为限，确认由可抵扣暂 时性差异产生的递延所得税资产。对已确认的递延所得税资产，当预计到未来期间很可能无 法获得足够的应纳税所得额用以抵扣递延所得税资产时，应当减记递延所得税资产的账面价 值。在很可能获得足够的应纳税所得额时，减记的金额予以转回。</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3" w:right="1033" w:firstLine="0"/>
        <w:jc w:val="left"/>
        <w:rPr>
          <w:rFonts w:ascii="宋体" w:hAnsi="宋体" w:cs="宋体" w:eastAsia="宋体" w:hint="default"/>
          <w:sz w:val="21"/>
          <w:szCs w:val="21"/>
        </w:rPr>
      </w:pPr>
      <w:bookmarkStart w:name="31、租赁" w:id="209"/>
      <w:bookmarkEnd w:id="209"/>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经营租赁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2）融资租赁的会计处理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32、其他重要的会计政策和会计估计" w:id="212"/>
      <w:bookmarkEnd w:id="212"/>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Heading3"/>
        <w:spacing w:line="313" w:lineRule="exact"/>
        <w:ind w:left="1616" w:right="1033"/>
        <w:jc w:val="left"/>
        <w:rPr>
          <w:b w:val="0"/>
          <w:bCs w:val="0"/>
        </w:rPr>
      </w:pPr>
      <w:r>
        <w:rPr/>
        <w:t>（一）其他重要会计政策</w:t>
      </w:r>
      <w:r>
        <w:rPr>
          <w:b w:val="0"/>
          <w:bCs w:val="0"/>
        </w:rPr>
      </w:r>
    </w:p>
    <w:p>
      <w:pPr>
        <w:pStyle w:val="BodyText"/>
        <w:spacing w:line="312" w:lineRule="exact" w:before="29"/>
        <w:ind w:left="1613" w:right="1153"/>
        <w:jc w:val="left"/>
      </w:pPr>
      <w:r>
        <w:rPr/>
        <w:t>（</w:t>
      </w:r>
      <w:r>
        <w:rPr>
          <w:rFonts w:ascii="Times New Roman" w:hAnsi="Times New Roman" w:cs="Times New Roman" w:eastAsia="Times New Roman" w:hint="default"/>
        </w:rPr>
        <w:t>1</w:t>
      </w:r>
      <w:r>
        <w:rPr/>
        <w:t>）商誉 商誉为股权投资成本或非同一控制下企业合并成本超过应享有的或企业合并中取得的被</w:t>
      </w:r>
    </w:p>
    <w:p>
      <w:pPr>
        <w:pStyle w:val="BodyText"/>
        <w:spacing w:line="312" w:lineRule="exact"/>
        <w:ind w:left="1613" w:right="1153" w:hanging="480"/>
        <w:jc w:val="left"/>
      </w:pPr>
      <w:r>
        <w:rPr/>
        <w:t>投资单位或被购买方可辨认净资产于取得日或购买日的公允价值份额的差额。 与子公司有关的商誉在合并财务报表上单独列示，与联营企业和合营企业有关的商誉，</w:t>
      </w:r>
    </w:p>
    <w:p>
      <w:pPr>
        <w:pStyle w:val="BodyText"/>
        <w:spacing w:line="282" w:lineRule="exact"/>
        <w:ind w:right="1033"/>
        <w:jc w:val="left"/>
      </w:pPr>
      <w:r>
        <w:rPr/>
        <w:t>包含在长期股权投资的账面价值中。</w:t>
      </w:r>
    </w:p>
    <w:p>
      <w:pPr>
        <w:pStyle w:val="BodyText"/>
        <w:spacing w:line="312" w:lineRule="exact" w:before="29"/>
        <w:ind w:left="1614" w:right="1152"/>
        <w:jc w:val="left"/>
      </w:pPr>
      <w:r>
        <w:rPr/>
        <w:t>（</w:t>
      </w:r>
      <w:r>
        <w:rPr>
          <w:rFonts w:ascii="Times New Roman" w:hAnsi="Times New Roman" w:cs="Times New Roman" w:eastAsia="Times New Roman" w:hint="default"/>
        </w:rPr>
        <w:t>2</w:t>
      </w:r>
      <w:r>
        <w:rPr/>
        <w:t>）研究与开发 本集团的研究开发支出根据其性质以及研发活动最终形成无形资产是否具有较大不确定</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134" w:right="1170"/>
        <w:jc w:val="both"/>
      </w:pPr>
      <w:r>
        <w:rPr/>
        <w:t>性，分为研究阶段支出和开发阶段支出。研究阶段的支出，于发生时计入当期损益；开发阶 段的支出，同时满足下列条件的，确认为无形资产：</w:t>
      </w:r>
    </w:p>
    <w:p>
      <w:pPr>
        <w:pStyle w:val="BodyText"/>
        <w:spacing w:line="291" w:lineRule="exact"/>
        <w:ind w:left="1614" w:right="1033"/>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312" w:lineRule="exact"/>
        <w:ind w:left="1614" w:right="1033"/>
        <w:jc w:val="left"/>
      </w:pPr>
      <w:r>
        <w:rPr>
          <w:rFonts w:ascii="Times New Roman" w:hAnsi="Times New Roman" w:cs="Times New Roman" w:eastAsia="Times New Roman" w:hint="default"/>
        </w:rPr>
        <w:t>2</w:t>
      </w:r>
      <w:r>
        <w:rPr/>
        <w:t>）具有完成该无形资产并使用或出售的意图；</w:t>
      </w:r>
    </w:p>
    <w:p>
      <w:pPr>
        <w:pStyle w:val="BodyText"/>
        <w:spacing w:line="312" w:lineRule="exact"/>
        <w:ind w:left="1614" w:right="1033"/>
        <w:jc w:val="left"/>
      </w:pPr>
      <w:r>
        <w:rPr>
          <w:rFonts w:ascii="Times New Roman" w:hAnsi="Times New Roman" w:cs="Times New Roman" w:eastAsia="Times New Roman" w:hint="default"/>
        </w:rPr>
        <w:t>3</w:t>
      </w:r>
      <w:r>
        <w:rPr/>
        <w:t>）运用该无形资产生产的产品存在市场或无形资产自身存在市场；</w:t>
      </w:r>
    </w:p>
    <w:p>
      <w:pPr>
        <w:pStyle w:val="BodyText"/>
        <w:spacing w:line="312" w:lineRule="exact" w:before="20"/>
        <w:ind w:left="1134" w:right="1131" w:firstLine="480"/>
        <w:jc w:val="both"/>
      </w:pP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w:t>
      </w:r>
      <w:r>
        <w:rPr/>
        <w:t> 或出售该无形资产；</w:t>
      </w:r>
    </w:p>
    <w:p>
      <w:pPr>
        <w:pStyle w:val="BodyText"/>
        <w:spacing w:line="312" w:lineRule="exact"/>
        <w:ind w:left="1614" w:right="1152"/>
        <w:jc w:val="left"/>
      </w:pP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不满足上述条件的开发阶段的支出，于发生时计入当期损益。前期已计入损益的开发支</w:t>
      </w:r>
    </w:p>
    <w:p>
      <w:pPr>
        <w:pStyle w:val="BodyText"/>
        <w:spacing w:line="312" w:lineRule="exact"/>
        <w:ind w:left="1134" w:right="994"/>
        <w:jc w:val="left"/>
      </w:pPr>
      <w:r>
        <w:rPr>
          <w:spacing w:val="-2"/>
        </w:rPr>
        <w:t>出在以后期间不再确认为资产。已资本化的开发阶段的支出在资产负债表上列示为开发支出，</w:t>
      </w:r>
      <w:r>
        <w:rPr/>
        <w:t> 自该项目达到预定可使用状态之日起转为无形资产列报。</w:t>
      </w:r>
    </w:p>
    <w:p>
      <w:pPr>
        <w:pStyle w:val="BodyText"/>
        <w:spacing w:line="312" w:lineRule="exact"/>
        <w:ind w:left="1614" w:right="1152"/>
        <w:jc w:val="left"/>
      </w:pPr>
      <w:r>
        <w:rPr/>
        <w:t>（</w:t>
      </w:r>
      <w:r>
        <w:rPr>
          <w:rFonts w:ascii="Times New Roman" w:hAnsi="Times New Roman" w:cs="Times New Roman" w:eastAsia="Times New Roman" w:hint="default"/>
        </w:rPr>
        <w:t>3</w:t>
      </w:r>
      <w:r>
        <w:rPr/>
        <w:t>）所得税的会计核算 所得税的会计核算采用资产负债表债务法。所得税费用包括当年所得税和递延所得税。</w:t>
      </w:r>
    </w:p>
    <w:p>
      <w:pPr>
        <w:pStyle w:val="BodyText"/>
        <w:spacing w:line="312" w:lineRule="exact"/>
        <w:ind w:left="1134" w:right="1170"/>
        <w:jc w:val="both"/>
      </w:pPr>
      <w:r>
        <w:rPr/>
        <w:t>除将与直接计入股东权益的交易和事项相关的当年所得税和递延所得税计入股东权益，以及 企业合并产生的递延所得税调整商誉的账面价值外，其余的当年所得税和递延所得税费用或 收益计入当期损益。</w:t>
      </w:r>
    </w:p>
    <w:p>
      <w:pPr>
        <w:pStyle w:val="BodyText"/>
        <w:spacing w:line="312" w:lineRule="exact"/>
        <w:ind w:left="1134" w:right="1170" w:firstLine="480"/>
        <w:jc w:val="both"/>
      </w:pPr>
      <w:r>
        <w:rPr/>
        <w:t>当年所得税是指企业按照税务规定计算确定的针对当年发生的交易和事项，应纳给税务 部门的金额，即应交所得税；递延所得税是指按照资产负债表债务法应予确认的递延所得税 资产和递延所得税负债在年末应有的金额相对于原已确认金额之间的差额。</w:t>
      </w:r>
    </w:p>
    <w:p>
      <w:pPr>
        <w:spacing w:line="312" w:lineRule="exact" w:before="0"/>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（二）其他重要会计估计</w:t>
      </w:r>
      <w:r>
        <w:rPr>
          <w:rFonts w:ascii="宋体" w:hAnsi="宋体" w:cs="宋体" w:eastAsia="宋体" w:hint="default"/>
          <w:b/>
          <w:bCs/>
          <w:w w:val="99"/>
          <w:sz w:val="24"/>
          <w:szCs w:val="24"/>
        </w:rPr>
        <w:t> </w:t>
      </w:r>
      <w:r>
        <w:rPr>
          <w:rFonts w:ascii="宋体" w:hAnsi="宋体" w:cs="宋体" w:eastAsia="宋体" w:hint="default"/>
          <w:sz w:val="24"/>
          <w:szCs w:val="24"/>
        </w:rPr>
        <w:t>编制财务报表时，本集团管理层需要运用估计和假设，这些估计和假设会对会计政策的</w:t>
      </w:r>
    </w:p>
    <w:p>
      <w:pPr>
        <w:pStyle w:val="BodyText"/>
        <w:spacing w:line="283" w:lineRule="exact"/>
        <w:ind w:right="0"/>
        <w:jc w:val="both"/>
      </w:pPr>
      <w:r>
        <w:rPr/>
        <w:t>应用及资产、负债、收入及费用的金额产生影响。实际情况可能与这些估计不同。本集团管</w:t>
      </w:r>
    </w:p>
    <w:p>
      <w:pPr>
        <w:pStyle w:val="BodyText"/>
        <w:spacing w:line="312" w:lineRule="exact" w:before="30"/>
        <w:ind w:right="1170"/>
        <w:jc w:val="both"/>
      </w:pPr>
      <w:r>
        <w:rPr/>
        <w:t>理层对估计涉及的关键假设和不确定性因素的判断进行持续评估。会计估计变更的影响在变 更当期和未来期间予以确认。</w:t>
      </w:r>
    </w:p>
    <w:p>
      <w:pPr>
        <w:pStyle w:val="BodyText"/>
        <w:spacing w:line="312" w:lineRule="exact"/>
        <w:ind w:right="1170" w:firstLine="480"/>
        <w:jc w:val="both"/>
      </w:pPr>
      <w:r>
        <w:rPr/>
        <w:t>下列会计估计及关键假设存在导致未来期间的资产及负债账面值发生重大调整的重要风 险。</w:t>
      </w:r>
    </w:p>
    <w:p>
      <w:pPr>
        <w:pStyle w:val="BodyText"/>
        <w:spacing w:line="312" w:lineRule="exact"/>
        <w:ind w:left="1614" w:right="1152"/>
        <w:jc w:val="left"/>
      </w:pPr>
      <w:r>
        <w:rPr/>
        <w:t>（</w:t>
      </w:r>
      <w:r>
        <w:rPr>
          <w:rFonts w:ascii="Times New Roman" w:hAnsi="Times New Roman" w:cs="Times New Roman" w:eastAsia="Times New Roman" w:hint="default"/>
        </w:rPr>
        <w:t>1</w:t>
      </w:r>
      <w:r>
        <w:rPr/>
        <w:t>）应收款项减值 本集团在资产负债表日按摊余成本计量的应收款项，以评估是否出现减值情況，并在出</w:t>
      </w:r>
    </w:p>
    <w:p>
      <w:pPr>
        <w:pStyle w:val="BodyText"/>
        <w:spacing w:line="312" w:lineRule="exact"/>
        <w:ind w:left="1134" w:right="1169"/>
        <w:jc w:val="both"/>
      </w:pPr>
      <w:r>
        <w:rPr/>
        <w:t>现减值情況时评估减值损失的具体金额。减值的客观证据包括显示个别或组合应收款项预计 未来现金流量出现大幅下降的可判断数据，显示个别或组合应收款项中债务人的财务状况出 现重大负面的可判断数据等事项。如果有证据表明该应收款项价值已恢复，且客观上与确认 该损失后发生的事项有关，则将原确认的减值损失予以转回。</w:t>
      </w:r>
    </w:p>
    <w:p>
      <w:pPr>
        <w:pStyle w:val="BodyText"/>
        <w:spacing w:line="312" w:lineRule="exact"/>
        <w:ind w:left="1614" w:right="1152"/>
        <w:jc w:val="left"/>
      </w:pPr>
      <w:r>
        <w:rPr/>
        <w:t>（</w:t>
      </w:r>
      <w:r>
        <w:rPr>
          <w:rFonts w:ascii="Times New Roman" w:hAnsi="Times New Roman" w:cs="Times New Roman" w:eastAsia="Times New Roman" w:hint="default"/>
        </w:rPr>
        <w:t>2</w:t>
      </w:r>
      <w:r>
        <w:rPr/>
        <w:t>）存货减值准备 本集团定期估计存货的可变现净值，并对存货成本高于可变现净值的差额确认存货跌价</w:t>
      </w:r>
    </w:p>
    <w:p>
      <w:pPr>
        <w:pStyle w:val="BodyText"/>
        <w:spacing w:line="312" w:lineRule="exact"/>
        <w:ind w:left="1134" w:right="1169"/>
        <w:jc w:val="both"/>
      </w:pPr>
      <w:r>
        <w:rPr/>
        <w:t>损失。本集团在估计存货的可变现净值时，以同类货物的预计售价减去完工时将要发生的成 本、销售费用以及相关税费后的金额确定。当实际售价或成本费用与以前估计不同时，管理 层将会对可变现净值进行相应的调整。因此根据现有经验进行估计的结果可能会与之后实际 结果有所不同，可能导致对资产负债表中的存货账面价值的调整。因此存货跌价准备的金额 可能会随上述原因而发生变化。对存货跌价准备的调整将影响估计变更当期的损益。</w:t>
      </w:r>
    </w:p>
    <w:p>
      <w:pPr>
        <w:pStyle w:val="BodyText"/>
        <w:spacing w:line="225" w:lineRule="auto"/>
        <w:ind w:left="1613" w:right="1153"/>
        <w:jc w:val="left"/>
      </w:pPr>
      <w:r>
        <w:rPr/>
        <w:t>（</w:t>
      </w:r>
      <w:r>
        <w:rPr>
          <w:rFonts w:ascii="Times New Roman" w:hAnsi="Times New Roman" w:cs="Times New Roman" w:eastAsia="Times New Roman" w:hint="default"/>
        </w:rPr>
        <w:t>3</w:t>
      </w:r>
      <w:r>
        <w:rPr/>
        <w:t>）商誉减值准备的会计估计 本集团每年对商誉进行减值测试。包含商誉的资产组和资产组组合的可收回金额为其预</w:t>
      </w:r>
    </w:p>
    <w:p>
      <w:pPr>
        <w:pStyle w:val="BodyText"/>
        <w:spacing w:line="312" w:lineRule="exact" w:before="30"/>
        <w:ind w:left="1614" w:right="1152" w:hanging="480"/>
        <w:jc w:val="left"/>
      </w:pPr>
      <w:r>
        <w:rPr/>
        <w:t>计未来现金流量的现值，其计算需要采用会计估计。 如果管理层对资产组和资产组组合未来现金流量计算中采用的毛利率进行修订，修订后</w:t>
      </w:r>
    </w:p>
    <w:p>
      <w:pPr>
        <w:pStyle w:val="BodyText"/>
        <w:spacing w:line="283" w:lineRule="exact"/>
        <w:ind w:left="1134" w:right="0"/>
        <w:jc w:val="both"/>
      </w:pPr>
      <w:r>
        <w:rPr/>
        <w:t>的毛利率低于目前采用的毛利率，本集团需对商誉增加计提减值准备。</w:t>
      </w:r>
    </w:p>
    <w:p>
      <w:pPr>
        <w:spacing w:after="0" w:line="283"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134" w:right="1152" w:firstLine="480"/>
        <w:jc w:val="left"/>
      </w:pPr>
      <w:r>
        <w:rPr/>
        <w:t>如果管理层对应用于现金流量折现的税前折现率进行重新修订，修订后的税前折率高于 目前采用的折现率，本集团需对商誉增加计提减值准备。</w:t>
      </w:r>
    </w:p>
    <w:p>
      <w:pPr>
        <w:pStyle w:val="BodyText"/>
        <w:spacing w:line="312" w:lineRule="exact"/>
        <w:ind w:right="1153" w:firstLine="480"/>
        <w:jc w:val="left"/>
      </w:pPr>
      <w:r>
        <w:rPr/>
        <w:t>如果实际毛利率或税前折现率高于或低于管理层的估计，本集团不能转回原已计提的商 誉减值损失。</w:t>
      </w:r>
    </w:p>
    <w:p>
      <w:pPr>
        <w:pStyle w:val="BodyText"/>
        <w:spacing w:line="312" w:lineRule="exact"/>
        <w:ind w:left="1614" w:right="1152"/>
        <w:jc w:val="left"/>
      </w:pPr>
      <w:r>
        <w:rPr/>
        <w:t>（</w:t>
      </w:r>
      <w:r>
        <w:rPr>
          <w:rFonts w:ascii="Times New Roman" w:hAnsi="Times New Roman" w:cs="Times New Roman" w:eastAsia="Times New Roman" w:hint="default"/>
        </w:rPr>
        <w:t>4</w:t>
      </w:r>
      <w:r>
        <w:rPr/>
        <w:t>）固定资产减值准备的会计估计 本集团在资产负债表日对存在减值迹象的房屋建筑物、机器设备等固定资产进行减值测</w:t>
      </w:r>
    </w:p>
    <w:p>
      <w:pPr>
        <w:pStyle w:val="BodyText"/>
        <w:spacing w:line="312" w:lineRule="exact"/>
        <w:ind w:left="1134" w:right="1152"/>
        <w:jc w:val="left"/>
      </w:pPr>
      <w:r>
        <w:rPr/>
        <w:t>试。固定资产的可收回金额为其预计未来现金流量的现值和资产的公允价值减去处置费用后 的净额中较高者，其计算需要采用会计估计。</w:t>
      </w:r>
    </w:p>
    <w:p>
      <w:pPr>
        <w:pStyle w:val="BodyText"/>
        <w:spacing w:line="312" w:lineRule="exact"/>
        <w:ind w:left="1134" w:right="1152" w:firstLine="480"/>
        <w:jc w:val="left"/>
      </w:pPr>
      <w:r>
        <w:rPr/>
        <w:t>如果管理层对资产组和资产组组合未来现金流量计算中采用的毛利率进行修订，修订后 的毛利率低于目前采用的毛利率，本集团需对固定资产增加计提减值准备。</w:t>
      </w:r>
    </w:p>
    <w:p>
      <w:pPr>
        <w:pStyle w:val="BodyText"/>
        <w:spacing w:line="312" w:lineRule="exact"/>
        <w:ind w:right="1153" w:firstLine="480"/>
        <w:jc w:val="left"/>
      </w:pPr>
      <w:r>
        <w:rPr/>
        <w:t>如果管理层对应用于现金流量折现的税前折现率进行重新修订，修订后的税前折现率高 于目前采用的折现率，本集团需对固定资产增加计提减值准备。</w:t>
      </w:r>
    </w:p>
    <w:p>
      <w:pPr>
        <w:pStyle w:val="BodyText"/>
        <w:spacing w:line="312" w:lineRule="exact"/>
        <w:ind w:right="1153" w:firstLine="480"/>
        <w:jc w:val="left"/>
      </w:pPr>
      <w:r>
        <w:rPr/>
        <w:t>如果实际毛利率或税前折现率高于或低于管理层估计，本集团不能转回原已计提的固定 资产减值准备。</w:t>
      </w:r>
    </w:p>
    <w:p>
      <w:pPr>
        <w:pStyle w:val="BodyText"/>
        <w:spacing w:line="312" w:lineRule="exact"/>
        <w:ind w:left="1614" w:right="1152"/>
        <w:jc w:val="left"/>
      </w:pPr>
      <w:r>
        <w:rPr/>
        <w:t>（</w:t>
      </w:r>
      <w:r>
        <w:rPr>
          <w:rFonts w:ascii="Times New Roman" w:hAnsi="Times New Roman" w:cs="Times New Roman" w:eastAsia="Times New Roman" w:hint="default"/>
        </w:rPr>
        <w:t>5</w:t>
      </w:r>
      <w:r>
        <w:rPr/>
        <w:t>）递延所得税资产确认的会计估计 递延所得税资产的估计需要对未来各个年度的应纳税所得额及适用的税率进行估计，递</w:t>
      </w:r>
    </w:p>
    <w:p>
      <w:pPr>
        <w:pStyle w:val="BodyText"/>
        <w:spacing w:line="312" w:lineRule="exact"/>
        <w:ind w:left="1134" w:right="1169"/>
        <w:jc w:val="both"/>
      </w:pPr>
      <w:r>
        <w:rPr/>
        <w:t>延所得税资产的实现取决于集团未来是否很可能获得足够的应纳税所得额。未来税率的变化 和暂时性差异的转回时间也可能影响所得税费用（收益）以及递延所得税的余额。上述估计 的变化可能导致对递延所得税的重要调整。</w:t>
      </w:r>
    </w:p>
    <w:p>
      <w:pPr>
        <w:pStyle w:val="BodyText"/>
        <w:spacing w:line="312" w:lineRule="exact"/>
        <w:ind w:left="1614" w:right="1152"/>
        <w:jc w:val="left"/>
      </w:pPr>
      <w:r>
        <w:rPr/>
        <w:t>（</w:t>
      </w:r>
      <w:r>
        <w:rPr>
          <w:rFonts w:ascii="Times New Roman" w:hAnsi="Times New Roman" w:cs="Times New Roman" w:eastAsia="Times New Roman" w:hint="default"/>
        </w:rPr>
        <w:t>6</w:t>
      </w:r>
      <w:r>
        <w:rPr/>
        <w:t>）固定资产、无形资产的可使用年限 本集团至少于每年年度终了，对固定资产和无形资产的预计使用寿命进行复核。预计使</w:t>
      </w:r>
    </w:p>
    <w:p>
      <w:pPr>
        <w:pStyle w:val="BodyText"/>
        <w:spacing w:line="283" w:lineRule="exact"/>
        <w:ind w:left="1134" w:right="0"/>
        <w:jc w:val="both"/>
      </w:pPr>
      <w:r>
        <w:rPr/>
        <w:t>用寿命是管理层基于同类资产历史经验、参考同行业普遍所应用的估计并结合预期技术更新</w:t>
      </w:r>
    </w:p>
    <w:p>
      <w:pPr>
        <w:pStyle w:val="BodyText"/>
        <w:spacing w:line="313" w:lineRule="exact"/>
        <w:ind w:left="1134" w:right="0"/>
        <w:jc w:val="both"/>
      </w:pPr>
      <w:r>
        <w:rPr/>
        <w:t>而决定的。当以往的估计发生重大变化时，则相应调整未来期间的折旧费用和摊销费用。</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33" w:right="0" w:firstLine="0"/>
        <w:jc w:val="both"/>
        <w:rPr>
          <w:rFonts w:ascii="宋体" w:hAnsi="宋体" w:cs="宋体" w:eastAsia="宋体" w:hint="default"/>
          <w:sz w:val="21"/>
          <w:szCs w:val="21"/>
        </w:rPr>
      </w:pPr>
      <w:bookmarkStart w:name="33、重要会计政策和会计估计变更" w:id="213"/>
      <w:bookmarkEnd w:id="213"/>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重要会计政策变更"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84" w:lineRule="exact"/>
        <w:ind w:left="1614" w:right="1033"/>
        <w:jc w:val="left"/>
      </w:pPr>
      <w:r>
        <w:rPr>
          <w:rFonts w:ascii="Times New Roman" w:hAnsi="Times New Roman" w:cs="Times New Roman" w:eastAsia="Times New Roman" w:hint="default"/>
        </w:rPr>
        <w:t>1</w:t>
      </w:r>
      <w:r>
        <w:rPr/>
        <w:t>）变更原因</w:t>
      </w:r>
    </w:p>
    <w:p>
      <w:pPr>
        <w:pStyle w:val="BodyText"/>
        <w:spacing w:line="312" w:lineRule="exact"/>
        <w:ind w:left="161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日起，财政部相继修订和发布了《企业会计准则第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p>
    <w:p>
      <w:pPr>
        <w:pStyle w:val="BodyText"/>
        <w:spacing w:line="225" w:lineRule="auto" w:before="6"/>
        <w:ind w:right="1130"/>
        <w:jc w:val="both"/>
      </w:pPr>
      <w:r>
        <w:rPr>
          <w:spacing w:val="-3"/>
        </w:rPr>
        <w:t>《企业会计准则第</w:t>
      </w:r>
      <w:r>
        <w:rPr>
          <w:rFonts w:ascii="Times New Roman" w:hAnsi="Times New Roman" w:cs="Times New Roman" w:eastAsia="Times New Roman" w:hint="default"/>
          <w:spacing w:val="-3"/>
        </w:rPr>
        <w:t>9</w:t>
      </w:r>
      <w:r>
        <w:rPr>
          <w:spacing w:val="-3"/>
        </w:rPr>
        <w:t>号</w:t>
      </w:r>
      <w:r>
        <w:rPr>
          <w:rFonts w:ascii="Times New Roman" w:hAnsi="Times New Roman" w:cs="Times New Roman" w:eastAsia="Times New Roman" w:hint="default"/>
          <w:spacing w:val="-3"/>
        </w:rPr>
        <w:t>——</w:t>
      </w:r>
      <w:r>
        <w:rPr>
          <w:spacing w:val="-3"/>
        </w:rPr>
        <w:t>职工薪酬》、《企业会计准则第</w:t>
      </w:r>
      <w:r>
        <w:rPr>
          <w:rFonts w:ascii="Times New Roman" w:hAnsi="Times New Roman" w:cs="Times New Roman" w:eastAsia="Times New Roman" w:hint="default"/>
          <w:spacing w:val="-3"/>
        </w:rPr>
        <w:t>30</w:t>
      </w:r>
      <w:r>
        <w:rPr>
          <w:spacing w:val="-3"/>
        </w:rPr>
        <w:t>号</w:t>
      </w:r>
      <w:r>
        <w:rPr>
          <w:rFonts w:ascii="Times New Roman" w:hAnsi="Times New Roman" w:cs="Times New Roman" w:eastAsia="Times New Roman" w:hint="default"/>
          <w:spacing w:val="-3"/>
        </w:rPr>
        <w:t>——</w:t>
      </w:r>
      <w:r>
        <w:rPr>
          <w:spacing w:val="-3"/>
        </w:rPr>
        <w:t>财务报表列报》、《企业</w:t>
      </w:r>
      <w:r>
        <w:rPr>
          <w:spacing w:val="-80"/>
        </w:rPr>
        <w:t> </w:t>
      </w:r>
      <w:r>
        <w:rPr>
          <w:spacing w:val="-80"/>
        </w:rPr>
      </w:r>
      <w:r>
        <w:rPr/>
        <w:t>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 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在其他主体中权益的披露》等 具体的会计准则，要求上述准则自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日起在所有执行企业会计准则的企业范围内施 </w:t>
      </w:r>
      <w:r>
        <w:rPr>
          <w:spacing w:val="-12"/>
        </w:rPr>
        <w:t>行。</w:t>
      </w:r>
      <w:r>
        <w:rPr>
          <w:rFonts w:ascii="Times New Roman" w:hAnsi="Times New Roman" w:cs="Times New Roman" w:eastAsia="Times New Roman" w:hint="default"/>
          <w:spacing w:val="-12"/>
        </w:rPr>
        <w:t>2014</w:t>
      </w:r>
      <w:r>
        <w:rPr>
          <w:rFonts w:ascii="Times New Roman" w:hAnsi="Times New Roman" w:cs="Times New Roman" w:eastAsia="Times New Roman" w:hint="default"/>
          <w:spacing w:val="11"/>
        </w:rPr>
        <w:t> </w:t>
      </w:r>
      <w:r>
        <w:rPr>
          <w:spacing w:val="-7"/>
        </w:rPr>
        <w:t>年</w:t>
      </w:r>
      <w:r>
        <w:rPr>
          <w:rFonts w:ascii="Times New Roman" w:hAnsi="Times New Roman" w:cs="Times New Roman" w:eastAsia="Times New Roman" w:hint="default"/>
          <w:spacing w:val="-7"/>
        </w:rPr>
        <w:t>6</w:t>
      </w:r>
      <w:r>
        <w:rPr>
          <w:spacing w:val="-7"/>
        </w:rPr>
        <w:t>月</w:t>
      </w:r>
      <w:r>
        <w:rPr>
          <w:rFonts w:ascii="Times New Roman" w:hAnsi="Times New Roman" w:cs="Times New Roman" w:eastAsia="Times New Roman" w:hint="default"/>
          <w:spacing w:val="-7"/>
        </w:rPr>
        <w:t>20</w:t>
      </w:r>
      <w:r>
        <w:rPr>
          <w:spacing w:val="-7"/>
        </w:rPr>
        <w:t>日，财政部修订了《企业会计准则第</w:t>
      </w:r>
      <w:r>
        <w:rPr>
          <w:rFonts w:ascii="Times New Roman" w:hAnsi="Times New Roman" w:cs="Times New Roman" w:eastAsia="Times New Roman" w:hint="default"/>
          <w:spacing w:val="-7"/>
        </w:rPr>
        <w:t>37</w:t>
      </w:r>
      <w:r>
        <w:rPr>
          <w:spacing w:val="-7"/>
        </w:rPr>
        <w:t>号</w:t>
      </w:r>
      <w:r>
        <w:rPr>
          <w:rFonts w:ascii="Times New Roman" w:hAnsi="Times New Roman" w:cs="Times New Roman" w:eastAsia="Times New Roman" w:hint="default"/>
          <w:spacing w:val="-7"/>
        </w:rPr>
        <w:t>——</w:t>
      </w:r>
      <w:r>
        <w:rPr>
          <w:spacing w:val="-7"/>
        </w:rPr>
        <w:t>金融工具列报》（财会</w:t>
      </w:r>
      <w:r>
        <w:rPr>
          <w:rFonts w:ascii="Times New Roman" w:hAnsi="Times New Roman" w:cs="Times New Roman" w:eastAsia="Times New Roman" w:hint="default"/>
          <w:spacing w:val="-7"/>
        </w:rPr>
        <w:t>[2014]23</w:t>
      </w:r>
      <w:r>
        <w:rPr>
          <w:rFonts w:ascii="Times New Roman" w:hAnsi="Times New Roman" w:cs="Times New Roman" w:eastAsia="Times New Roman" w:hint="default"/>
          <w:spacing w:val="-56"/>
        </w:rPr>
        <w:t> </w:t>
      </w:r>
      <w:r>
        <w:rPr>
          <w:rFonts w:ascii="Times New Roman" w:hAnsi="Times New Roman" w:cs="Times New Roman" w:eastAsia="Times New Roman" w:hint="default"/>
          <w:spacing w:val="-56"/>
        </w:rPr>
      </w:r>
      <w:r>
        <w:rPr/>
        <w:t>号），要求执行企业会计准则的企业在</w:t>
      </w:r>
      <w:r>
        <w:rPr>
          <w:rFonts w:ascii="Times New Roman" w:hAnsi="Times New Roman" w:cs="Times New Roman" w:eastAsia="Times New Roman" w:hint="default"/>
        </w:rPr>
        <w:t>2014</w:t>
      </w:r>
      <w:r>
        <w:rPr/>
        <w:t>年年度及以后期间的财务报告中按照该准则要求 对金融工具进行列报。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日，财政部发布了《财政部关于修改</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 </w:t>
      </w:r>
      <w:r>
        <w:rPr/>
        <w:t>基本准则</w:t>
      </w:r>
      <w:r>
        <w:rPr>
          <w:rFonts w:ascii="Times New Roman" w:hAnsi="Times New Roman" w:cs="Times New Roman" w:eastAsia="Times New Roman" w:hint="default"/>
        </w:rPr>
        <w:t>&gt;</w:t>
      </w:r>
      <w:r>
        <w:rPr/>
        <w:t>》的决定，要求所有执行企业会计准则的企业自发布之日起施行。</w:t>
      </w:r>
    </w:p>
    <w:p>
      <w:pPr>
        <w:pStyle w:val="BodyText"/>
        <w:spacing w:line="312" w:lineRule="exact" w:before="13"/>
        <w:ind w:left="1614" w:right="1032"/>
        <w:jc w:val="left"/>
      </w:pPr>
      <w:r>
        <w:rPr>
          <w:rFonts w:ascii="Times New Roman" w:hAnsi="Times New Roman" w:cs="Times New Roman" w:eastAsia="Times New Roman" w:hint="default"/>
        </w:rPr>
        <w:t>2</w:t>
      </w:r>
      <w:r>
        <w:rPr/>
        <w:t>）变更前本集团所采用的会计政策 本次变更前，本集团执行财政部于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w:t>
      </w:r>
      <w:r>
        <w:rPr>
          <w:rFonts w:ascii="Times New Roman" w:hAnsi="Times New Roman" w:cs="Times New Roman" w:eastAsia="Times New Roman" w:hint="default"/>
        </w:rPr>
        <w:t>——</w:t>
      </w:r>
      <w:r>
        <w:rPr/>
        <w:t>基本准则》</w:t>
      </w:r>
    </w:p>
    <w:p>
      <w:pPr>
        <w:pStyle w:val="BodyText"/>
        <w:spacing w:line="302" w:lineRule="exact"/>
        <w:ind w:right="0"/>
        <w:jc w:val="both"/>
      </w:pPr>
      <w:r>
        <w:rPr/>
        <w:t>和</w:t>
      </w:r>
      <w:r>
        <w:rPr>
          <w:rFonts w:ascii="Times New Roman" w:hAnsi="Times New Roman" w:cs="Times New Roman" w:eastAsia="Times New Roman" w:hint="default"/>
        </w:rPr>
        <w:t>38</w:t>
      </w:r>
      <w:r>
        <w:rPr/>
        <w:t>项具体会计准则、企业会计准则应用指南、企业会计准则解释公告以及其他相关规定。</w:t>
      </w:r>
    </w:p>
    <w:p>
      <w:pPr>
        <w:spacing w:after="0" w:line="30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22" w:lineRule="exact" w:before="26"/>
        <w:ind w:left="1614" w:right="1033"/>
        <w:jc w:val="left"/>
      </w:pPr>
      <w:r>
        <w:rPr>
          <w:rFonts w:ascii="Times New Roman" w:hAnsi="Times New Roman" w:cs="Times New Roman" w:eastAsia="Times New Roman" w:hint="default"/>
        </w:rPr>
        <w:t>3</w:t>
      </w:r>
      <w:r>
        <w:rPr/>
        <w:t>）变更后本集团所采用的会计政策</w:t>
      </w:r>
    </w:p>
    <w:p>
      <w:pPr>
        <w:pStyle w:val="BodyText"/>
        <w:spacing w:line="225" w:lineRule="auto" w:before="6"/>
        <w:ind w:right="1116" w:firstLine="480"/>
        <w:jc w:val="left"/>
      </w:pPr>
      <w:r>
        <w:rPr/>
        <w:t>本次变更后，本集团按照财政部</w:t>
      </w:r>
      <w:r>
        <w:rPr>
          <w:rFonts w:ascii="Times New Roman" w:hAnsi="Times New Roman" w:cs="Times New Roman" w:eastAsia="Times New Roman" w:hint="default"/>
        </w:rPr>
        <w:t>2014</w:t>
      </w:r>
      <w:r>
        <w:rPr>
          <w:rFonts w:ascii="Times New Roman" w:hAnsi="Times New Roman" w:cs="Times New Roman" w:eastAsia="Times New Roman" w:hint="default"/>
          <w:spacing w:val="36"/>
        </w:rPr>
        <w:t> </w:t>
      </w:r>
      <w:r>
        <w:rPr/>
        <w:t>年修订和新颁布的《企业会计准则第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 股权投资》、《企业会计准则第</w:t>
      </w:r>
      <w:r>
        <w:rPr>
          <w:rFonts w:ascii="Times New Roman" w:hAnsi="Times New Roman" w:cs="Times New Roman" w:eastAsia="Times New Roman" w:hint="default"/>
        </w:rPr>
        <w:t>9</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职工薪酬》、《企业会计准则第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 列报》、《企业会计准则第</w:t>
      </w:r>
      <w:r>
        <w:rPr>
          <w:rFonts w:ascii="Times New Roman" w:hAnsi="Times New Roman" w:cs="Times New Roman" w:eastAsia="Times New Roman" w:hint="default"/>
        </w:rPr>
        <w:t>33 </w:t>
      </w:r>
      <w:r>
        <w:rPr/>
        <w:t>号</w:t>
      </w: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37</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金融工 具列报》、《企业会计准则第</w:t>
      </w:r>
      <w:r>
        <w:rPr>
          <w:rFonts w:ascii="Times New Roman" w:hAnsi="Times New Roman" w:cs="Times New Roman" w:eastAsia="Times New Roman" w:hint="default"/>
        </w:rPr>
        <w:t>39 </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40</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合营 </w:t>
      </w:r>
      <w:r>
        <w:rPr>
          <w:spacing w:val="-3"/>
        </w:rPr>
        <w:t>安排》、《企业会计准则第</w:t>
      </w:r>
      <w:r>
        <w:rPr>
          <w:rFonts w:ascii="Times New Roman" w:hAnsi="Times New Roman" w:cs="Times New Roman" w:eastAsia="Times New Roman" w:hint="default"/>
          <w:spacing w:val="-3"/>
        </w:rPr>
        <w:t>41</w:t>
      </w:r>
      <w:r>
        <w:rPr>
          <w:rFonts w:ascii="Times New Roman" w:hAnsi="Times New Roman" w:cs="Times New Roman" w:eastAsia="Times New Roman" w:hint="default"/>
          <w:spacing w:val="19"/>
        </w:rPr>
        <w:t> </w:t>
      </w:r>
      <w:r>
        <w:rPr/>
        <w:t>号</w:t>
      </w:r>
      <w:r>
        <w:rPr>
          <w:rFonts w:ascii="Times New Roman" w:hAnsi="Times New Roman" w:cs="Times New Roman" w:eastAsia="Times New Roman" w:hint="default"/>
        </w:rPr>
        <w:t>——</w:t>
      </w:r>
      <w:r>
        <w:rPr/>
        <w:t>在其他主体中权益的披露》及《企业会计准则</w:t>
      </w:r>
      <w:r>
        <w:rPr>
          <w:rFonts w:ascii="Times New Roman" w:hAnsi="Times New Roman" w:cs="Times New Roman" w:eastAsia="Times New Roman" w:hint="default"/>
        </w:rPr>
        <w:t>——</w:t>
      </w:r>
      <w:r>
        <w:rPr/>
        <w:t>基本 准则》等具体会计准则规定的起始日期开始执行。其余未变更部分仍采用财政部于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15</w:t>
      </w:r>
      <w:r>
        <w:rPr/>
        <w:t>日颁布的其他相关准则及有关规定。</w:t>
      </w:r>
    </w:p>
    <w:p>
      <w:pPr>
        <w:pStyle w:val="BodyText"/>
        <w:spacing w:line="240" w:lineRule="auto" w:before="23"/>
        <w:ind w:left="1518" w:right="1033"/>
        <w:jc w:val="left"/>
      </w:pPr>
      <w:r>
        <w:rPr/>
        <w:t>本次会计政策变更对本集团的影响：无。</w:t>
      </w:r>
    </w:p>
    <w:p>
      <w:pPr>
        <w:spacing w:line="240" w:lineRule="auto" w:before="8"/>
        <w:rPr>
          <w:rFonts w:ascii="宋体" w:hAnsi="宋体" w:cs="宋体" w:eastAsia="宋体" w:hint="default"/>
          <w:sz w:val="24"/>
          <w:szCs w:val="24"/>
        </w:rPr>
      </w:pPr>
    </w:p>
    <w:p>
      <w:pPr>
        <w:spacing w:before="0"/>
        <w:ind w:left="1133" w:right="1033" w:firstLine="0"/>
        <w:jc w:val="left"/>
        <w:rPr>
          <w:rFonts w:ascii="宋体" w:hAnsi="宋体" w:cs="宋体" w:eastAsia="宋体" w:hint="default"/>
          <w:sz w:val="21"/>
          <w:szCs w:val="21"/>
        </w:rPr>
      </w:pPr>
      <w:bookmarkStart w:name="（2）重要会计估计变更"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16"/>
      <w:bookmarkEnd w:id="21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7"/>
      <w:bookmarkEnd w:id="21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8"/>
      <w:bookmarkEnd w:id="21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78"/>
        <w:gridCol w:w="3190"/>
        <w:gridCol w:w="3179"/>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销售收入、技术服务</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安装、房租及其他应税收入</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安装收入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四川桑瑞思环境技术工程有限公司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沈阳桑瑞思环境技术工程有限公司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深圳市龙控智能技术有限公司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四川龙控科技有限公司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四川依米康软件有限责任公司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西安华西信息智能工程有限公司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江苏亿金环保科技有限公司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杭州亿金洁源环境工程技术有限公司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江阴亿金物资贸易有限公司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0" w:firstLine="0"/>
        <w:jc w:val="both"/>
        <w:rPr>
          <w:rFonts w:ascii="宋体" w:hAnsi="宋体" w:cs="宋体" w:eastAsia="宋体" w:hint="default"/>
          <w:sz w:val="21"/>
          <w:szCs w:val="21"/>
        </w:rPr>
      </w:pPr>
      <w:bookmarkStart w:name="2、税收优惠" w:id="219"/>
      <w:bookmarkEnd w:id="2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56" w:lineRule="auto" w:before="0"/>
        <w:ind w:left="1133" w:right="994"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）根据科技部、财政部、国家税务总局《高新技术企业认定管理办法》（国科发火〔</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172</w:t>
      </w:r>
      <w:r>
        <w:rPr>
          <w:rFonts w:ascii="宋体" w:hAnsi="宋体" w:cs="宋体" w:eastAsia="宋体" w:hint="default"/>
          <w:spacing w:val="-3"/>
          <w:sz w:val="21"/>
          <w:szCs w:val="21"/>
        </w:rPr>
        <w:t>号）</w:t>
      </w:r>
      <w:r>
        <w:rPr>
          <w:rFonts w:ascii="宋体" w:hAnsi="宋体" w:cs="宋体" w:eastAsia="宋体" w:hint="default"/>
          <w:sz w:val="21"/>
          <w:szCs w:val="21"/>
        </w:rPr>
        <w:t> </w:t>
      </w:r>
      <w:r>
        <w:rPr>
          <w:rFonts w:ascii="宋体" w:hAnsi="宋体" w:cs="宋体" w:eastAsia="宋体" w:hint="default"/>
          <w:spacing w:val="-3"/>
          <w:sz w:val="21"/>
          <w:szCs w:val="21"/>
        </w:rPr>
        <w:t>和《高新技术企业认定管理工作指引》（国科发火</w:t>
      </w:r>
      <w:r>
        <w:rPr>
          <w:rFonts w:ascii="Times New Roman" w:hAnsi="Times New Roman" w:cs="Times New Roman" w:eastAsia="Times New Roman" w:hint="default"/>
          <w:spacing w:val="-3"/>
          <w:sz w:val="21"/>
          <w:szCs w:val="21"/>
        </w:rPr>
        <w:t>[2008]362</w:t>
      </w:r>
      <w:r>
        <w:rPr>
          <w:rFonts w:ascii="宋体" w:hAnsi="宋体" w:cs="宋体" w:eastAsia="宋体" w:hint="default"/>
          <w:spacing w:val="-3"/>
          <w:sz w:val="21"/>
          <w:szCs w:val="21"/>
        </w:rPr>
        <w:t>号）的规定，本公司于</w:t>
      </w:r>
      <w:r>
        <w:rPr>
          <w:rFonts w:ascii="Times New Roman" w:hAnsi="Times New Roman" w:cs="Times New Roman" w:eastAsia="Times New Roman" w:hint="default"/>
          <w:spacing w:val="-3"/>
          <w:sz w:val="21"/>
          <w:szCs w:val="21"/>
        </w:rPr>
        <w:t>2008</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日被认</w:t>
      </w:r>
      <w:r>
        <w:rPr>
          <w:rFonts w:ascii="宋体" w:hAnsi="宋体" w:cs="宋体" w:eastAsia="宋体" w:hint="default"/>
          <w:spacing w:val="-96"/>
          <w:sz w:val="21"/>
          <w:szCs w:val="21"/>
        </w:rPr>
        <w:t> </w:t>
      </w:r>
      <w:r>
        <w:rPr>
          <w:rFonts w:ascii="宋体" w:hAnsi="宋体" w:cs="宋体" w:eastAsia="宋体" w:hint="default"/>
          <w:sz w:val="21"/>
          <w:szCs w:val="21"/>
        </w:rPr>
        <w:t>定为高新技术企业，</w:t>
      </w:r>
      <w:r>
        <w:rPr>
          <w:rFonts w:ascii="宋体" w:hAnsi="宋体" w:cs="宋体" w:eastAsia="宋体" w:hint="default"/>
          <w:spacing w:val="-65"/>
          <w:sz w:val="21"/>
          <w:szCs w:val="21"/>
        </w:rPr>
        <w:t> </w:t>
      </w:r>
      <w:r>
        <w:rPr>
          <w:rFonts w:ascii="宋体" w:hAnsi="宋体" w:cs="宋体" w:eastAsia="宋体" w:hint="default"/>
          <w:sz w:val="21"/>
          <w:szCs w:val="21"/>
        </w:rPr>
        <w:t>原证书编号为</w:t>
      </w:r>
      <w:r>
        <w:rPr>
          <w:rFonts w:ascii="Times New Roman" w:hAnsi="Times New Roman" w:cs="Times New Roman" w:eastAsia="Times New Roman" w:hint="default"/>
          <w:sz w:val="21"/>
          <w:szCs w:val="21"/>
        </w:rPr>
        <w:t>GR200851000162</w:t>
      </w:r>
      <w:r>
        <w:rPr>
          <w:rFonts w:ascii="宋体" w:hAnsi="宋体" w:cs="宋体" w:eastAsia="宋体" w:hint="default"/>
          <w:sz w:val="21"/>
          <w:szCs w:val="21"/>
        </w:rPr>
        <w:t>，有效期</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月，本公司通过高新技术企业 复审，于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日取得了由四川省科学技术厅、四川省财政厅、四川省国家税务局、四川省地方税 </w:t>
      </w:r>
      <w:r>
        <w:rPr>
          <w:rFonts w:ascii="宋体" w:hAnsi="宋体" w:cs="宋体" w:eastAsia="宋体" w:hint="default"/>
          <w:spacing w:val="-2"/>
          <w:sz w:val="21"/>
          <w:szCs w:val="21"/>
        </w:rPr>
        <w:t>务局联合颁发的《高新技术企业证书》，证书编号为</w:t>
      </w:r>
      <w:r>
        <w:rPr>
          <w:rFonts w:ascii="Times New Roman" w:hAnsi="Times New Roman" w:cs="Times New Roman" w:eastAsia="Times New Roman" w:hint="default"/>
          <w:spacing w:val="-2"/>
          <w:sz w:val="21"/>
          <w:szCs w:val="21"/>
        </w:rPr>
        <w:t>GR201451000897</w:t>
      </w:r>
      <w:r>
        <w:rPr>
          <w:rFonts w:ascii="宋体" w:hAnsi="宋体" w:cs="宋体" w:eastAsia="宋体" w:hint="default"/>
          <w:spacing w:val="-2"/>
          <w:sz w:val="21"/>
          <w:szCs w:val="21"/>
        </w:rPr>
        <w:t>，发证时间为</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日，有效</w:t>
      </w:r>
      <w:r>
        <w:rPr>
          <w:rFonts w:ascii="宋体" w:hAnsi="宋体" w:cs="宋体" w:eastAsia="宋体" w:hint="default"/>
          <w:sz w:val="21"/>
          <w:szCs w:val="21"/>
        </w:rPr>
        <w:t> 期</w:t>
      </w:r>
      <w:r>
        <w:rPr>
          <w:rFonts w:ascii="Times New Roman" w:hAnsi="Times New Roman" w:cs="Times New Roman" w:eastAsia="Times New Roman" w:hint="default"/>
          <w:sz w:val="21"/>
          <w:szCs w:val="21"/>
        </w:rPr>
        <w:t>3</w:t>
      </w:r>
      <w:r>
        <w:rPr>
          <w:rFonts w:ascii="宋体" w:hAnsi="宋体" w:cs="宋体" w:eastAsia="宋体" w:hint="default"/>
          <w:sz w:val="21"/>
          <w:szCs w:val="21"/>
        </w:rPr>
        <w:t>年。根据《中华人民共和国企业所得税法》、《中华人民共和国企业所得税法实施条例》、国家税务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总局《关于实施高新技术企业所得税优惠有关问题的通知》（国税函</w:t>
      </w:r>
      <w:r>
        <w:rPr>
          <w:rFonts w:ascii="Times New Roman" w:hAnsi="Times New Roman" w:cs="Times New Roman" w:eastAsia="Times New Roman" w:hint="default"/>
          <w:sz w:val="21"/>
          <w:szCs w:val="21"/>
        </w:rPr>
        <w:t>[2009]203 </w:t>
      </w:r>
      <w:r>
        <w:rPr>
          <w:rFonts w:ascii="宋体" w:hAnsi="宋体" w:cs="宋体" w:eastAsia="宋体" w:hint="default"/>
          <w:sz w:val="21"/>
          <w:szCs w:val="21"/>
        </w:rPr>
        <w:t>号）的规定，本公司可享</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受高新技术企业税收优惠，在每年向主管税务机关申报税收优惠备案后，可享受</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率。基于以上情况，本公司在编制本年财务报表时暂按</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的税率计提企业所得税，上述税收优惠尚需由</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税务机关最终核定。</w:t>
      </w:r>
    </w:p>
    <w:p>
      <w:pPr>
        <w:spacing w:line="240" w:lineRule="auto" w:before="13"/>
        <w:rPr>
          <w:rFonts w:ascii="宋体" w:hAnsi="宋体" w:cs="宋体" w:eastAsia="宋体" w:hint="default"/>
          <w:sz w:val="19"/>
          <w:szCs w:val="19"/>
        </w:rPr>
      </w:pPr>
    </w:p>
    <w:p>
      <w:pPr>
        <w:spacing w:line="261" w:lineRule="auto" w:before="0"/>
        <w:ind w:left="1133" w:right="10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）依据《财政部、国家税务总局关于企业所得税若干优惠政策的通知》（财税</w:t>
      </w:r>
      <w:r>
        <w:rPr>
          <w:rFonts w:ascii="Times New Roman" w:hAnsi="Times New Roman" w:cs="Times New Roman" w:eastAsia="Times New Roman" w:hint="default"/>
          <w:sz w:val="21"/>
          <w:szCs w:val="21"/>
        </w:rPr>
        <w:t>[2008]1</w:t>
      </w:r>
      <w:r>
        <w:rPr>
          <w:rFonts w:ascii="宋体" w:hAnsi="宋体" w:cs="宋体" w:eastAsia="宋体" w:hint="default"/>
          <w:sz w:val="21"/>
          <w:szCs w:val="21"/>
        </w:rPr>
        <w:t>号）相关规 定，并通过深圳市福田区国家税务局于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日出具的（税收优惠登记备案通知书）（深国税福减免 备案</w:t>
      </w:r>
      <w:r>
        <w:rPr>
          <w:rFonts w:ascii="Times New Roman" w:hAnsi="Times New Roman" w:cs="Times New Roman" w:eastAsia="Times New Roman" w:hint="default"/>
          <w:sz w:val="21"/>
          <w:szCs w:val="21"/>
        </w:rPr>
        <w:t>[2010]42</w:t>
      </w:r>
      <w:r>
        <w:rPr>
          <w:rFonts w:ascii="宋体" w:hAnsi="宋体" w:cs="宋体" w:eastAsia="宋体" w:hint="default"/>
          <w:sz w:val="21"/>
          <w:szCs w:val="21"/>
        </w:rPr>
        <w:t>号）备案。本公司之子公司深圳市龙控智能技术有限公司（以下简称深圳龙控公司）符合软</w:t>
      </w:r>
      <w:r>
        <w:rPr>
          <w:rFonts w:ascii="宋体" w:hAnsi="宋体" w:cs="宋体" w:eastAsia="宋体" w:hint="default"/>
          <w:spacing w:val="-64"/>
          <w:sz w:val="21"/>
          <w:szCs w:val="21"/>
        </w:rPr>
        <w:t> </w:t>
      </w:r>
      <w:r>
        <w:rPr>
          <w:rFonts w:ascii="宋体" w:hAnsi="宋体" w:cs="宋体" w:eastAsia="宋体" w:hint="default"/>
          <w:spacing w:val="-3"/>
          <w:sz w:val="21"/>
          <w:szCs w:val="21"/>
        </w:rPr>
        <w:t>件及集成电路设计企业的税收优惠有关规定，同意深圳龙控公司从开始获利年度起，两年免征企业所得税，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三年减半征收企业所得税。根据深圳龙控公司获利情况，深圳龙控公司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年免征企业所得税， </w:t>
      </w:r>
      <w:r>
        <w:rPr>
          <w:rFonts w:ascii="Times New Roman" w:hAnsi="Times New Roman" w:cs="Times New Roman" w:eastAsia="Times New Roman" w:hint="default"/>
          <w:sz w:val="21"/>
          <w:szCs w:val="21"/>
        </w:rPr>
        <w:t>2012</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年减半征收企业所得税。</w:t>
      </w:r>
    </w:p>
    <w:p>
      <w:pPr>
        <w:spacing w:line="240" w:lineRule="auto" w:before="4"/>
        <w:rPr>
          <w:rFonts w:ascii="宋体" w:hAnsi="宋体" w:cs="宋体" w:eastAsia="宋体" w:hint="default"/>
          <w:sz w:val="18"/>
          <w:szCs w:val="18"/>
        </w:rPr>
      </w:pPr>
    </w:p>
    <w:p>
      <w:pPr>
        <w:spacing w:before="0"/>
        <w:ind w:left="1553" w:right="1033" w:firstLine="0"/>
        <w:jc w:val="left"/>
        <w:rPr>
          <w:rFonts w:ascii="宋体" w:hAnsi="宋体" w:cs="宋体" w:eastAsia="宋体" w:hint="default"/>
          <w:sz w:val="21"/>
          <w:szCs w:val="21"/>
        </w:rPr>
      </w:pPr>
      <w:r>
        <w:rPr>
          <w:rFonts w:ascii="宋体" w:hAnsi="宋体" w:cs="宋体" w:eastAsia="宋体" w:hint="default"/>
          <w:sz w:val="21"/>
          <w:szCs w:val="21"/>
        </w:rPr>
        <w:t>根据科技部、财政部、国家税务总局《高新技术企业认定管理办法》（国科发火〔</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172</w:t>
      </w:r>
      <w:r>
        <w:rPr>
          <w:rFonts w:ascii="宋体" w:hAnsi="宋体" w:cs="宋体" w:eastAsia="宋体" w:hint="default"/>
          <w:sz w:val="21"/>
          <w:szCs w:val="21"/>
        </w:rPr>
        <w:t>号）和</w:t>
      </w:r>
    </w:p>
    <w:p>
      <w:pPr>
        <w:spacing w:line="259" w:lineRule="auto" w:before="21"/>
        <w:ind w:left="1133" w:right="1129" w:firstLine="0"/>
        <w:jc w:val="both"/>
        <w:rPr>
          <w:rFonts w:ascii="宋体" w:hAnsi="宋体" w:cs="宋体" w:eastAsia="宋体" w:hint="default"/>
          <w:sz w:val="21"/>
          <w:szCs w:val="21"/>
        </w:rPr>
      </w:pPr>
      <w:r>
        <w:rPr>
          <w:rFonts w:ascii="宋体" w:hAnsi="宋体" w:cs="宋体" w:eastAsia="宋体" w:hint="default"/>
          <w:spacing w:val="-5"/>
          <w:sz w:val="21"/>
          <w:szCs w:val="21"/>
        </w:rPr>
        <w:t>《高新技术企业认定管理工作指引》（国科发火</w:t>
      </w:r>
      <w:r>
        <w:rPr>
          <w:rFonts w:ascii="Times New Roman" w:hAnsi="Times New Roman" w:cs="Times New Roman" w:eastAsia="Times New Roman" w:hint="default"/>
          <w:spacing w:val="-5"/>
          <w:sz w:val="21"/>
          <w:szCs w:val="21"/>
        </w:rPr>
        <w:t>[2008]362</w:t>
      </w:r>
      <w:r>
        <w:rPr>
          <w:rFonts w:ascii="宋体" w:hAnsi="宋体" w:cs="宋体" w:eastAsia="宋体" w:hint="default"/>
          <w:spacing w:val="-5"/>
          <w:sz w:val="21"/>
          <w:szCs w:val="21"/>
        </w:rPr>
        <w:t>号）的规定，本公司之子公司深圳龙控公司于</w:t>
      </w:r>
      <w:r>
        <w:rPr>
          <w:rFonts w:ascii="Times New Roman" w:hAnsi="Times New Roman" w:cs="Times New Roman" w:eastAsia="Times New Roman" w:hint="default"/>
          <w:spacing w:val="-5"/>
          <w:sz w:val="21"/>
          <w:szCs w:val="21"/>
        </w:rPr>
        <w:t>2013</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日取得了深圳市科技创新委员会、深圳市财政委员会、深圳市国家税务局、深圳市地方税务局联</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合颁发的《高新技术企业证书》，证书编号为</w:t>
      </w:r>
      <w:r>
        <w:rPr>
          <w:rFonts w:ascii="Times New Roman" w:hAnsi="Times New Roman" w:cs="Times New Roman" w:eastAsia="Times New Roman" w:hint="default"/>
          <w:sz w:val="21"/>
          <w:szCs w:val="21"/>
        </w:rPr>
        <w:t>GF201344200158</w:t>
      </w:r>
      <w:r>
        <w:rPr>
          <w:rFonts w:ascii="宋体" w:hAnsi="宋体" w:cs="宋体" w:eastAsia="宋体" w:hint="default"/>
          <w:sz w:val="21"/>
          <w:szCs w:val="21"/>
        </w:rPr>
        <w:t>，认定有效期</w:t>
      </w:r>
      <w:r>
        <w:rPr>
          <w:rFonts w:ascii="Times New Roman" w:hAnsi="Times New Roman" w:cs="Times New Roman" w:eastAsia="Times New Roman" w:hint="default"/>
          <w:sz w:val="21"/>
          <w:szCs w:val="21"/>
        </w:rPr>
        <w:t>3</w:t>
      </w:r>
      <w:r>
        <w:rPr>
          <w:rFonts w:ascii="宋体" w:hAnsi="宋体" w:cs="宋体" w:eastAsia="宋体" w:hint="default"/>
          <w:sz w:val="21"/>
          <w:szCs w:val="21"/>
        </w:rPr>
        <w:t>年。根据《中华人民共和国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
          <w:sz w:val="21"/>
          <w:szCs w:val="21"/>
        </w:rPr>
        <w:t>所得税法》、《中华人民共和国企业所得税法实施条例》、国家税务总局《关于实施高新技术企业所得税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优惠有关问题的通知》（国税函</w:t>
      </w:r>
      <w:r>
        <w:rPr>
          <w:rFonts w:ascii="Times New Roman" w:hAnsi="Times New Roman" w:cs="Times New Roman" w:eastAsia="Times New Roman" w:hint="default"/>
          <w:sz w:val="21"/>
          <w:szCs w:val="21"/>
        </w:rPr>
        <w:t>[2009]203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号）的规定，深圳龙控公司可享受高新技术企业税收优惠，在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每年向主管税务机关申报税收优惠备案后，可享受</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的企业所得税优惠税率。基于以上情况，深圳龙控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公司在编制本年财务报表时暂按</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的税率计提企业所得税，上述税收优惠尚需由税务机关最终核定。</w:t>
      </w:r>
    </w:p>
    <w:p>
      <w:pPr>
        <w:spacing w:line="240" w:lineRule="auto" w:before="6"/>
        <w:rPr>
          <w:rFonts w:ascii="宋体" w:hAnsi="宋体" w:cs="宋体" w:eastAsia="宋体" w:hint="default"/>
          <w:sz w:val="18"/>
          <w:szCs w:val="18"/>
        </w:rPr>
      </w:pPr>
    </w:p>
    <w:p>
      <w:pPr>
        <w:spacing w:line="261" w:lineRule="auto" w:before="0"/>
        <w:ind w:left="1133" w:right="1026" w:firstLine="420"/>
        <w:jc w:val="left"/>
        <w:rPr>
          <w:rFonts w:ascii="宋体" w:hAnsi="宋体" w:cs="宋体" w:eastAsia="宋体" w:hint="default"/>
          <w:sz w:val="21"/>
          <w:szCs w:val="21"/>
        </w:rPr>
      </w:pPr>
      <w:r>
        <w:rPr>
          <w:rFonts w:ascii="宋体" w:hAnsi="宋体" w:cs="宋体" w:eastAsia="宋体" w:hint="default"/>
          <w:sz w:val="21"/>
          <w:szCs w:val="21"/>
        </w:rPr>
        <w:t>依据《财政部、国家税务总局、海关总署关于鼓励软件产业和集成电路产业发展有关税收政策问题的 </w:t>
      </w:r>
      <w:r>
        <w:rPr>
          <w:rFonts w:ascii="宋体" w:hAnsi="宋体" w:cs="宋体" w:eastAsia="宋体" w:hint="default"/>
          <w:spacing w:val="-2"/>
          <w:sz w:val="21"/>
          <w:szCs w:val="21"/>
        </w:rPr>
        <w:t>通知》（财税</w:t>
      </w:r>
      <w:r>
        <w:rPr>
          <w:rFonts w:ascii="Times New Roman" w:hAnsi="Times New Roman" w:cs="Times New Roman" w:eastAsia="Times New Roman" w:hint="default"/>
          <w:spacing w:val="-2"/>
          <w:sz w:val="21"/>
          <w:szCs w:val="21"/>
        </w:rPr>
        <w:t>[2000]25</w:t>
      </w:r>
      <w:r>
        <w:rPr>
          <w:rFonts w:ascii="宋体" w:hAnsi="宋体" w:cs="宋体" w:eastAsia="宋体" w:hint="default"/>
          <w:spacing w:val="-2"/>
          <w:sz w:val="21"/>
          <w:szCs w:val="21"/>
        </w:rPr>
        <w:t>号）及《财政部国家税务总局关于软件产品增值税政策的通知》（财税</w:t>
      </w:r>
      <w:r>
        <w:rPr>
          <w:rFonts w:ascii="Times New Roman" w:hAnsi="Times New Roman" w:cs="Times New Roman" w:eastAsia="Times New Roman" w:hint="default"/>
          <w:spacing w:val="-2"/>
          <w:sz w:val="21"/>
          <w:szCs w:val="21"/>
        </w:rPr>
        <w:t>[2011]100</w:t>
      </w:r>
      <w:r>
        <w:rPr>
          <w:rFonts w:ascii="宋体" w:hAnsi="宋体" w:cs="宋体" w:eastAsia="宋体" w:hint="default"/>
          <w:spacing w:val="-2"/>
          <w:sz w:val="21"/>
          <w:szCs w:val="21"/>
        </w:rPr>
        <w:t>号）</w:t>
      </w:r>
      <w:r>
        <w:rPr>
          <w:rFonts w:ascii="宋体" w:hAnsi="宋体" w:cs="宋体" w:eastAsia="宋体" w:hint="default"/>
          <w:spacing w:val="-90"/>
          <w:sz w:val="21"/>
          <w:szCs w:val="21"/>
        </w:rPr>
        <w:t> </w:t>
      </w:r>
      <w:r>
        <w:rPr>
          <w:rFonts w:ascii="宋体" w:hAnsi="宋体" w:cs="宋体" w:eastAsia="宋体" w:hint="default"/>
          <w:sz w:val="21"/>
          <w:szCs w:val="21"/>
        </w:rPr>
        <w:t>的规定，增值税一般纳税人销售其自行开发生产的软件产品，按</w:t>
      </w:r>
      <w:r>
        <w:rPr>
          <w:rFonts w:ascii="Times New Roman" w:hAnsi="Times New Roman" w:cs="Times New Roman" w:eastAsia="Times New Roman" w:hint="default"/>
          <w:sz w:val="21"/>
          <w:szCs w:val="21"/>
        </w:rPr>
        <w:t>17%</w:t>
      </w:r>
      <w:r>
        <w:rPr>
          <w:rFonts w:ascii="宋体" w:hAnsi="宋体" w:cs="宋体" w:eastAsia="宋体" w:hint="default"/>
          <w:sz w:val="21"/>
          <w:szCs w:val="21"/>
        </w:rPr>
        <w:t>税率征收增值税后，对其增值税实际</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税负超过</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的部分实行即征即退政策。深圳龙控公司于</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日取得编号为深</w:t>
      </w:r>
      <w:r>
        <w:rPr>
          <w:rFonts w:ascii="Times New Roman" w:hAnsi="Times New Roman" w:cs="Times New Roman" w:eastAsia="Times New Roman" w:hint="default"/>
          <w:sz w:val="21"/>
          <w:szCs w:val="21"/>
        </w:rPr>
        <w:t>R-2009-0080</w:t>
      </w:r>
      <w:r>
        <w:rPr>
          <w:rFonts w:ascii="宋体" w:hAnsi="宋体" w:cs="宋体" w:eastAsia="宋体" w:hint="default"/>
          <w:sz w:val="21"/>
          <w:szCs w:val="21"/>
        </w:rPr>
        <w:t>的软件企 业认定证书，深圳龙控公司软件销售收入享受按</w:t>
      </w:r>
      <w:r>
        <w:rPr>
          <w:rFonts w:ascii="Times New Roman" w:hAnsi="Times New Roman" w:cs="Times New Roman" w:eastAsia="Times New Roman" w:hint="default"/>
          <w:sz w:val="21"/>
          <w:szCs w:val="21"/>
        </w:rPr>
        <w:t>17%</w:t>
      </w:r>
      <w:r>
        <w:rPr>
          <w:rFonts w:ascii="宋体" w:hAnsi="宋体" w:cs="宋体" w:eastAsia="宋体" w:hint="default"/>
          <w:sz w:val="21"/>
          <w:szCs w:val="21"/>
        </w:rPr>
        <w:t>税率征收增值税后，对其增值税实际税负超过</w:t>
      </w:r>
      <w:r>
        <w:rPr>
          <w:rFonts w:ascii="Times New Roman" w:hAnsi="Times New Roman" w:cs="Times New Roman" w:eastAsia="Times New Roman" w:hint="default"/>
          <w:sz w:val="21"/>
          <w:szCs w:val="21"/>
        </w:rPr>
        <w:t>3%</w:t>
      </w:r>
      <w:r>
        <w:rPr>
          <w:rFonts w:ascii="宋体" w:hAnsi="宋体" w:cs="宋体" w:eastAsia="宋体" w:hint="default"/>
          <w:sz w:val="21"/>
          <w:szCs w:val="21"/>
        </w:rPr>
        <w:t>的部 分实行即征即退政策。</w:t>
      </w:r>
    </w:p>
    <w:p>
      <w:pPr>
        <w:spacing w:line="240" w:lineRule="auto" w:before="8"/>
        <w:rPr>
          <w:rFonts w:ascii="宋体" w:hAnsi="宋体" w:cs="宋体" w:eastAsia="宋体" w:hint="default"/>
          <w:sz w:val="19"/>
          <w:szCs w:val="19"/>
        </w:rPr>
      </w:pPr>
    </w:p>
    <w:p>
      <w:pPr>
        <w:spacing w:line="259" w:lineRule="auto" w:before="0"/>
        <w:ind w:left="1133" w:right="994"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）根据科技部、财政部、国家税务总局《高新技术企业认定管理办法》（国科发火〔</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172</w:t>
      </w:r>
      <w:r>
        <w:rPr>
          <w:rFonts w:ascii="宋体" w:hAnsi="宋体" w:cs="宋体" w:eastAsia="宋体" w:hint="default"/>
          <w:spacing w:val="-3"/>
          <w:sz w:val="21"/>
          <w:szCs w:val="21"/>
        </w:rPr>
        <w:t>号）</w:t>
      </w:r>
      <w:r>
        <w:rPr>
          <w:rFonts w:ascii="宋体" w:hAnsi="宋体" w:cs="宋体" w:eastAsia="宋体" w:hint="default"/>
          <w:sz w:val="21"/>
          <w:szCs w:val="21"/>
        </w:rPr>
        <w:t> </w:t>
      </w:r>
      <w:r>
        <w:rPr>
          <w:rFonts w:ascii="宋体" w:hAnsi="宋体" w:cs="宋体" w:eastAsia="宋体" w:hint="default"/>
          <w:spacing w:val="-6"/>
          <w:sz w:val="21"/>
          <w:szCs w:val="21"/>
        </w:rPr>
        <w:t>和《高新技术企业认定管理工作指引》（国科发火</w:t>
      </w:r>
      <w:r>
        <w:rPr>
          <w:rFonts w:ascii="Times New Roman" w:hAnsi="Times New Roman" w:cs="Times New Roman" w:eastAsia="Times New Roman" w:hint="default"/>
          <w:spacing w:val="-6"/>
          <w:sz w:val="21"/>
          <w:szCs w:val="21"/>
        </w:rPr>
        <w:t>[2008]362</w:t>
      </w:r>
      <w:r>
        <w:rPr>
          <w:rFonts w:ascii="宋体" w:hAnsi="宋体" w:cs="宋体" w:eastAsia="宋体" w:hint="default"/>
          <w:spacing w:val="-6"/>
          <w:sz w:val="21"/>
          <w:szCs w:val="21"/>
        </w:rPr>
        <w:t>号）的规定，本公司之子公司桑瑞思公司于</w:t>
      </w:r>
      <w:r>
        <w:rPr>
          <w:rFonts w:ascii="Times New Roman" w:hAnsi="Times New Roman" w:cs="Times New Roman" w:eastAsia="Times New Roman" w:hint="default"/>
          <w:spacing w:val="-6"/>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Times New Roman" w:hAnsi="Times New Roman" w:cs="Times New Roman" w:eastAsia="Times New Roman" w:hint="default"/>
          <w:sz w:val="21"/>
          <w:szCs w:val="21"/>
        </w:rPr>
        <w:t>18 </w:t>
      </w:r>
      <w:r>
        <w:rPr>
          <w:rFonts w:ascii="宋体" w:hAnsi="宋体" w:cs="宋体" w:eastAsia="宋体" w:hint="default"/>
          <w:sz w:val="21"/>
          <w:szCs w:val="21"/>
        </w:rPr>
        <w:t>日被认定为高新技术企业，</w:t>
      </w:r>
      <w:r>
        <w:rPr>
          <w:rFonts w:ascii="宋体" w:hAnsi="宋体" w:cs="宋体" w:eastAsia="宋体" w:hint="default"/>
          <w:spacing w:val="7"/>
          <w:sz w:val="21"/>
          <w:szCs w:val="21"/>
        </w:rPr>
        <w:t> </w:t>
      </w:r>
      <w:r>
        <w:rPr>
          <w:rFonts w:ascii="宋体" w:hAnsi="宋体" w:cs="宋体" w:eastAsia="宋体" w:hint="default"/>
          <w:sz w:val="21"/>
          <w:szCs w:val="21"/>
        </w:rPr>
        <w:t>证书编号为</w:t>
      </w:r>
      <w:r>
        <w:rPr>
          <w:rFonts w:ascii="Times New Roman" w:hAnsi="Times New Roman" w:cs="Times New Roman" w:eastAsia="Times New Roman" w:hint="default"/>
          <w:sz w:val="21"/>
          <w:szCs w:val="21"/>
        </w:rPr>
        <w:t>GR201351000504</w:t>
      </w:r>
      <w:r>
        <w:rPr>
          <w:rFonts w:ascii="宋体" w:hAnsi="宋体" w:cs="宋体" w:eastAsia="宋体" w:hint="default"/>
          <w:sz w:val="21"/>
          <w:szCs w:val="21"/>
        </w:rPr>
        <w:t>，有效期</w:t>
      </w:r>
      <w:r>
        <w:rPr>
          <w:rFonts w:ascii="Times New Roman" w:hAnsi="Times New Roman" w:cs="Times New Roman" w:eastAsia="Times New Roman" w:hint="default"/>
          <w:sz w:val="21"/>
          <w:szCs w:val="21"/>
        </w:rPr>
        <w:t>3</w:t>
      </w:r>
      <w:r>
        <w:rPr>
          <w:rFonts w:ascii="宋体" w:hAnsi="宋体" w:cs="宋体" w:eastAsia="宋体" w:hint="default"/>
          <w:sz w:val="21"/>
          <w:szCs w:val="21"/>
        </w:rPr>
        <w:t>年。根据《中华人民共和国 企业所得税法》、《中华人民共和国企业所得税法实施条例》、国家税务总局《关于实施高新技术企业所 得税优惠有关问题的通知》（国税函</w:t>
      </w:r>
      <w:r>
        <w:rPr>
          <w:rFonts w:ascii="Times New Roman" w:hAnsi="Times New Roman" w:cs="Times New Roman" w:eastAsia="Times New Roman" w:hint="default"/>
          <w:sz w:val="21"/>
          <w:szCs w:val="21"/>
        </w:rPr>
        <w:t>[2009]203 </w:t>
      </w:r>
      <w:r>
        <w:rPr>
          <w:rFonts w:ascii="宋体" w:hAnsi="宋体" w:cs="宋体" w:eastAsia="宋体" w:hint="default"/>
          <w:sz w:val="21"/>
          <w:szCs w:val="21"/>
        </w:rPr>
        <w:t>号）的规定，桑瑞思公司可享受高新技术企业税收优惠，</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在每年向主管税务机关申报税收优惠备案后，可享受</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的企业所得税优惠税率。基于以上情况，桑瑞思</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公司在编制本年财务报表时暂按</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的税率计提企业所得税，上述税收优惠尚需由税务机关最终核定。</w:t>
      </w:r>
    </w:p>
    <w:p>
      <w:pPr>
        <w:spacing w:line="240" w:lineRule="auto" w:before="6"/>
        <w:rPr>
          <w:rFonts w:ascii="宋体" w:hAnsi="宋体" w:cs="宋体" w:eastAsia="宋体" w:hint="default"/>
          <w:sz w:val="18"/>
          <w:szCs w:val="18"/>
        </w:rPr>
      </w:pPr>
    </w:p>
    <w:p>
      <w:pPr>
        <w:spacing w:before="0"/>
        <w:ind w:left="1553" w:right="994"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）根据科技部、财政部、国家税务总局《高新技术企业认定管理办法》（国科发火〔</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172</w:t>
      </w:r>
      <w:r>
        <w:rPr>
          <w:rFonts w:ascii="宋体" w:hAnsi="宋体" w:cs="宋体" w:eastAsia="宋体" w:hint="default"/>
          <w:spacing w:val="-3"/>
          <w:sz w:val="21"/>
          <w:szCs w:val="21"/>
        </w:rPr>
        <w:t>号）</w:t>
      </w:r>
    </w:p>
    <w:p>
      <w:pPr>
        <w:spacing w:after="0"/>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256" w:lineRule="auto" w:before="35"/>
        <w:ind w:left="1133" w:right="1110" w:firstLine="0"/>
        <w:jc w:val="both"/>
        <w:rPr>
          <w:rFonts w:ascii="宋体" w:hAnsi="宋体" w:cs="宋体" w:eastAsia="宋体" w:hint="default"/>
          <w:sz w:val="21"/>
          <w:szCs w:val="21"/>
        </w:rPr>
      </w:pPr>
      <w:r>
        <w:rPr>
          <w:rFonts w:ascii="宋体" w:hAnsi="宋体" w:cs="宋体" w:eastAsia="宋体" w:hint="default"/>
          <w:spacing w:val="-2"/>
          <w:sz w:val="21"/>
          <w:szCs w:val="21"/>
        </w:rPr>
        <w:t>和《高新技术企业认定管理工作指引》（国科发火</w:t>
      </w:r>
      <w:r>
        <w:rPr>
          <w:rFonts w:ascii="Times New Roman" w:hAnsi="Times New Roman" w:cs="Times New Roman" w:eastAsia="Times New Roman" w:hint="default"/>
          <w:spacing w:val="-2"/>
          <w:sz w:val="21"/>
          <w:szCs w:val="21"/>
        </w:rPr>
        <w:t>[2008]362</w:t>
      </w:r>
      <w:r>
        <w:rPr>
          <w:rFonts w:ascii="宋体" w:hAnsi="宋体" w:cs="宋体" w:eastAsia="宋体" w:hint="default"/>
          <w:spacing w:val="-2"/>
          <w:sz w:val="21"/>
          <w:szCs w:val="21"/>
        </w:rPr>
        <w:t>号）的规定，本公司之子公司西安华西公司于</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28</w:t>
      </w:r>
      <w:r>
        <w:rPr>
          <w:rFonts w:ascii="宋体" w:hAnsi="宋体" w:cs="宋体" w:eastAsia="宋体" w:hint="default"/>
          <w:spacing w:val="3"/>
          <w:sz w:val="21"/>
          <w:szCs w:val="21"/>
        </w:rPr>
        <w:t>日取得高新技术企业证书，并于</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22</w:t>
      </w:r>
      <w:r>
        <w:rPr>
          <w:rFonts w:ascii="宋体" w:hAnsi="宋体" w:cs="宋体" w:eastAsia="宋体" w:hint="default"/>
          <w:spacing w:val="3"/>
          <w:sz w:val="21"/>
          <w:szCs w:val="21"/>
        </w:rPr>
        <w:t>日通过高新技术企业认定复审，证书编号为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pacing w:val="-2"/>
          <w:sz w:val="21"/>
          <w:szCs w:val="21"/>
        </w:rPr>
        <w:t>GF201261000145</w:t>
      </w:r>
      <w:r>
        <w:rPr>
          <w:rFonts w:ascii="宋体" w:hAnsi="宋体" w:cs="宋体" w:eastAsia="宋体" w:hint="default"/>
          <w:spacing w:val="-2"/>
          <w:sz w:val="21"/>
          <w:szCs w:val="21"/>
        </w:rPr>
        <w:t>，有效期</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2"/>
          <w:szCs w:val="22"/>
        </w:rPr>
        <w:t>2015</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11</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16</w:t>
      </w:r>
      <w:r>
        <w:rPr>
          <w:rFonts w:ascii="宋体" w:hAnsi="宋体" w:cs="宋体" w:eastAsia="宋体" w:hint="default"/>
          <w:spacing w:val="-2"/>
          <w:sz w:val="22"/>
          <w:szCs w:val="22"/>
        </w:rPr>
        <w:t>日，本公司再次取得《高新技术企业证书》，认定有效期</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三年，</w:t>
      </w:r>
      <w:r>
        <w:rPr>
          <w:rFonts w:ascii="Times New Roman" w:hAnsi="Times New Roman" w:cs="Times New Roman" w:eastAsia="Times New Roman" w:hint="default"/>
          <w:sz w:val="22"/>
          <w:szCs w:val="22"/>
        </w:rPr>
        <w:t>2015</w:t>
      </w:r>
      <w:r>
        <w:rPr>
          <w:rFonts w:ascii="宋体" w:hAnsi="宋体" w:cs="宋体" w:eastAsia="宋体" w:hint="default"/>
          <w:sz w:val="22"/>
          <w:szCs w:val="22"/>
        </w:rPr>
        <w:t>年度所得税率为</w:t>
      </w:r>
      <w:r>
        <w:rPr>
          <w:rFonts w:ascii="Times New Roman" w:hAnsi="Times New Roman" w:cs="Times New Roman" w:eastAsia="Times New Roman" w:hint="default"/>
          <w:sz w:val="22"/>
          <w:szCs w:val="22"/>
        </w:rPr>
        <w:t>15%</w:t>
      </w:r>
      <w:r>
        <w:rPr>
          <w:rFonts w:ascii="宋体" w:hAnsi="宋体" w:cs="宋体" w:eastAsia="宋体" w:hint="default"/>
          <w:sz w:val="22"/>
          <w:szCs w:val="22"/>
        </w:rPr>
        <w:t>。</w:t>
      </w:r>
      <w:r>
        <w:rPr>
          <w:rFonts w:ascii="宋体" w:hAnsi="宋体" w:cs="宋体" w:eastAsia="宋体" w:hint="default"/>
          <w:sz w:val="21"/>
          <w:szCs w:val="21"/>
        </w:rPr>
        <w:t>根据《中华人民共和国企业所得税法》、《中华人民共和国企业所得</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税法实施条例》、国家税务总局《关于实施高新技术企业所得税优惠有关问题的通知》（国税函</w:t>
      </w:r>
      <w:r>
        <w:rPr>
          <w:rFonts w:ascii="Times New Roman" w:hAnsi="Times New Roman" w:cs="Times New Roman" w:eastAsia="Times New Roman" w:hint="default"/>
          <w:spacing w:val="-2"/>
          <w:sz w:val="21"/>
          <w:szCs w:val="21"/>
        </w:rPr>
        <w:t>[2009]203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号）的规定，西安华西公司可享受高新技术企业税收优惠，在每年向主管税务机关申报税收优惠备案后， 可享受</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的企业所得税优惠税率。基于以上情况，西安华西公司在编制本年财务报表时暂按</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w:t>
      </w:r>
      <w:r>
        <w:rPr>
          <w:rFonts w:ascii="宋体" w:hAnsi="宋体" w:cs="宋体" w:eastAsia="宋体" w:hint="default"/>
          <w:spacing w:val="-65"/>
          <w:sz w:val="21"/>
          <w:szCs w:val="21"/>
        </w:rPr>
        <w:t> </w:t>
      </w:r>
      <w:r>
        <w:rPr>
          <w:rFonts w:ascii="宋体" w:hAnsi="宋体" w:cs="宋体" w:eastAsia="宋体" w:hint="default"/>
          <w:sz w:val="21"/>
          <w:szCs w:val="21"/>
        </w:rPr>
        <w:t>计提企业所得税，上述税收优惠尚需由税务机关最终核定。</w:t>
      </w:r>
    </w:p>
    <w:p>
      <w:pPr>
        <w:spacing w:line="240" w:lineRule="auto" w:before="13"/>
        <w:rPr>
          <w:rFonts w:ascii="宋体" w:hAnsi="宋体" w:cs="宋体" w:eastAsia="宋体" w:hint="default"/>
          <w:sz w:val="19"/>
          <w:szCs w:val="19"/>
        </w:rPr>
      </w:pPr>
    </w:p>
    <w:p>
      <w:pPr>
        <w:spacing w:line="256" w:lineRule="auto" w:before="0"/>
        <w:ind w:left="1133" w:right="994"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）根据科技部、财政部、国家税务总局《高新技术企业认定管理办法》（国科发火〔</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172</w:t>
      </w:r>
      <w:r>
        <w:rPr>
          <w:rFonts w:ascii="宋体" w:hAnsi="宋体" w:cs="宋体" w:eastAsia="宋体" w:hint="default"/>
          <w:spacing w:val="-3"/>
          <w:sz w:val="21"/>
          <w:szCs w:val="21"/>
        </w:rPr>
        <w:t>号）</w:t>
      </w:r>
      <w:r>
        <w:rPr>
          <w:rFonts w:ascii="宋体" w:hAnsi="宋体" w:cs="宋体" w:eastAsia="宋体" w:hint="default"/>
          <w:sz w:val="21"/>
          <w:szCs w:val="21"/>
        </w:rPr>
        <w:t> 和《高新技术企业认定管理工作指引》（国科发火</w:t>
      </w:r>
      <w:r>
        <w:rPr>
          <w:rFonts w:ascii="Times New Roman" w:hAnsi="Times New Roman" w:cs="Times New Roman" w:eastAsia="Times New Roman" w:hint="default"/>
          <w:sz w:val="21"/>
          <w:szCs w:val="21"/>
        </w:rPr>
        <w:t>[2008]362</w:t>
      </w:r>
      <w:r>
        <w:rPr>
          <w:rFonts w:ascii="宋体" w:hAnsi="宋体" w:cs="宋体" w:eastAsia="宋体" w:hint="default"/>
          <w:sz w:val="21"/>
          <w:szCs w:val="21"/>
        </w:rPr>
        <w:t>号）的规定，本公司之子公司江苏亿金公司于 </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日取得了江苏省科学技术厅、江苏省财政厅、江苏省国家税务局、江苏省地方税务局联合颁发 </w:t>
      </w:r>
      <w:r>
        <w:rPr>
          <w:rFonts w:ascii="宋体" w:hAnsi="宋体" w:cs="宋体" w:eastAsia="宋体" w:hint="default"/>
          <w:spacing w:val="-2"/>
          <w:sz w:val="21"/>
          <w:szCs w:val="21"/>
        </w:rPr>
        <w:t>的《高新技术企业证书》，证书编号为</w:t>
      </w:r>
      <w:r>
        <w:rPr>
          <w:rFonts w:ascii="Times New Roman" w:hAnsi="Times New Roman" w:cs="Times New Roman" w:eastAsia="Times New Roman" w:hint="default"/>
          <w:spacing w:val="-2"/>
          <w:sz w:val="21"/>
          <w:szCs w:val="21"/>
        </w:rPr>
        <w:t>GF201261000145</w:t>
      </w:r>
      <w:r>
        <w:rPr>
          <w:rFonts w:ascii="宋体" w:hAnsi="宋体" w:cs="宋体" w:eastAsia="宋体" w:hint="default"/>
          <w:spacing w:val="-2"/>
          <w:sz w:val="21"/>
          <w:szCs w:val="21"/>
        </w:rPr>
        <w:t>，认定有效期</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2"/>
          <w:szCs w:val="22"/>
        </w:rPr>
        <w:t>2015</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日，本公司再次</w:t>
      </w:r>
      <w:r>
        <w:rPr>
          <w:rFonts w:ascii="宋体" w:hAnsi="宋体" w:cs="宋体" w:eastAsia="宋体" w:hint="default"/>
          <w:w w:val="99"/>
          <w:sz w:val="22"/>
          <w:szCs w:val="22"/>
        </w:rPr>
        <w:t> </w:t>
      </w:r>
      <w:r>
        <w:rPr>
          <w:rFonts w:ascii="宋体" w:hAnsi="宋体" w:cs="宋体" w:eastAsia="宋体" w:hint="default"/>
          <w:spacing w:val="2"/>
          <w:sz w:val="22"/>
          <w:szCs w:val="22"/>
        </w:rPr>
        <w:t>取得《高新技术企业证书》，认定有效期三年，</w:t>
      </w:r>
      <w:r>
        <w:rPr>
          <w:rFonts w:ascii="Times New Roman" w:hAnsi="Times New Roman" w:cs="Times New Roman" w:eastAsia="Times New Roman" w:hint="default"/>
          <w:spacing w:val="2"/>
          <w:sz w:val="22"/>
          <w:szCs w:val="22"/>
        </w:rPr>
        <w:t>2015</w:t>
      </w:r>
      <w:r>
        <w:rPr>
          <w:rFonts w:ascii="宋体" w:hAnsi="宋体" w:cs="宋体" w:eastAsia="宋体" w:hint="default"/>
          <w:spacing w:val="2"/>
          <w:sz w:val="22"/>
          <w:szCs w:val="22"/>
        </w:rPr>
        <w:t>年度所得税率为</w:t>
      </w:r>
      <w:r>
        <w:rPr>
          <w:rFonts w:ascii="Times New Roman" w:hAnsi="Times New Roman" w:cs="Times New Roman" w:eastAsia="Times New Roman" w:hint="default"/>
          <w:spacing w:val="2"/>
          <w:sz w:val="22"/>
          <w:szCs w:val="22"/>
        </w:rPr>
        <w:t>15%</w:t>
      </w:r>
      <w:r>
        <w:rPr>
          <w:rFonts w:ascii="宋体" w:hAnsi="宋体" w:cs="宋体" w:eastAsia="宋体" w:hint="default"/>
          <w:spacing w:val="2"/>
          <w:sz w:val="22"/>
          <w:szCs w:val="22"/>
        </w:rPr>
        <w:t>。</w:t>
      </w:r>
      <w:r>
        <w:rPr>
          <w:rFonts w:ascii="宋体" w:hAnsi="宋体" w:cs="宋体" w:eastAsia="宋体" w:hint="default"/>
          <w:spacing w:val="2"/>
          <w:sz w:val="21"/>
          <w:szCs w:val="21"/>
        </w:rPr>
        <w:t>根据《中华人民共和国所</w:t>
      </w:r>
      <w:r>
        <w:rPr>
          <w:rFonts w:ascii="宋体" w:hAnsi="宋体" w:cs="宋体" w:eastAsia="宋体" w:hint="default"/>
          <w:sz w:val="21"/>
          <w:szCs w:val="21"/>
        </w:rPr>
        <w:t> 得税法》、《中华人民共和国企业所得税法实施条例》、国家税务总局《关于实施高新技术企业所得税优 惠有关问题的通知》（国税函</w:t>
      </w:r>
      <w:r>
        <w:rPr>
          <w:rFonts w:ascii="Times New Roman" w:hAnsi="Times New Roman" w:cs="Times New Roman" w:eastAsia="Times New Roman" w:hint="default"/>
          <w:sz w:val="21"/>
          <w:szCs w:val="21"/>
        </w:rPr>
        <w:t>[2009]203 </w:t>
      </w:r>
      <w:r>
        <w:rPr>
          <w:rFonts w:ascii="宋体" w:hAnsi="宋体" w:cs="宋体" w:eastAsia="宋体" w:hint="default"/>
          <w:sz w:val="21"/>
          <w:szCs w:val="21"/>
        </w:rPr>
        <w:t>号）的规定，江苏亿金公司可享受高新技术企业税收优惠，在每</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年向主管税务机关申报税收优惠备案后，可享受</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的企业所得税优惠税率。基于以上情况，江苏亿金公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司在编制本年财务报表时暂按</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的税率计提企业所得税，上述税收优惠尚需由税务机关最终核定。</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1"/>
          <w:szCs w:val="21"/>
        </w:rPr>
      </w:pPr>
    </w:p>
    <w:p>
      <w:pPr>
        <w:spacing w:line="487" w:lineRule="auto" w:before="0"/>
        <w:ind w:left="1134" w:right="7326" w:firstLine="0"/>
        <w:jc w:val="left"/>
        <w:rPr>
          <w:rFonts w:ascii="宋体" w:hAnsi="宋体" w:cs="宋体" w:eastAsia="宋体" w:hint="default"/>
          <w:sz w:val="21"/>
          <w:szCs w:val="21"/>
        </w:rPr>
      </w:pPr>
      <w:bookmarkStart w:name="3、其他" w:id="220"/>
      <w:bookmarkEnd w:id="2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1"/>
      <w:bookmarkEnd w:id="221"/>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2"/>
      <w:bookmarkEnd w:id="22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156,771.34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30,715.26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68,537,871.14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150,583,031.11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48,757,691.60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26,992,402.21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117,452,334.08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177,606,148.58</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2"/>
          <w:szCs w:val="22"/>
        </w:rPr>
      </w:pPr>
    </w:p>
    <w:p>
      <w:pPr>
        <w:spacing w:line="264" w:lineRule="auto" w:before="0"/>
        <w:ind w:left="1134"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、货币资金年末余额较年初余额减少</w:t>
      </w:r>
      <w:r>
        <w:rPr>
          <w:rFonts w:ascii="Times New Roman" w:hAnsi="Times New Roman" w:cs="Times New Roman" w:eastAsia="Times New Roman" w:hint="default"/>
          <w:spacing w:val="-2"/>
          <w:sz w:val="21"/>
          <w:szCs w:val="21"/>
        </w:rPr>
        <w:t>60,153,814.50</w:t>
      </w:r>
      <w:r>
        <w:rPr>
          <w:rFonts w:ascii="宋体" w:hAnsi="宋体" w:cs="宋体" w:eastAsia="宋体" w:hint="default"/>
          <w:spacing w:val="-2"/>
          <w:sz w:val="21"/>
          <w:szCs w:val="21"/>
        </w:rPr>
        <w:t>元，减少</w:t>
      </w:r>
      <w:r>
        <w:rPr>
          <w:rFonts w:ascii="Times New Roman" w:hAnsi="Times New Roman" w:cs="Times New Roman" w:eastAsia="Times New Roman" w:hint="default"/>
          <w:spacing w:val="-2"/>
          <w:sz w:val="21"/>
          <w:szCs w:val="21"/>
        </w:rPr>
        <w:t>33.87%</w:t>
      </w:r>
      <w:r>
        <w:rPr>
          <w:rFonts w:ascii="宋体" w:hAnsi="宋体" w:cs="宋体" w:eastAsia="宋体" w:hint="default"/>
          <w:spacing w:val="-2"/>
          <w:sz w:val="21"/>
          <w:szCs w:val="21"/>
        </w:rPr>
        <w:t>，主要系控股子公司江苏亿金公司</w:t>
      </w:r>
      <w:r>
        <w:rPr>
          <w:rFonts w:ascii="宋体" w:hAnsi="宋体" w:cs="宋体" w:eastAsia="宋体" w:hint="default"/>
          <w:sz w:val="21"/>
          <w:szCs w:val="21"/>
        </w:rPr>
        <w:t> </w:t>
      </w:r>
      <w:r>
        <w:rPr>
          <w:rFonts w:ascii="宋体" w:hAnsi="宋体" w:cs="宋体" w:eastAsia="宋体" w:hint="default"/>
          <w:spacing w:val="-1"/>
          <w:sz w:val="21"/>
          <w:szCs w:val="21"/>
        </w:rPr>
        <w:t>募集项目投入资金、公司投资参股上海国富光启云计算科技股份有限公司以及支付西区绿色精密环境产业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基地建设土地款及预付工程款增加所致。</w:t>
      </w:r>
    </w:p>
    <w:p>
      <w:pPr>
        <w:spacing w:line="240" w:lineRule="auto" w:before="8"/>
        <w:rPr>
          <w:rFonts w:ascii="宋体" w:hAnsi="宋体" w:cs="宋体" w:eastAsia="宋体" w:hint="default"/>
          <w:sz w:val="19"/>
          <w:szCs w:val="19"/>
        </w:rPr>
      </w:pPr>
    </w:p>
    <w:p>
      <w:pPr>
        <w:spacing w:line="259" w:lineRule="auto" w:before="0"/>
        <w:ind w:left="1134" w:right="1132" w:firstLine="399"/>
        <w:jc w:val="both"/>
        <w:rPr>
          <w:rFonts w:ascii="宋体" w:hAnsi="宋体" w:cs="宋体" w:eastAsia="宋体" w:hint="default"/>
          <w:sz w:val="21"/>
          <w:szCs w:val="21"/>
        </w:rPr>
      </w:pP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w:t>
      </w:r>
      <w:r>
        <w:rPr>
          <w:rFonts w:ascii="宋体" w:hAnsi="宋体" w:cs="宋体" w:eastAsia="宋体" w:hint="default"/>
          <w:spacing w:val="-3"/>
          <w:sz w:val="21"/>
          <w:szCs w:val="21"/>
        </w:rPr>
        <w:t>其他货币资金主要为保函保证金、承兑汇票保证金以及用于质押借款的国内信用证，属于使用受到</w:t>
      </w:r>
      <w:r>
        <w:rPr>
          <w:rFonts w:ascii="宋体" w:hAnsi="宋体" w:cs="宋体" w:eastAsia="宋体" w:hint="default"/>
          <w:sz w:val="21"/>
          <w:szCs w:val="21"/>
        </w:rPr>
        <w:t> 限制的货币资金。</w:t>
      </w:r>
    </w:p>
    <w:p>
      <w:pPr>
        <w:spacing w:after="0" w:line="259" w:lineRule="auto"/>
        <w:jc w:val="both"/>
        <w:rPr>
          <w:rFonts w:ascii="宋体" w:hAnsi="宋体" w:cs="宋体" w:eastAsia="宋体" w:hint="default"/>
          <w:sz w:val="21"/>
          <w:szCs w:val="21"/>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2、以公允价值计量且其变动计入当期损益的金融资产" w:id="223"/>
      <w:bookmarkEnd w:id="22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衍生金融资产" w:id="224"/>
      <w:bookmarkEnd w:id="22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4、应收票据" w:id="225"/>
      <w:bookmarkEnd w:id="22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应收票据分类列示"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53,996,187.12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4,237,313.00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10,827,232.80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64,823,419.92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4,237,313.00</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期末公司已质押的应收票据"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期末公司已背书或贴现且在资产负债表日尚未到期的应收票据"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78,395,852.85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64,823,419.92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78,395,852.85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64,823,419.92</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4）期末公司因出票人未履约而将其转应收账款的票据"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266" w:lineRule="auto" w:before="35"/>
        <w:ind w:left="1133" w:right="1033" w:firstLine="420"/>
        <w:jc w:val="left"/>
        <w:rPr>
          <w:rFonts w:ascii="宋体" w:hAnsi="宋体" w:cs="宋体" w:eastAsia="宋体" w:hint="default"/>
          <w:sz w:val="20"/>
          <w:szCs w:val="20"/>
        </w:rPr>
      </w:pPr>
      <w:r>
        <w:rPr>
          <w:rFonts w:ascii="宋体" w:hAnsi="宋体" w:cs="宋体" w:eastAsia="宋体" w:hint="default"/>
          <w:spacing w:val="-2"/>
          <w:sz w:val="21"/>
          <w:szCs w:val="21"/>
        </w:rPr>
        <w:t>应收票据年末余额较年初余额增加</w:t>
      </w:r>
      <w:r>
        <w:rPr>
          <w:rFonts w:ascii="Times New Roman" w:hAnsi="Times New Roman" w:cs="Times New Roman" w:eastAsia="Times New Roman" w:hint="default"/>
          <w:spacing w:val="-2"/>
          <w:sz w:val="21"/>
          <w:szCs w:val="21"/>
        </w:rPr>
        <w:t>60,586,106.92</w:t>
      </w:r>
      <w:r>
        <w:rPr>
          <w:rFonts w:ascii="宋体" w:hAnsi="宋体" w:cs="宋体" w:eastAsia="宋体" w:hint="default"/>
          <w:spacing w:val="-2"/>
          <w:sz w:val="21"/>
          <w:szCs w:val="21"/>
        </w:rPr>
        <w:t>元，增长</w:t>
      </w:r>
      <w:r>
        <w:rPr>
          <w:rFonts w:ascii="Times New Roman" w:hAnsi="Times New Roman" w:cs="Times New Roman" w:eastAsia="Times New Roman" w:hint="default"/>
          <w:spacing w:val="-2"/>
          <w:sz w:val="21"/>
          <w:szCs w:val="21"/>
        </w:rPr>
        <w:t>14.30</w:t>
      </w:r>
      <w:r>
        <w:rPr>
          <w:rFonts w:ascii="宋体" w:hAnsi="宋体" w:cs="宋体" w:eastAsia="宋体" w:hint="default"/>
          <w:spacing w:val="-2"/>
          <w:sz w:val="21"/>
          <w:szCs w:val="21"/>
        </w:rPr>
        <w:t>倍，</w:t>
      </w:r>
      <w:r>
        <w:rPr>
          <w:rFonts w:ascii="宋体" w:hAnsi="宋体" w:cs="宋体" w:eastAsia="宋体" w:hint="default"/>
          <w:spacing w:val="-2"/>
          <w:sz w:val="20"/>
          <w:szCs w:val="20"/>
        </w:rPr>
        <w:t>主要原因系本年收到客户支付货款的</w:t>
      </w:r>
      <w:r>
        <w:rPr>
          <w:rFonts w:ascii="宋体" w:hAnsi="宋体" w:cs="宋体" w:eastAsia="宋体" w:hint="default"/>
          <w:w w:val="100"/>
          <w:sz w:val="20"/>
          <w:szCs w:val="20"/>
        </w:rPr>
        <w:t> </w:t>
      </w:r>
      <w:r>
        <w:rPr>
          <w:rFonts w:ascii="宋体" w:hAnsi="宋体" w:cs="宋体" w:eastAsia="宋体" w:hint="default"/>
          <w:sz w:val="20"/>
          <w:szCs w:val="20"/>
        </w:rPr>
        <w:t>票据增加。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0"/>
        <w:ind w:left="1133" w:right="1033" w:firstLine="0"/>
        <w:jc w:val="left"/>
        <w:rPr>
          <w:rFonts w:ascii="宋体" w:hAnsi="宋体" w:cs="宋体" w:eastAsia="宋体" w:hint="default"/>
          <w:sz w:val="21"/>
          <w:szCs w:val="21"/>
        </w:rPr>
      </w:pPr>
      <w:bookmarkStart w:name="5、应收账款" w:id="230"/>
      <w:bookmarkEnd w:id="23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应收账款分类披露"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6,579,20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5,263,36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1,315,840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747,907,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136.38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91,864,0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06.50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656,043,1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29.88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665,940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,092.30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71,297,64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594,642,45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1.54</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754,486,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336.38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97,127,3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66.50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12.87%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657,358,9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69.88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665,940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,092.30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71,297,64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594,642,45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1.54</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6"/>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华尔润玻璃产业股份有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4,283,200.00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公司停产清算，收回可 能性低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淮安华尔润化工有限公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公司停产清算，收回可 能性低</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6,579,200.00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5,263,360.00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095" w:space="373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80"/>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7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29" w:right="0"/>
              <w:jc w:val="left"/>
              <w:rPr>
                <w:rFonts w:ascii="Times New Roman" w:hAnsi="Times New Roman" w:cs="Times New Roman" w:eastAsia="Times New Roman" w:hint="default"/>
                <w:sz w:val="18"/>
                <w:szCs w:val="18"/>
              </w:rPr>
            </w:pPr>
            <w:r>
              <w:rPr>
                <w:rFonts w:ascii="Times New Roman"/>
                <w:sz w:val="18"/>
              </w:rPr>
              <w:t>407,675,381.31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20,383,769.06</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210,050,323.82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21,005,032.39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92,255,189.14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27,676,556.76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26,163,229.07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13,081,614.55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4,091,958.60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2,045,979.30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7,671,054.44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7,671,054.44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747,907,136.38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91,864,006.50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spacing w:before="0"/>
        <w:ind w:left="1133" w:right="1033" w:firstLine="0"/>
        <w:jc w:val="left"/>
        <w:rPr>
          <w:rFonts w:ascii="宋体" w:hAnsi="宋体" w:cs="宋体" w:eastAsia="宋体" w:hint="default"/>
          <w:sz w:val="21"/>
          <w:szCs w:val="21"/>
        </w:rPr>
      </w:pPr>
      <w:bookmarkStart w:name="（2）本期计提、收回或转回的坏账准备情况"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25,974,475.74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524" w:space="130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本期实际核销的应收账款情况"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144,750.00</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56" w:lineRule="auto" w:before="90"/>
        <w:ind w:left="1133" w:right="1033" w:firstLine="0"/>
        <w:jc w:val="left"/>
        <w:rPr>
          <w:rFonts w:ascii="宋体" w:hAnsi="宋体" w:cs="宋体" w:eastAsia="宋体" w:hint="default"/>
          <w:sz w:val="21"/>
          <w:szCs w:val="21"/>
        </w:rPr>
      </w:pPr>
      <w:r>
        <w:rPr>
          <w:rFonts w:ascii="宋体" w:hAnsi="宋体" w:cs="宋体" w:eastAsia="宋体" w:hint="default"/>
          <w:sz w:val="21"/>
          <w:szCs w:val="21"/>
        </w:rPr>
        <w:t>本公司之子公司桑瑞思与天津医科大学总医院滨海医院就货款</w:t>
      </w:r>
      <w:r>
        <w:rPr>
          <w:rFonts w:ascii="Times New Roman" w:hAnsi="Times New Roman" w:cs="Times New Roman" w:eastAsia="Times New Roman" w:hint="default"/>
          <w:sz w:val="21"/>
          <w:szCs w:val="21"/>
        </w:rPr>
        <w:t>484,750.00</w:t>
      </w:r>
      <w:r>
        <w:rPr>
          <w:rFonts w:ascii="宋体" w:hAnsi="宋体" w:cs="宋体" w:eastAsia="宋体" w:hint="default"/>
          <w:sz w:val="21"/>
          <w:szCs w:val="21"/>
        </w:rPr>
        <w:t>元的支付进度进行民事调解，调 </w:t>
      </w:r>
      <w:r>
        <w:rPr>
          <w:rFonts w:ascii="宋体" w:hAnsi="宋体" w:cs="宋体" w:eastAsia="宋体" w:hint="default"/>
          <w:spacing w:val="-1"/>
          <w:sz w:val="21"/>
          <w:szCs w:val="21"/>
        </w:rPr>
        <w:t>解书裁定天津医科大学总医院滨海医院只需支付</w:t>
      </w:r>
      <w:r>
        <w:rPr>
          <w:rFonts w:ascii="Times New Roman" w:hAnsi="Times New Roman" w:cs="Times New Roman" w:eastAsia="Times New Roman" w:hint="default"/>
          <w:spacing w:val="-1"/>
          <w:sz w:val="21"/>
          <w:szCs w:val="21"/>
        </w:rPr>
        <w:t>340,000.00</w:t>
      </w:r>
      <w:r>
        <w:rPr>
          <w:rFonts w:ascii="宋体" w:hAnsi="宋体" w:cs="宋体" w:eastAsia="宋体" w:hint="default"/>
          <w:spacing w:val="-1"/>
          <w:sz w:val="21"/>
          <w:szCs w:val="21"/>
        </w:rPr>
        <w:t>元的工程款，该货款已计提坏账准备</w:t>
      </w:r>
      <w:r>
        <w:rPr>
          <w:rFonts w:ascii="Times New Roman" w:hAnsi="Times New Roman" w:cs="Times New Roman" w:eastAsia="Times New Roman" w:hint="default"/>
          <w:spacing w:val="-1"/>
          <w:sz w:val="21"/>
          <w:szCs w:val="21"/>
        </w:rPr>
        <w:t>484,750.00</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pacing w:val="-21"/>
          <w:sz w:val="21"/>
          <w:szCs w:val="21"/>
        </w:rPr>
      </w:r>
      <w:r>
        <w:rPr>
          <w:rFonts w:ascii="宋体" w:hAnsi="宋体" w:cs="宋体" w:eastAsia="宋体" w:hint="default"/>
          <w:sz w:val="21"/>
          <w:szCs w:val="21"/>
        </w:rPr>
        <w:t>元，故在本年度对剩余工程款</w:t>
      </w:r>
      <w:r>
        <w:rPr>
          <w:rFonts w:ascii="Times New Roman" w:hAnsi="Times New Roman" w:cs="Times New Roman" w:eastAsia="Times New Roman" w:hint="default"/>
          <w:sz w:val="21"/>
          <w:szCs w:val="21"/>
        </w:rPr>
        <w:t>144,750.00</w:t>
      </w:r>
      <w:r>
        <w:rPr>
          <w:rFonts w:ascii="宋体" w:hAnsi="宋体" w:cs="宋体" w:eastAsia="宋体" w:hint="default"/>
          <w:sz w:val="21"/>
          <w:szCs w:val="21"/>
        </w:rPr>
        <w:t>元进行核销处理。</w:t>
      </w:r>
    </w:p>
    <w:p>
      <w:pPr>
        <w:spacing w:line="612" w:lineRule="exact" w:before="62"/>
        <w:ind w:left="1554" w:right="1033" w:hanging="420"/>
        <w:jc w:val="left"/>
        <w:rPr>
          <w:rFonts w:ascii="宋体" w:hAnsi="宋体" w:cs="宋体" w:eastAsia="宋体" w:hint="default"/>
          <w:sz w:val="21"/>
          <w:szCs w:val="21"/>
        </w:rPr>
      </w:pPr>
      <w:bookmarkStart w:name="（4）按欠款方归集的期末余额前五名的应收账款情况"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本年按欠款方归集的年末余额前五名应收账款汇总金额</w:t>
      </w:r>
      <w:r>
        <w:rPr>
          <w:rFonts w:ascii="Times New Roman" w:hAnsi="Times New Roman" w:cs="Times New Roman" w:eastAsia="Times New Roman" w:hint="default"/>
          <w:spacing w:val="-2"/>
          <w:sz w:val="21"/>
          <w:szCs w:val="21"/>
        </w:rPr>
        <w:t>112,977,962.95</w:t>
      </w:r>
      <w:r>
        <w:rPr>
          <w:rFonts w:ascii="宋体" w:hAnsi="宋体" w:cs="宋体" w:eastAsia="宋体" w:hint="default"/>
          <w:spacing w:val="-2"/>
          <w:sz w:val="21"/>
          <w:szCs w:val="21"/>
        </w:rPr>
        <w:t>元，占应收账款年末余额合计数</w:t>
      </w:r>
    </w:p>
    <w:p>
      <w:pPr>
        <w:spacing w:line="235" w:lineRule="exact" w:before="0"/>
        <w:ind w:left="1133" w:right="1033" w:firstLine="0"/>
        <w:jc w:val="left"/>
        <w:rPr>
          <w:rFonts w:ascii="宋体" w:hAnsi="宋体" w:cs="宋体" w:eastAsia="宋体"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14.97%</w:t>
      </w:r>
      <w:r>
        <w:rPr>
          <w:rFonts w:ascii="宋体" w:hAnsi="宋体" w:cs="宋体" w:eastAsia="宋体" w:hint="default"/>
          <w:sz w:val="21"/>
          <w:szCs w:val="21"/>
        </w:rPr>
        <w:t>，相应计提的坏账准备年末余额汇总金额</w:t>
      </w:r>
      <w:r>
        <w:rPr>
          <w:rFonts w:ascii="Times New Roman" w:hAnsi="Times New Roman" w:cs="Times New Roman" w:eastAsia="Times New Roman" w:hint="default"/>
          <w:sz w:val="21"/>
          <w:szCs w:val="21"/>
        </w:rPr>
        <w:t>12,056,774.75</w:t>
      </w:r>
      <w:r>
        <w:rPr>
          <w:rFonts w:ascii="宋体" w:hAnsi="宋体" w:cs="宋体" w:eastAsia="宋体" w:hint="default"/>
          <w:sz w:val="21"/>
          <w:szCs w:val="21"/>
        </w:rPr>
        <w:t>元。</w:t>
      </w:r>
    </w:p>
    <w:p>
      <w:pPr>
        <w:spacing w:after="0" w:line="235" w:lineRule="exact"/>
        <w:jc w:val="left"/>
        <w:rPr>
          <w:rFonts w:ascii="宋体" w:hAnsi="宋体" w:cs="宋体" w:eastAsia="宋体" w:hint="default"/>
          <w:sz w:val="21"/>
          <w:szCs w:val="21"/>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5）因金融资产转移而终止确认的应收账款"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6）转移应收账款且继续涉入形成的资产、负债金额"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6、预付款项" w:id="237"/>
      <w:bookmarkEnd w:id="23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预付款项按账龄列示"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49,222,812.58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29,590,548.71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5,728,592.40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10,907,096.21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4,163,205.34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1,469,339.32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1,050,507.04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1,210,006.31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60,165,117.36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43,176,990.55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1"/>
        <w:rPr>
          <w:rFonts w:ascii="宋体" w:hAnsi="宋体" w:cs="宋体" w:eastAsia="宋体" w:hint="default"/>
          <w:sz w:val="25"/>
          <w:szCs w:val="25"/>
        </w:rPr>
      </w:pPr>
    </w:p>
    <w:p>
      <w:pPr>
        <w:spacing w:before="0"/>
        <w:ind w:left="1134" w:right="1033" w:firstLine="0"/>
        <w:jc w:val="left"/>
        <w:rPr>
          <w:rFonts w:ascii="宋体" w:hAnsi="宋体" w:cs="宋体" w:eastAsia="宋体" w:hint="default"/>
          <w:sz w:val="21"/>
          <w:szCs w:val="21"/>
        </w:rPr>
      </w:pPr>
      <w:bookmarkStart w:name="（2）按预付对象归集的期末余额前五名的预付款情况"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56" w:lineRule="auto" w:before="0"/>
        <w:ind w:left="1134" w:right="1144" w:firstLine="0"/>
        <w:jc w:val="left"/>
        <w:rPr>
          <w:rFonts w:ascii="宋体" w:hAnsi="宋体" w:cs="宋体" w:eastAsia="宋体" w:hint="default"/>
          <w:sz w:val="21"/>
          <w:szCs w:val="21"/>
        </w:rPr>
      </w:pPr>
      <w:r>
        <w:rPr>
          <w:rFonts w:ascii="宋体" w:hAnsi="宋体" w:cs="宋体" w:eastAsia="宋体" w:hint="default"/>
          <w:sz w:val="21"/>
          <w:szCs w:val="21"/>
        </w:rPr>
        <w:t>本年按预付对象归集的年末余额前五名预付款项汇总金额</w:t>
      </w:r>
      <w:r>
        <w:rPr>
          <w:rFonts w:ascii="Times New Roman" w:hAnsi="Times New Roman" w:cs="Times New Roman" w:eastAsia="Times New Roman" w:hint="default"/>
          <w:sz w:val="21"/>
          <w:szCs w:val="21"/>
        </w:rPr>
        <w:t>10,900,179.50</w:t>
      </w:r>
      <w:r>
        <w:rPr>
          <w:rFonts w:ascii="宋体" w:hAnsi="宋体" w:cs="宋体" w:eastAsia="宋体" w:hint="default"/>
          <w:sz w:val="21"/>
          <w:szCs w:val="21"/>
        </w:rPr>
        <w:t>元，占预付款项年末余额合计数的 比例</w:t>
      </w:r>
      <w:r>
        <w:rPr>
          <w:rFonts w:ascii="Times New Roman" w:hAnsi="Times New Roman" w:cs="Times New Roman" w:eastAsia="Times New Roman" w:hint="default"/>
          <w:sz w:val="21"/>
          <w:szCs w:val="21"/>
        </w:rPr>
        <w:t>18.12%</w:t>
      </w:r>
      <w:r>
        <w:rPr>
          <w:rFonts w:ascii="宋体" w:hAnsi="宋体" w:cs="宋体" w:eastAsia="宋体" w:hint="default"/>
          <w:sz w:val="21"/>
          <w:szCs w:val="21"/>
        </w:rPr>
        <w:t>。</w:t>
      </w:r>
    </w:p>
    <w:p>
      <w:pPr>
        <w:spacing w:before="7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7、应收利息" w:id="240"/>
      <w:bookmarkEnd w:id="24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应收利息分类"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重要逾期利息"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8、应收股利" w:id="243"/>
      <w:bookmarkEnd w:id="24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应收股利"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重要的账龄超过1年的应收股利"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9、其他应收款" w:id="246"/>
      <w:bookmarkEnd w:id="24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其他应收款分类披露"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46,443,9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64.33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5,507,98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40,935,97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58,104,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579.88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6,071,176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52,033,403.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46,443,9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64.33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5,507,98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11.86%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40,935,97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58,104,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579.88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6,071,176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10.45%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52,033,403.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26,484,068.32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1,324,203.41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13,085,384.33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1,308,538.43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3,460,476.94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1,038,143.08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1,548,881.22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774,440.61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1,604,978.52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802,489.26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260,175.00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260,175.00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46,443,964.33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5,507,989.79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2）本期计提、收回或转回的坏账准备情况"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563,186.62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6895" w:space="193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本期实际核销的其他应收款情况"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4）其他应收款按款项性质分类情况"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30,683,342.71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42,282,515.70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10,715,231.64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5,866,279.31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3,518,242.54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2,676,715.37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1,527,147.44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7,279,069.50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46,443,964.33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58,104,579.88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5）按欠款方归集的期末余额前五名的其他应收款情况"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4"/>
        <w:gridCol w:w="1595"/>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云南远卓投资有限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曲靖市文化体育局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常州市长江热能有 限公司脱硫湿电一 体化项目</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广州市南番顺进出 境货运车辆检查场 管理有限公司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1,453,958.20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145,395.82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宁夏融通智慧物联 产业投资有限公司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819,030.70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40,951.54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11,572,988.90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1,001,347.36</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6）涉及政府补助的应收款项"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7）因金融资产转移而终止确认的其他应收款"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8）转移其他应收款且继续涉入形成的资产、负债金额"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10、存货" w:id="255"/>
      <w:bookmarkEnd w:id="255"/>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存货分类" w:id="256"/>
      <w:bookmarkEnd w:id="2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65,089,965.78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197,009.95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64,892,955.83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45,552,163.03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275,173.95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45,276,989.08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78,102,391.28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78,102,391.28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121,385,452.48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121,385,452.48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11,410,004.46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245,122.81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11,164,881.65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10,345,562.87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158,307.52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10,187,255.35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28,012,623.04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28,012,623.04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22,564,036.89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22,564,036.89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284,601.22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284,601.22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114,772.95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114,772.95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86,509,331.34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86,509,331.34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20,628,630.16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20,628,630.16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269,408,917.12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442,132.76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268,966,784.36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220,590,618.38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433,481.47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220,157,136.91</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存货跌价准备"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275,173.95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-78,164.00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197,009.95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158,307.52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86,815.29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245,122.81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433,481.47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8,651.29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442,132.76</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存货期末余额含有借款费用资本化金额的说明"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4）期末建造合同形成的已完工未结算资产情况"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2"/>
          <w:szCs w:val="22"/>
        </w:rPr>
      </w:pPr>
    </w:p>
    <w:p>
      <w:pPr>
        <w:spacing w:line="252" w:lineRule="auto" w:before="0"/>
        <w:ind w:left="1133" w:right="1128" w:firstLine="0"/>
        <w:jc w:val="left"/>
        <w:rPr>
          <w:rFonts w:ascii="宋体" w:hAnsi="宋体" w:cs="宋体" w:eastAsia="宋体" w:hint="default"/>
          <w:sz w:val="21"/>
          <w:szCs w:val="21"/>
        </w:rPr>
      </w:pPr>
      <w:r>
        <w:rPr>
          <w:rFonts w:ascii="宋体" w:hAnsi="宋体" w:cs="宋体" w:eastAsia="宋体" w:hint="default"/>
          <w:sz w:val="21"/>
          <w:szCs w:val="21"/>
        </w:rPr>
        <w:t>本公司之子公司西安华西与曲靖市文化体育局签订了工程总承包业务合同，该合同总价为</w:t>
      </w:r>
      <w:r>
        <w:rPr>
          <w:rFonts w:ascii="Times New Roman" w:hAnsi="Times New Roman" w:cs="Times New Roman" w:eastAsia="Times New Roman" w:hint="default"/>
          <w:sz w:val="21"/>
          <w:szCs w:val="21"/>
        </w:rPr>
        <w:t>9,600.00</w:t>
      </w:r>
      <w:r>
        <w:rPr>
          <w:rFonts w:ascii="宋体" w:hAnsi="宋体" w:cs="宋体" w:eastAsia="宋体" w:hint="default"/>
          <w:sz w:val="21"/>
          <w:szCs w:val="21"/>
        </w:rPr>
        <w:t>万元， </w:t>
      </w:r>
      <w:r>
        <w:rPr>
          <w:rFonts w:ascii="宋体" w:hAnsi="宋体" w:cs="宋体" w:eastAsia="宋体" w:hint="default"/>
          <w:spacing w:val="-2"/>
          <w:sz w:val="21"/>
          <w:szCs w:val="21"/>
        </w:rPr>
        <w:t>预算总成本为</w:t>
      </w:r>
      <w:r>
        <w:rPr>
          <w:rFonts w:ascii="Times New Roman" w:hAnsi="Times New Roman" w:cs="Times New Roman" w:eastAsia="Times New Roman" w:hint="default"/>
          <w:spacing w:val="-2"/>
          <w:sz w:val="21"/>
          <w:szCs w:val="21"/>
        </w:rPr>
        <w:t>8,200.00</w:t>
      </w:r>
      <w:r>
        <w:rPr>
          <w:rFonts w:ascii="宋体" w:hAnsi="宋体" w:cs="宋体" w:eastAsia="宋体" w:hint="default"/>
          <w:spacing w:val="-2"/>
          <w:sz w:val="21"/>
          <w:szCs w:val="21"/>
        </w:rPr>
        <w:t>万元。由于该类业务合同金额大、工期长，</w:t>
      </w:r>
      <w:r>
        <w:rPr>
          <w:rFonts w:ascii="宋体" w:hAnsi="宋体" w:cs="宋体" w:eastAsia="宋体" w:hint="default"/>
          <w:spacing w:val="-2"/>
          <w:sz w:val="22"/>
          <w:szCs w:val="22"/>
        </w:rPr>
        <w:t>故此类新增业务的收入确认适用《企业</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会计准则第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建造合同》的收入确认原则。</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日该工程进度为</w:t>
      </w:r>
      <w:r>
        <w:rPr>
          <w:rFonts w:ascii="Times New Roman" w:hAnsi="Times New Roman" w:cs="Times New Roman" w:eastAsia="Times New Roman" w:hint="default"/>
          <w:sz w:val="21"/>
          <w:szCs w:val="21"/>
        </w:rPr>
        <w:t>80%</w:t>
      </w:r>
      <w:r>
        <w:rPr>
          <w:rFonts w:ascii="宋体" w:hAnsi="宋体" w:cs="宋体" w:eastAsia="宋体" w:hint="default"/>
          <w:sz w:val="21"/>
          <w:szCs w:val="21"/>
        </w:rPr>
        <w:t>，本年度按 完工百分比法确认了主营业务收入</w:t>
      </w:r>
      <w:r>
        <w:rPr>
          <w:rFonts w:ascii="Times New Roman" w:hAnsi="Times New Roman" w:cs="Times New Roman" w:eastAsia="Times New Roman" w:hint="default"/>
          <w:sz w:val="21"/>
          <w:szCs w:val="21"/>
        </w:rPr>
        <w:t>7,680.00</w:t>
      </w:r>
      <w:r>
        <w:rPr>
          <w:rFonts w:ascii="宋体" w:hAnsi="宋体" w:cs="宋体" w:eastAsia="宋体" w:hint="default"/>
          <w:sz w:val="21"/>
          <w:szCs w:val="21"/>
        </w:rPr>
        <w:t>万元，主营业务成本</w:t>
      </w:r>
      <w:r>
        <w:rPr>
          <w:rFonts w:ascii="Times New Roman" w:hAnsi="Times New Roman" w:cs="Times New Roman" w:eastAsia="Times New Roman" w:hint="default"/>
          <w:sz w:val="21"/>
          <w:szCs w:val="21"/>
        </w:rPr>
        <w:t>6,560.00</w:t>
      </w:r>
      <w:r>
        <w:rPr>
          <w:rFonts w:ascii="宋体" w:hAnsi="宋体" w:cs="宋体" w:eastAsia="宋体" w:hint="default"/>
          <w:sz w:val="21"/>
          <w:szCs w:val="21"/>
        </w:rPr>
        <w:t>万元，工程施工余额为</w:t>
      </w:r>
      <w:r>
        <w:rPr>
          <w:rFonts w:ascii="Times New Roman" w:hAnsi="Times New Roman" w:cs="Times New Roman" w:eastAsia="Times New Roman" w:hint="default"/>
          <w:sz w:val="21"/>
          <w:szCs w:val="21"/>
        </w:rPr>
        <w:t>7,056.40</w:t>
      </w:r>
      <w:r>
        <w:rPr>
          <w:rFonts w:ascii="宋体" w:hAnsi="宋体" w:cs="宋体" w:eastAsia="宋体" w:hint="default"/>
          <w:sz w:val="21"/>
          <w:szCs w:val="21"/>
        </w:rPr>
        <w:t>万 元。</w:t>
      </w:r>
    </w:p>
    <w:p>
      <w:pPr>
        <w:spacing w:line="240" w:lineRule="auto" w:before="1"/>
        <w:rPr>
          <w:rFonts w:ascii="宋体" w:hAnsi="宋体" w:cs="宋体" w:eastAsia="宋体" w:hint="default"/>
          <w:sz w:val="25"/>
          <w:szCs w:val="25"/>
        </w:rPr>
      </w:pPr>
    </w:p>
    <w:p>
      <w:pPr>
        <w:spacing w:before="0"/>
        <w:ind w:left="1134" w:right="1033" w:firstLine="0"/>
        <w:jc w:val="left"/>
        <w:rPr>
          <w:rFonts w:ascii="宋体" w:hAnsi="宋体" w:cs="宋体" w:eastAsia="宋体" w:hint="default"/>
          <w:sz w:val="21"/>
          <w:szCs w:val="21"/>
        </w:rPr>
      </w:pPr>
      <w:bookmarkStart w:name="11、划分为持有待售的资产" w:id="260"/>
      <w:bookmarkEnd w:id="260"/>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、划分为持有待售的资产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12、一年内到期的非流动资产" w:id="261"/>
      <w:bookmarkEnd w:id="261"/>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13、其他流动资产" w:id="262"/>
      <w:bookmarkEnd w:id="262"/>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143,640.11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143,640.11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spacing w:before="0"/>
        <w:ind w:left="1133" w:right="1033" w:firstLine="0"/>
        <w:jc w:val="left"/>
        <w:rPr>
          <w:rFonts w:ascii="宋体" w:hAnsi="宋体" w:cs="宋体" w:eastAsia="宋体" w:hint="default"/>
          <w:sz w:val="21"/>
          <w:szCs w:val="21"/>
        </w:rPr>
      </w:pPr>
      <w:bookmarkStart w:name="14、可供出售金融资产" w:id="263"/>
      <w:bookmarkEnd w:id="263"/>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可供出售金融资产情况"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15,286,885.17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15,286,885.17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2,891,345.58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2,891,345.58</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6,286,885.17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6,286,885.17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2,891,345.58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2,891,345.58</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15,286,885.17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15,286,885.17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2,891,345.58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2,891,345.58</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期末按公允价值计量的可供出售金融资产"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5,522,085.16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5,522,085.16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6,286,885.17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6,286,885.17</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764,800.01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764,800.01</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期末按成本计量的可供出售金融资产"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上海国富 光启云</w:t>
            </w:r>
          </w:p>
        </w:tc>
        <w:tc>
          <w:tcPr>
            <w:tcW w:w="870" w:type="dxa"/>
            <w:tcBorders>
              <w:top w:val="single" w:sz="4" w:space="0" w:color="000000"/>
              <w:left w:val="single" w:sz="13" w:space="0" w:color="CCE8CF"/>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0.68%</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866"/>
        <w:gridCol w:w="870"/>
        <w:gridCol w:w="870"/>
        <w:gridCol w:w="870"/>
        <w:gridCol w:w="870"/>
        <w:gridCol w:w="870"/>
        <w:gridCol w:w="870"/>
        <w:gridCol w:w="870"/>
        <w:gridCol w:w="870"/>
        <w:gridCol w:w="870"/>
        <w:gridCol w:w="870"/>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4）报告期内可供出售金融资产减值的变动情况"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5）可供出售权益工具期末公允价值严重下跌或非暂时性下跌但未计提减值准备的相关说"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spacing w:before="0"/>
        <w:ind w:left="1554" w:right="103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Times New Roman" w:hAnsi="Times New Roman" w:cs="Times New Roman" w:eastAsia="Times New Roman" w:hint="default"/>
          <w:sz w:val="21"/>
          <w:szCs w:val="21"/>
        </w:rPr>
        <w:t>14  </w:t>
      </w:r>
      <w:r>
        <w:rPr>
          <w:rFonts w:ascii="宋体" w:hAnsi="宋体" w:cs="宋体" w:eastAsia="宋体" w:hint="default"/>
          <w:sz w:val="21"/>
          <w:szCs w:val="21"/>
        </w:rPr>
        <w:t>日本公司与</w:t>
      </w:r>
      <w:r>
        <w:rPr>
          <w:rFonts w:ascii="Times New Roman" w:hAnsi="Times New Roman" w:cs="Times New Roman" w:eastAsia="Times New Roman" w:hint="default"/>
          <w:sz w:val="21"/>
          <w:szCs w:val="21"/>
        </w:rPr>
        <w:t>Pudu Investment(Australia) PTY</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“PIA”</w:t>
      </w:r>
      <w:r>
        <w:rPr>
          <w:rFonts w:ascii="宋体" w:hAnsi="宋体" w:cs="宋体" w:eastAsia="宋体" w:hint="default"/>
          <w:sz w:val="21"/>
          <w:szCs w:val="21"/>
        </w:rPr>
        <w:t>）共同签署了</w:t>
      </w:r>
    </w:p>
    <w:p>
      <w:pPr>
        <w:spacing w:line="256" w:lineRule="auto" w:before="21"/>
        <w:ind w:left="1133" w:right="1018" w:firstLine="0"/>
        <w:jc w:val="left"/>
        <w:rPr>
          <w:rFonts w:ascii="宋体" w:hAnsi="宋体" w:cs="宋体" w:eastAsia="宋体" w:hint="default"/>
          <w:sz w:val="21"/>
          <w:szCs w:val="21"/>
        </w:rPr>
      </w:pPr>
      <w:r>
        <w:rPr>
          <w:rFonts w:ascii="宋体" w:hAnsi="宋体" w:cs="宋体" w:eastAsia="宋体" w:hint="default"/>
          <w:sz w:val="21"/>
          <w:szCs w:val="21"/>
        </w:rPr>
        <w:t>《股份转让协议》，根据协议本公司将受让</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PIA</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所持有的</w:t>
      </w:r>
      <w:r>
        <w:rPr>
          <w:rFonts w:ascii="Times New Roman" w:hAnsi="Times New Roman" w:cs="Times New Roman" w:eastAsia="Times New Roman" w:hint="default"/>
          <w:sz w:val="21"/>
          <w:szCs w:val="21"/>
        </w:rPr>
        <w:t>Rectifier</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Technologies</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“RFT”</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189,975,136 </w:t>
      </w:r>
      <w:r>
        <w:rPr>
          <w:rFonts w:ascii="宋体" w:hAnsi="宋体" w:cs="宋体" w:eastAsia="宋体" w:hint="default"/>
          <w:sz w:val="21"/>
          <w:szCs w:val="21"/>
        </w:rPr>
        <w:t>股份（占</w:t>
      </w:r>
      <w:r>
        <w:rPr>
          <w:rFonts w:ascii="Times New Roman" w:hAnsi="Times New Roman" w:cs="Times New Roman" w:eastAsia="Times New Roman" w:hint="default"/>
          <w:sz w:val="21"/>
          <w:szCs w:val="21"/>
        </w:rPr>
        <w:t>RFT</w:t>
      </w:r>
      <w:r>
        <w:rPr>
          <w:rFonts w:ascii="宋体" w:hAnsi="宋体" w:cs="宋体" w:eastAsia="宋体" w:hint="default"/>
          <w:sz w:val="21"/>
          <w:szCs w:val="21"/>
        </w:rPr>
        <w:t>总股份的</w:t>
      </w:r>
      <w:r>
        <w:rPr>
          <w:rFonts w:ascii="Times New Roman" w:hAnsi="Times New Roman" w:cs="Times New Roman" w:eastAsia="Times New Roman" w:hint="default"/>
          <w:sz w:val="21"/>
          <w:szCs w:val="21"/>
        </w:rPr>
        <w:t>17.69%</w:t>
      </w:r>
      <w:r>
        <w:rPr>
          <w:rFonts w:ascii="宋体" w:hAnsi="宋体" w:cs="宋体" w:eastAsia="宋体" w:hint="default"/>
          <w:sz w:val="21"/>
          <w:szCs w:val="21"/>
        </w:rPr>
        <w:t>，后由于其他股东增资，本公司持股比例下降为</w:t>
      </w:r>
      <w:r>
        <w:rPr>
          <w:rFonts w:ascii="Times New Roman" w:hAnsi="Times New Roman" w:cs="Times New Roman" w:eastAsia="Times New Roman" w:hint="default"/>
          <w:sz w:val="21"/>
          <w:szCs w:val="21"/>
        </w:rPr>
        <w:t>16.35%</w:t>
      </w:r>
      <w:r>
        <w:rPr>
          <w:rFonts w:ascii="宋体" w:hAnsi="宋体" w:cs="宋体" w:eastAsia="宋体" w:hint="default"/>
          <w:sz w:val="21"/>
          <w:szCs w:val="21"/>
        </w:rPr>
        <w:t>），转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让价格为</w:t>
      </w:r>
      <w:r>
        <w:rPr>
          <w:rFonts w:ascii="Times New Roman" w:hAnsi="Times New Roman" w:cs="Times New Roman" w:eastAsia="Times New Roman" w:hint="default"/>
          <w:sz w:val="21"/>
          <w:szCs w:val="21"/>
        </w:rPr>
        <w:t>0.005 </w:t>
      </w:r>
      <w:r>
        <w:rPr>
          <w:rFonts w:ascii="宋体" w:hAnsi="宋体" w:cs="宋体" w:eastAsia="宋体" w:hint="default"/>
          <w:sz w:val="21"/>
          <w:szCs w:val="21"/>
        </w:rPr>
        <w:t>澳元</w:t>
      </w:r>
      <w:r>
        <w:rPr>
          <w:rFonts w:ascii="Times New Roman" w:hAnsi="Times New Roman" w:cs="Times New Roman" w:eastAsia="Times New Roman" w:hint="default"/>
          <w:sz w:val="21"/>
          <w:szCs w:val="21"/>
        </w:rPr>
        <w:t>/</w:t>
      </w:r>
      <w:r>
        <w:rPr>
          <w:rFonts w:ascii="宋体" w:hAnsi="宋体" w:cs="宋体" w:eastAsia="宋体" w:hint="default"/>
          <w:sz w:val="21"/>
          <w:szCs w:val="21"/>
        </w:rPr>
        <w:t>股，转让总价为</w:t>
      </w:r>
      <w:r>
        <w:rPr>
          <w:rFonts w:ascii="Times New Roman" w:hAnsi="Times New Roman" w:cs="Times New Roman" w:eastAsia="Times New Roman" w:hint="default"/>
          <w:sz w:val="21"/>
          <w:szCs w:val="21"/>
        </w:rPr>
        <w:t>949,875.68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澳元，根据付款当日汇率折合成人民币约</w:t>
      </w:r>
      <w:r>
        <w:rPr>
          <w:rFonts w:ascii="Times New Roman" w:hAnsi="Times New Roman" w:cs="Times New Roman" w:eastAsia="Times New Roman" w:hint="default"/>
          <w:sz w:val="21"/>
          <w:szCs w:val="21"/>
        </w:rPr>
        <w:t>5,522,085.16</w:t>
      </w:r>
      <w:r>
        <w:rPr>
          <w:rFonts w:ascii="宋体" w:hAnsi="宋体" w:cs="宋体" w:eastAsia="宋体" w:hint="default"/>
          <w:sz w:val="21"/>
          <w:szCs w:val="21"/>
        </w:rPr>
        <w:t>元，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年本公司已支付了全部股权受让款。</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r>
        <w:rPr>
          <w:rFonts w:ascii="Times New Roman" w:hAnsi="Times New Roman" w:cs="Times New Roman" w:eastAsia="Times New Roman" w:hint="default"/>
          <w:sz w:val="21"/>
          <w:szCs w:val="21"/>
        </w:rPr>
        <w:t>RFT</w:t>
      </w:r>
      <w:r>
        <w:rPr>
          <w:rFonts w:ascii="宋体" w:hAnsi="宋体" w:cs="宋体" w:eastAsia="宋体" w:hint="default"/>
          <w:sz w:val="21"/>
          <w:szCs w:val="21"/>
        </w:rPr>
        <w:t>公司在澳大利亚股票交易所收盘价为</w:t>
      </w:r>
      <w:r>
        <w:rPr>
          <w:rFonts w:ascii="Times New Roman" w:hAnsi="Times New Roman" w:cs="Times New Roman" w:eastAsia="Times New Roman" w:hint="default"/>
          <w:sz w:val="21"/>
          <w:szCs w:val="21"/>
        </w:rPr>
        <w:t>0.007 </w:t>
      </w:r>
      <w:r>
        <w:rPr>
          <w:rFonts w:ascii="宋体" w:hAnsi="宋体" w:cs="宋体" w:eastAsia="宋体" w:hint="default"/>
          <w:sz w:val="21"/>
          <w:szCs w:val="21"/>
        </w:rPr>
        <w:t>澳元，本公司持有</w:t>
      </w:r>
      <w:r>
        <w:rPr>
          <w:rFonts w:ascii="Times New Roman" w:hAnsi="Times New Roman" w:cs="Times New Roman" w:eastAsia="Times New Roman" w:hint="default"/>
          <w:sz w:val="21"/>
          <w:szCs w:val="21"/>
        </w:rPr>
        <w:t>RFT</w:t>
      </w:r>
      <w:r>
        <w:rPr>
          <w:rFonts w:ascii="宋体" w:hAnsi="宋体" w:cs="宋体" w:eastAsia="宋体" w:hint="default"/>
          <w:sz w:val="21"/>
          <w:szCs w:val="21"/>
        </w:rPr>
        <w:t>公司股权的公允价值折合人民币为</w:t>
      </w:r>
      <w:r>
        <w:rPr>
          <w:rFonts w:ascii="Times New Roman" w:hAnsi="Times New Roman" w:cs="Times New Roman" w:eastAsia="Times New Roman" w:hint="default"/>
          <w:sz w:val="21"/>
          <w:szCs w:val="21"/>
        </w:rPr>
        <w:t>6,286,885.17</w:t>
      </w:r>
      <w:r>
        <w:rPr>
          <w:rFonts w:ascii="宋体" w:hAnsi="宋体" w:cs="宋体" w:eastAsia="宋体" w:hint="default"/>
          <w:sz w:val="21"/>
          <w:szCs w:val="21"/>
        </w:rPr>
        <w:t>元。</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r>
        <w:rPr>
          <w:rFonts w:ascii="Times New Roman" w:hAnsi="Times New Roman" w:cs="Times New Roman" w:eastAsia="Times New Roman" w:hint="default"/>
          <w:sz w:val="21"/>
          <w:szCs w:val="21"/>
        </w:rPr>
        <w:t>RFT</w:t>
      </w:r>
      <w:r>
        <w:rPr>
          <w:rFonts w:ascii="宋体" w:hAnsi="宋体" w:cs="宋体" w:eastAsia="宋体" w:hint="default"/>
          <w:sz w:val="21"/>
          <w:szCs w:val="21"/>
        </w:rPr>
        <w:t>定向增发</w:t>
      </w:r>
      <w:r>
        <w:rPr>
          <w:rFonts w:ascii="宋体" w:hAnsi="宋体" w:cs="宋体" w:eastAsia="宋体" w:hint="default"/>
          <w:spacing w:val="-16"/>
          <w:sz w:val="21"/>
          <w:szCs w:val="21"/>
        </w:rPr>
        <w:t> </w:t>
      </w:r>
      <w:r>
        <w:rPr>
          <w:rFonts w:ascii="宋体" w:hAnsi="宋体" w:cs="宋体" w:eastAsia="宋体" w:hint="default"/>
          <w:sz w:val="21"/>
          <w:szCs w:val="21"/>
        </w:rPr>
        <w:t>股份</w:t>
      </w:r>
      <w:r>
        <w:rPr>
          <w:rFonts w:ascii="Times New Roman" w:hAnsi="Times New Roman" w:cs="Times New Roman" w:eastAsia="Times New Roman" w:hint="default"/>
          <w:sz w:val="21"/>
          <w:szCs w:val="21"/>
        </w:rPr>
        <w:t>(</w:t>
      </w:r>
      <w:r>
        <w:rPr>
          <w:rFonts w:ascii="宋体" w:hAnsi="宋体" w:cs="宋体" w:eastAsia="宋体" w:hint="default"/>
          <w:sz w:val="21"/>
          <w:szCs w:val="21"/>
        </w:rPr>
        <w:t>债转股</w:t>
      </w:r>
      <w:r>
        <w:rPr>
          <w:rFonts w:ascii="Times New Roman" w:hAnsi="Times New Roman" w:cs="Times New Roman" w:eastAsia="Times New Roman" w:hint="default"/>
          <w:sz w:val="21"/>
          <w:szCs w:val="21"/>
        </w:rPr>
        <w:t>)51,142,150</w:t>
      </w:r>
      <w:r>
        <w:rPr>
          <w:rFonts w:ascii="宋体" w:hAnsi="宋体" w:cs="宋体" w:eastAsia="宋体" w:hint="default"/>
          <w:sz w:val="21"/>
          <w:szCs w:val="21"/>
        </w:rPr>
        <w:t>股股权，本公司持股比例下降为</w:t>
      </w:r>
      <w:r>
        <w:rPr>
          <w:rFonts w:ascii="Times New Roman" w:hAnsi="Times New Roman" w:cs="Times New Roman" w:eastAsia="Times New Roman" w:hint="default"/>
          <w:sz w:val="21"/>
          <w:szCs w:val="21"/>
        </w:rPr>
        <w:t>15.66%</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r>
        <w:rPr>
          <w:rFonts w:ascii="Times New Roman" w:hAnsi="Times New Roman" w:cs="Times New Roman" w:eastAsia="Times New Roman" w:hint="default"/>
          <w:sz w:val="21"/>
          <w:szCs w:val="21"/>
        </w:rPr>
        <w:t>RFT</w:t>
      </w:r>
      <w:r>
        <w:rPr>
          <w:rFonts w:ascii="宋体" w:hAnsi="宋体" w:cs="宋体" w:eastAsia="宋体" w:hint="default"/>
          <w:sz w:val="21"/>
          <w:szCs w:val="21"/>
        </w:rPr>
        <w:t>定向增发股份</w:t>
      </w:r>
      <w:r>
        <w:rPr>
          <w:rFonts w:ascii="Times New Roman" w:hAnsi="Times New Roman" w:cs="Times New Roman" w:eastAsia="Times New Roman" w:hint="default"/>
          <w:sz w:val="21"/>
          <w:szCs w:val="21"/>
        </w:rPr>
        <w:t>(</w:t>
      </w:r>
      <w:r>
        <w:rPr>
          <w:rFonts w:ascii="宋体" w:hAnsi="宋体" w:cs="宋体" w:eastAsia="宋体" w:hint="default"/>
          <w:sz w:val="21"/>
          <w:szCs w:val="21"/>
        </w:rPr>
        <w:t>债</w:t>
      </w:r>
      <w:r>
        <w:rPr>
          <w:rFonts w:ascii="宋体" w:hAnsi="宋体" w:cs="宋体" w:eastAsia="宋体" w:hint="default"/>
          <w:spacing w:val="-20"/>
          <w:sz w:val="21"/>
          <w:szCs w:val="21"/>
        </w:rPr>
        <w:t> </w:t>
      </w:r>
      <w:r>
        <w:rPr>
          <w:rFonts w:ascii="宋体" w:hAnsi="宋体" w:cs="宋体" w:eastAsia="宋体" w:hint="default"/>
          <w:sz w:val="21"/>
          <w:szCs w:val="21"/>
        </w:rPr>
        <w:t>转股</w:t>
      </w:r>
      <w:r>
        <w:rPr>
          <w:rFonts w:ascii="Times New Roman" w:hAnsi="Times New Roman" w:cs="Times New Roman" w:eastAsia="Times New Roman" w:hint="default"/>
          <w:sz w:val="21"/>
          <w:szCs w:val="21"/>
        </w:rPr>
        <w:t>)31,827,348</w:t>
      </w:r>
      <w:r>
        <w:rPr>
          <w:rFonts w:ascii="宋体" w:hAnsi="宋体" w:cs="宋体" w:eastAsia="宋体" w:hint="default"/>
          <w:sz w:val="21"/>
          <w:szCs w:val="21"/>
        </w:rPr>
        <w:t>股股权</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本公司持股比例下降为</w:t>
      </w:r>
      <w:r>
        <w:rPr>
          <w:rFonts w:ascii="Times New Roman" w:hAnsi="Times New Roman" w:cs="Times New Roman" w:eastAsia="Times New Roman" w:hint="default"/>
          <w:sz w:val="21"/>
          <w:szCs w:val="21"/>
        </w:rPr>
        <w:t>15.26%</w:t>
      </w:r>
      <w:r>
        <w:rPr>
          <w:rFonts w:ascii="宋体" w:hAnsi="宋体" w:cs="宋体" w:eastAsia="宋体" w:hint="default"/>
          <w:sz w:val="21"/>
          <w:szCs w:val="21"/>
        </w:rPr>
        <w:t>。</w:t>
      </w:r>
    </w:p>
    <w:p>
      <w:pPr>
        <w:spacing w:line="240" w:lineRule="auto" w:before="9"/>
        <w:rPr>
          <w:rFonts w:ascii="宋体" w:hAnsi="宋体" w:cs="宋体" w:eastAsia="宋体" w:hint="default"/>
          <w:sz w:val="18"/>
          <w:szCs w:val="18"/>
        </w:rPr>
      </w:pPr>
    </w:p>
    <w:p>
      <w:pPr>
        <w:spacing w:line="264" w:lineRule="auto" w:before="0"/>
        <w:ind w:left="1133" w:right="113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日本公司召开第二届董事会第二十二次会议，审议通过《关于使用自有资金对上海 </w:t>
      </w:r>
      <w:r>
        <w:rPr>
          <w:rFonts w:ascii="宋体" w:hAnsi="宋体" w:cs="宋体" w:eastAsia="宋体" w:hint="default"/>
          <w:spacing w:val="-1"/>
          <w:sz w:val="21"/>
          <w:szCs w:val="21"/>
        </w:rPr>
        <w:t>国富光启云计算科技股份有限公司进行增资的议案》，本公司与王远生、刘春芳、石家庄鑫汇金投资有限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公司共同对上海国富光启云计算科技股份有限公司（以下简称上海国富光启）进行增资，增资价格为</w:t>
      </w:r>
      <w:r>
        <w:rPr>
          <w:rFonts w:ascii="Times New Roman" w:hAnsi="Times New Roman" w:cs="Times New Roman" w:eastAsia="Times New Roman" w:hint="default"/>
          <w:spacing w:val="-3"/>
          <w:sz w:val="21"/>
          <w:szCs w:val="21"/>
        </w:rPr>
        <w:t>15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w:t>
      </w:r>
    </w:p>
    <w:p>
      <w:pPr>
        <w:spacing w:line="256" w:lineRule="auto" w:before="0"/>
        <w:ind w:left="1133" w:right="113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股，共增资</w:t>
      </w:r>
      <w:r>
        <w:rPr>
          <w:rFonts w:ascii="Times New Roman" w:hAnsi="Times New Roman" w:cs="Times New Roman" w:eastAsia="Times New Roman" w:hint="default"/>
          <w:sz w:val="21"/>
          <w:szCs w:val="21"/>
        </w:rPr>
        <w:t>2,700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万元，其中</w:t>
      </w:r>
      <w:r>
        <w:rPr>
          <w:rFonts w:ascii="Times New Roman" w:hAnsi="Times New Roman" w:cs="Times New Roman" w:eastAsia="Times New Roman" w:hint="default"/>
          <w:sz w:val="21"/>
          <w:szCs w:val="21"/>
        </w:rPr>
        <w:t>180</w:t>
      </w:r>
      <w:r>
        <w:rPr>
          <w:rFonts w:ascii="宋体" w:hAnsi="宋体" w:cs="宋体" w:eastAsia="宋体" w:hint="default"/>
          <w:sz w:val="21"/>
          <w:szCs w:val="21"/>
        </w:rPr>
        <w:t>万计入实收资本，</w:t>
      </w:r>
      <w:r>
        <w:rPr>
          <w:rFonts w:ascii="Times New Roman" w:hAnsi="Times New Roman" w:cs="Times New Roman" w:eastAsia="Times New Roman" w:hint="default"/>
          <w:sz w:val="21"/>
          <w:szCs w:val="21"/>
        </w:rPr>
        <w:t>2520</w:t>
      </w:r>
      <w:r>
        <w:rPr>
          <w:rFonts w:ascii="宋体" w:hAnsi="宋体" w:cs="宋体" w:eastAsia="宋体" w:hint="default"/>
          <w:sz w:val="21"/>
          <w:szCs w:val="21"/>
        </w:rPr>
        <w:t>万元计入资本公积。本公司认缴</w:t>
      </w:r>
      <w:r>
        <w:rPr>
          <w:rFonts w:ascii="Times New Roman" w:hAnsi="Times New Roman" w:cs="Times New Roman" w:eastAsia="Times New Roman" w:hint="default"/>
          <w:sz w:val="21"/>
          <w:szCs w:val="21"/>
        </w:rPr>
        <w:t>900</w:t>
      </w:r>
      <w:r>
        <w:rPr>
          <w:rFonts w:ascii="宋体" w:hAnsi="宋体" w:cs="宋体" w:eastAsia="宋体" w:hint="default"/>
          <w:sz w:val="21"/>
          <w:szCs w:val="21"/>
        </w:rPr>
        <w:t>万元，其中</w:t>
      </w:r>
      <w:r>
        <w:rPr>
          <w:rFonts w:ascii="Times New Roman" w:hAnsi="Times New Roman" w:cs="Times New Roman" w:eastAsia="Times New Roman" w:hint="default"/>
          <w:sz w:val="21"/>
          <w:szCs w:val="21"/>
        </w:rPr>
        <w:t>60 </w:t>
      </w:r>
      <w:r>
        <w:rPr>
          <w:rFonts w:ascii="宋体" w:hAnsi="宋体" w:cs="宋体" w:eastAsia="宋体" w:hint="default"/>
          <w:sz w:val="21"/>
          <w:szCs w:val="21"/>
        </w:rPr>
        <w:t>万元计入实收资本，</w:t>
      </w:r>
      <w:r>
        <w:rPr>
          <w:rFonts w:ascii="Times New Roman" w:hAnsi="Times New Roman" w:cs="Times New Roman" w:eastAsia="Times New Roman" w:hint="default"/>
          <w:sz w:val="21"/>
          <w:szCs w:val="21"/>
        </w:rPr>
        <w:t>840</w:t>
      </w:r>
      <w:r>
        <w:rPr>
          <w:rFonts w:ascii="宋体" w:hAnsi="宋体" w:cs="宋体" w:eastAsia="宋体" w:hint="default"/>
          <w:sz w:val="21"/>
          <w:szCs w:val="21"/>
        </w:rPr>
        <w:t>万元计入资本公积。截止报告日，本次增资已经完成，上海国富光启的注册资本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从</w:t>
      </w:r>
      <w:r>
        <w:rPr>
          <w:rFonts w:ascii="Times New Roman" w:hAnsi="Times New Roman" w:cs="Times New Roman" w:eastAsia="Times New Roman" w:hint="default"/>
          <w:sz w:val="21"/>
          <w:szCs w:val="21"/>
        </w:rPr>
        <w:t>8,600  </w:t>
      </w:r>
      <w:r>
        <w:rPr>
          <w:rFonts w:ascii="宋体" w:hAnsi="宋体" w:cs="宋体" w:eastAsia="宋体" w:hint="default"/>
          <w:sz w:val="21"/>
          <w:szCs w:val="21"/>
        </w:rPr>
        <w:t>万元增至</w:t>
      </w:r>
      <w:r>
        <w:rPr>
          <w:rFonts w:ascii="Times New Roman" w:hAnsi="Times New Roman" w:cs="Times New Roman" w:eastAsia="Times New Roman" w:hint="default"/>
          <w:sz w:val="21"/>
          <w:szCs w:val="21"/>
        </w:rPr>
        <w:t>8,780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万元。本次股东的出资方案具体如下：</w:t>
      </w:r>
    </w:p>
    <w:p>
      <w:pPr>
        <w:spacing w:line="240" w:lineRule="auto" w:before="8"/>
        <w:rPr>
          <w:rFonts w:ascii="宋体" w:hAnsi="宋体" w:cs="宋体" w:eastAsia="宋体" w:hint="default"/>
          <w:sz w:val="25"/>
          <w:szCs w:val="25"/>
        </w:rPr>
      </w:pPr>
    </w:p>
    <w:tbl>
      <w:tblPr>
        <w:tblW w:w="0" w:type="auto"/>
        <w:jc w:val="left"/>
        <w:tblInd w:w="1119" w:type="dxa"/>
        <w:tblLayout w:type="fixed"/>
        <w:tblCellMar>
          <w:top w:w="0" w:type="dxa"/>
          <w:left w:w="0" w:type="dxa"/>
          <w:bottom w:w="0" w:type="dxa"/>
          <w:right w:w="0" w:type="dxa"/>
        </w:tblCellMar>
        <w:tblLook w:val="01E0"/>
      </w:tblPr>
      <w:tblGrid>
        <w:gridCol w:w="3133"/>
        <w:gridCol w:w="1718"/>
        <w:gridCol w:w="984"/>
        <w:gridCol w:w="1309"/>
        <w:gridCol w:w="1321"/>
      </w:tblGrid>
      <w:tr>
        <w:trPr>
          <w:trHeight w:val="584" w:hRule="exact"/>
        </w:trPr>
        <w:tc>
          <w:tcPr>
            <w:tcW w:w="3133" w:type="dxa"/>
            <w:tcBorders>
              <w:top w:val="nil" w:sz="6" w:space="0" w:color="auto"/>
              <w:left w:val="nil" w:sz="6" w:space="0" w:color="auto"/>
              <w:bottom w:val="single" w:sz="12" w:space="0" w:color="000000"/>
              <w:right w:val="nil" w:sz="6" w:space="0" w:color="auto"/>
            </w:tcBorders>
          </w:tcPr>
          <w:p>
            <w:pPr>
              <w:pStyle w:val="TableParagraph"/>
              <w:spacing w:line="180" w:lineRule="exact"/>
              <w:ind w:left="1411"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718" w:type="dxa"/>
            <w:tcBorders>
              <w:top w:val="nil" w:sz="6" w:space="0" w:color="auto"/>
              <w:left w:val="nil" w:sz="6" w:space="0" w:color="auto"/>
              <w:bottom w:val="single" w:sz="12" w:space="0" w:color="000000"/>
              <w:right w:val="nil" w:sz="6" w:space="0" w:color="auto"/>
            </w:tcBorders>
          </w:tcPr>
          <w:p>
            <w:pPr>
              <w:pStyle w:val="TableParagraph"/>
              <w:spacing w:line="180" w:lineRule="exact"/>
              <w:ind w:left="290" w:right="0"/>
              <w:jc w:val="center"/>
              <w:rPr>
                <w:rFonts w:ascii="宋体" w:hAnsi="宋体" w:cs="宋体" w:eastAsia="宋体" w:hint="default"/>
                <w:sz w:val="18"/>
                <w:szCs w:val="18"/>
              </w:rPr>
            </w:pPr>
            <w:r>
              <w:rPr>
                <w:rFonts w:ascii="宋体" w:hAnsi="宋体" w:cs="宋体" w:eastAsia="宋体" w:hint="default"/>
                <w:b/>
                <w:bCs/>
                <w:spacing w:val="1"/>
                <w:w w:val="99"/>
                <w:sz w:val="18"/>
                <w:szCs w:val="18"/>
              </w:rPr>
              <w:t>增资</w:t>
            </w:r>
            <w:r>
              <w:rPr>
                <w:rFonts w:ascii="宋体" w:hAnsi="宋体" w:cs="宋体" w:eastAsia="宋体" w:hint="default"/>
                <w:b/>
                <w:bCs/>
                <w:w w:val="99"/>
                <w:sz w:val="18"/>
                <w:szCs w:val="18"/>
              </w:rPr>
              <w:t>出</w:t>
            </w:r>
            <w:r>
              <w:rPr>
                <w:rFonts w:ascii="宋体" w:hAnsi="宋体" w:cs="宋体" w:eastAsia="宋体" w:hint="default"/>
                <w:b/>
                <w:bCs/>
                <w:spacing w:val="1"/>
                <w:w w:val="99"/>
                <w:sz w:val="18"/>
                <w:szCs w:val="18"/>
              </w:rPr>
              <w:t>资</w:t>
            </w:r>
            <w:r>
              <w:rPr>
                <w:rFonts w:ascii="宋体" w:hAnsi="宋体" w:cs="宋体" w:eastAsia="宋体" w:hint="default"/>
                <w:b/>
                <w:bCs/>
                <w:spacing w:val="-72"/>
                <w:w w:val="99"/>
                <w:sz w:val="18"/>
                <w:szCs w:val="18"/>
              </w:rPr>
              <w:t>额</w:t>
            </w:r>
            <w:r>
              <w:rPr>
                <w:rFonts w:ascii="宋体" w:hAnsi="宋体" w:cs="宋体" w:eastAsia="宋体" w:hint="default"/>
                <w:b/>
                <w:bCs/>
                <w:w w:val="99"/>
                <w:sz w:val="18"/>
                <w:szCs w:val="18"/>
              </w:rPr>
              <w:t>（万</w:t>
            </w:r>
            <w:r>
              <w:rPr>
                <w:rFonts w:ascii="宋体" w:hAnsi="宋体" w:cs="宋体" w:eastAsia="宋体" w:hint="default"/>
                <w:sz w:val="18"/>
                <w:szCs w:val="18"/>
              </w:rPr>
            </w:r>
          </w:p>
          <w:p>
            <w:pPr>
              <w:pStyle w:val="TableParagraph"/>
              <w:spacing w:line="240" w:lineRule="auto" w:before="76"/>
              <w:ind w:left="292"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984" w:type="dxa"/>
            <w:tcBorders>
              <w:top w:val="nil" w:sz="6" w:space="0" w:color="auto"/>
              <w:left w:val="nil" w:sz="6" w:space="0" w:color="auto"/>
              <w:bottom w:val="single" w:sz="12" w:space="0" w:color="000000"/>
              <w:right w:val="nil" w:sz="6" w:space="0" w:color="auto"/>
            </w:tcBorders>
          </w:tcPr>
          <w:p>
            <w:pPr>
              <w:pStyle w:val="TableParagraph"/>
              <w:spacing w:line="180" w:lineRule="exact"/>
              <w:ind w:right="26"/>
              <w:jc w:val="center"/>
              <w:rPr>
                <w:rFonts w:ascii="宋体" w:hAnsi="宋体" w:cs="宋体" w:eastAsia="宋体" w:hint="default"/>
                <w:sz w:val="18"/>
                <w:szCs w:val="18"/>
              </w:rPr>
            </w:pPr>
            <w:r>
              <w:rPr>
                <w:rFonts w:ascii="宋体" w:hAnsi="宋体" w:cs="宋体" w:eastAsia="宋体" w:hint="default"/>
                <w:b/>
                <w:bCs/>
                <w:sz w:val="18"/>
                <w:szCs w:val="18"/>
              </w:rPr>
              <w:t>出资方式</w:t>
            </w:r>
            <w:r>
              <w:rPr>
                <w:rFonts w:ascii="宋体" w:hAnsi="宋体" w:cs="宋体" w:eastAsia="宋体" w:hint="default"/>
                <w:sz w:val="18"/>
                <w:szCs w:val="18"/>
              </w:rPr>
            </w:r>
          </w:p>
        </w:tc>
        <w:tc>
          <w:tcPr>
            <w:tcW w:w="1309" w:type="dxa"/>
            <w:tcBorders>
              <w:top w:val="nil" w:sz="6" w:space="0" w:color="auto"/>
              <w:left w:val="nil" w:sz="6" w:space="0" w:color="auto"/>
              <w:bottom w:val="single" w:sz="12" w:space="0" w:color="000000"/>
              <w:right w:val="nil" w:sz="6" w:space="0" w:color="auto"/>
            </w:tcBorders>
          </w:tcPr>
          <w:p>
            <w:pPr>
              <w:pStyle w:val="TableParagraph"/>
              <w:spacing w:line="180" w:lineRule="exact"/>
              <w:ind w:left="65" w:right="0"/>
              <w:jc w:val="center"/>
              <w:rPr>
                <w:rFonts w:ascii="宋体" w:hAnsi="宋体" w:cs="宋体" w:eastAsia="宋体" w:hint="default"/>
                <w:sz w:val="18"/>
                <w:szCs w:val="18"/>
              </w:rPr>
            </w:pPr>
            <w:r>
              <w:rPr>
                <w:rFonts w:ascii="宋体" w:hAnsi="宋体" w:cs="宋体" w:eastAsia="宋体" w:hint="default"/>
                <w:b/>
                <w:bCs/>
                <w:sz w:val="18"/>
                <w:szCs w:val="18"/>
              </w:rPr>
              <w:t>对应注册资本</w:t>
            </w:r>
            <w:r>
              <w:rPr>
                <w:rFonts w:ascii="宋体" w:hAnsi="宋体" w:cs="宋体" w:eastAsia="宋体" w:hint="default"/>
                <w:sz w:val="18"/>
                <w:szCs w:val="18"/>
              </w:rPr>
            </w:r>
          </w:p>
          <w:p>
            <w:pPr>
              <w:pStyle w:val="TableParagraph"/>
              <w:spacing w:line="240" w:lineRule="auto" w:before="76"/>
              <w:ind w:left="66"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321" w:type="dxa"/>
            <w:tcBorders>
              <w:top w:val="nil" w:sz="6" w:space="0" w:color="auto"/>
              <w:left w:val="nil" w:sz="6" w:space="0" w:color="auto"/>
              <w:bottom w:val="single" w:sz="12" w:space="0" w:color="000000"/>
              <w:right w:val="nil" w:sz="6" w:space="0" w:color="auto"/>
            </w:tcBorders>
          </w:tcPr>
          <w:p>
            <w:pPr>
              <w:pStyle w:val="TableParagraph"/>
              <w:spacing w:line="194" w:lineRule="exact"/>
              <w:ind w:right="35"/>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352" w:hRule="exact"/>
        </w:trPr>
        <w:tc>
          <w:tcPr>
            <w:tcW w:w="31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四川依米康环境科技股份有限公司</w:t>
            </w:r>
          </w:p>
        </w:tc>
        <w:tc>
          <w:tcPr>
            <w:tcW w:w="171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4"/>
              <w:jc w:val="right"/>
              <w:rPr>
                <w:rFonts w:ascii="Times New Roman" w:hAnsi="Times New Roman" w:cs="Times New Roman" w:eastAsia="Times New Roman" w:hint="default"/>
                <w:sz w:val="18"/>
                <w:szCs w:val="18"/>
              </w:rPr>
            </w:pPr>
            <w:r>
              <w:rPr>
                <w:rFonts w:ascii="Times New Roman"/>
                <w:sz w:val="18"/>
              </w:rPr>
              <w:t>900.00</w:t>
            </w:r>
          </w:p>
        </w:tc>
        <w:tc>
          <w:tcPr>
            <w:tcW w:w="9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现金</w:t>
            </w:r>
          </w:p>
        </w:tc>
        <w:tc>
          <w:tcPr>
            <w:tcW w:w="13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60.00</w:t>
            </w:r>
          </w:p>
        </w:tc>
        <w:tc>
          <w:tcPr>
            <w:tcW w:w="13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0.683</w:t>
            </w:r>
          </w:p>
        </w:tc>
      </w:tr>
      <w:tr>
        <w:trPr>
          <w:trHeight w:val="352" w:hRule="exact"/>
        </w:trPr>
        <w:tc>
          <w:tcPr>
            <w:tcW w:w="31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石家庄鑫汇金投资有限公司</w:t>
            </w:r>
          </w:p>
        </w:tc>
        <w:tc>
          <w:tcPr>
            <w:tcW w:w="171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4"/>
              <w:jc w:val="right"/>
              <w:rPr>
                <w:rFonts w:ascii="Times New Roman" w:hAnsi="Times New Roman" w:cs="Times New Roman" w:eastAsia="Times New Roman" w:hint="default"/>
                <w:sz w:val="18"/>
                <w:szCs w:val="18"/>
              </w:rPr>
            </w:pPr>
            <w:r>
              <w:rPr>
                <w:rFonts w:ascii="Times New Roman"/>
                <w:sz w:val="18"/>
              </w:rPr>
              <w:t>900.00</w:t>
            </w:r>
          </w:p>
        </w:tc>
        <w:tc>
          <w:tcPr>
            <w:tcW w:w="9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现金</w:t>
            </w:r>
          </w:p>
        </w:tc>
        <w:tc>
          <w:tcPr>
            <w:tcW w:w="13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60.00</w:t>
            </w:r>
          </w:p>
        </w:tc>
        <w:tc>
          <w:tcPr>
            <w:tcW w:w="13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0.683</w:t>
            </w:r>
          </w:p>
        </w:tc>
      </w:tr>
      <w:tr>
        <w:trPr>
          <w:trHeight w:val="353" w:hRule="exact"/>
        </w:trPr>
        <w:tc>
          <w:tcPr>
            <w:tcW w:w="31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王远生</w:t>
            </w:r>
          </w:p>
        </w:tc>
        <w:tc>
          <w:tcPr>
            <w:tcW w:w="171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4"/>
              <w:jc w:val="right"/>
              <w:rPr>
                <w:rFonts w:ascii="Times New Roman" w:hAnsi="Times New Roman" w:cs="Times New Roman" w:eastAsia="Times New Roman" w:hint="default"/>
                <w:sz w:val="18"/>
                <w:szCs w:val="18"/>
              </w:rPr>
            </w:pPr>
            <w:r>
              <w:rPr>
                <w:rFonts w:ascii="Times New Roman"/>
                <w:sz w:val="18"/>
              </w:rPr>
              <w:t>750.00</w:t>
            </w:r>
          </w:p>
        </w:tc>
        <w:tc>
          <w:tcPr>
            <w:tcW w:w="9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现金</w:t>
            </w:r>
          </w:p>
        </w:tc>
        <w:tc>
          <w:tcPr>
            <w:tcW w:w="13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c>
          <w:tcPr>
            <w:tcW w:w="13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0.570</w:t>
            </w:r>
          </w:p>
        </w:tc>
      </w:tr>
      <w:tr>
        <w:trPr>
          <w:trHeight w:val="352" w:hRule="exact"/>
        </w:trPr>
        <w:tc>
          <w:tcPr>
            <w:tcW w:w="31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刘春芳</w:t>
            </w:r>
          </w:p>
        </w:tc>
        <w:tc>
          <w:tcPr>
            <w:tcW w:w="171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4"/>
              <w:jc w:val="right"/>
              <w:rPr>
                <w:rFonts w:ascii="Times New Roman" w:hAnsi="Times New Roman" w:cs="Times New Roman" w:eastAsia="Times New Roman" w:hint="default"/>
                <w:sz w:val="18"/>
                <w:szCs w:val="18"/>
              </w:rPr>
            </w:pPr>
            <w:r>
              <w:rPr>
                <w:rFonts w:ascii="Times New Roman"/>
                <w:sz w:val="18"/>
              </w:rPr>
              <w:t>150.00</w:t>
            </w:r>
          </w:p>
        </w:tc>
        <w:tc>
          <w:tcPr>
            <w:tcW w:w="9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现金</w:t>
            </w:r>
          </w:p>
        </w:tc>
        <w:tc>
          <w:tcPr>
            <w:tcW w:w="13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w:t>
            </w:r>
          </w:p>
        </w:tc>
        <w:tc>
          <w:tcPr>
            <w:tcW w:w="13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0.114</w:t>
            </w:r>
          </w:p>
        </w:tc>
      </w:tr>
      <w:tr>
        <w:trPr>
          <w:trHeight w:val="338" w:hRule="exact"/>
        </w:trPr>
        <w:tc>
          <w:tcPr>
            <w:tcW w:w="313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41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8" w:type="dxa"/>
            <w:tcBorders>
              <w:top w:val="single" w:sz="12" w:space="0" w:color="000000"/>
              <w:left w:val="nil" w:sz="6" w:space="0" w:color="auto"/>
              <w:bottom w:val="nil" w:sz="6" w:space="0" w:color="auto"/>
              <w:right w:val="nil" w:sz="6" w:space="0" w:color="auto"/>
            </w:tcBorders>
          </w:tcPr>
          <w:p>
            <w:pPr>
              <w:pStyle w:val="TableParagraph"/>
              <w:spacing w:line="240" w:lineRule="auto" w:before="54"/>
              <w:ind w:right="114"/>
              <w:jc w:val="right"/>
              <w:rPr>
                <w:rFonts w:ascii="Times New Roman" w:hAnsi="Times New Roman" w:cs="Times New Roman" w:eastAsia="Times New Roman" w:hint="default"/>
                <w:sz w:val="18"/>
                <w:szCs w:val="18"/>
              </w:rPr>
            </w:pPr>
            <w:r>
              <w:rPr>
                <w:rFonts w:ascii="Times New Roman"/>
                <w:b/>
                <w:sz w:val="18"/>
              </w:rPr>
              <w:t>2,700.00</w:t>
            </w:r>
            <w:r>
              <w:rPr>
                <w:rFonts w:ascii="Times New Roman"/>
                <w:sz w:val="18"/>
              </w:rPr>
            </w:r>
          </w:p>
        </w:tc>
        <w:tc>
          <w:tcPr>
            <w:tcW w:w="984" w:type="dxa"/>
            <w:tcBorders>
              <w:top w:val="single" w:sz="12" w:space="0" w:color="000000"/>
              <w:left w:val="nil" w:sz="6" w:space="0" w:color="auto"/>
              <w:bottom w:val="nil" w:sz="6" w:space="0" w:color="auto"/>
              <w:right w:val="nil" w:sz="6" w:space="0" w:color="auto"/>
            </w:tcBorders>
          </w:tcPr>
          <w:p>
            <w:pPr/>
          </w:p>
        </w:tc>
        <w:tc>
          <w:tcPr>
            <w:tcW w:w="1309" w:type="dxa"/>
            <w:tcBorders>
              <w:top w:val="single" w:sz="12" w:space="0" w:color="000000"/>
              <w:left w:val="nil" w:sz="6" w:space="0" w:color="auto"/>
              <w:bottom w:val="nil" w:sz="6" w:space="0" w:color="auto"/>
              <w:right w:val="nil" w:sz="6" w:space="0" w:color="auto"/>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b/>
                <w:sz w:val="18"/>
              </w:rPr>
              <w:t>180.00</w:t>
            </w:r>
            <w:r>
              <w:rPr>
                <w:rFonts w:ascii="Times New Roman"/>
                <w:sz w:val="18"/>
              </w:rPr>
            </w:r>
          </w:p>
        </w:tc>
        <w:tc>
          <w:tcPr>
            <w:tcW w:w="1321" w:type="dxa"/>
            <w:tcBorders>
              <w:top w:val="single" w:sz="12" w:space="0" w:color="000000"/>
              <w:left w:val="nil" w:sz="6" w:space="0" w:color="auto"/>
              <w:bottom w:val="nil" w:sz="6" w:space="0" w:color="auto"/>
              <w:right w:val="nil" w:sz="6" w:space="0" w:color="auto"/>
            </w:tcBorders>
          </w:tcPr>
          <w:p>
            <w:pPr/>
          </w:p>
        </w:tc>
      </w:tr>
      <w:tr>
        <w:trPr>
          <w:trHeight w:val="325" w:hRule="exact"/>
        </w:trPr>
        <w:tc>
          <w:tcPr>
            <w:tcW w:w="3133" w:type="dxa"/>
            <w:tcBorders>
              <w:top w:val="nil" w:sz="6" w:space="0" w:color="auto"/>
              <w:left w:val="nil" w:sz="6" w:space="0" w:color="auto"/>
              <w:bottom w:val="single" w:sz="12" w:space="0" w:color="000000"/>
              <w:right w:val="nil" w:sz="6" w:space="0" w:color="auto"/>
            </w:tcBorders>
          </w:tcPr>
          <w:p>
            <w:pPr/>
          </w:p>
        </w:tc>
        <w:tc>
          <w:tcPr>
            <w:tcW w:w="1718" w:type="dxa"/>
            <w:tcBorders>
              <w:top w:val="nil" w:sz="6" w:space="0" w:color="auto"/>
              <w:left w:val="nil" w:sz="6" w:space="0" w:color="auto"/>
              <w:bottom w:val="single" w:sz="12" w:space="0" w:color="000000"/>
              <w:right w:val="nil" w:sz="6" w:space="0" w:color="auto"/>
            </w:tcBorders>
          </w:tcPr>
          <w:p>
            <w:pPr/>
          </w:p>
        </w:tc>
        <w:tc>
          <w:tcPr>
            <w:tcW w:w="984" w:type="dxa"/>
            <w:tcBorders>
              <w:top w:val="nil" w:sz="6" w:space="0" w:color="auto"/>
              <w:left w:val="nil" w:sz="6" w:space="0" w:color="auto"/>
              <w:bottom w:val="single" w:sz="12" w:space="0" w:color="000000"/>
              <w:right w:val="nil" w:sz="6" w:space="0" w:color="auto"/>
            </w:tcBorders>
          </w:tcPr>
          <w:p>
            <w:pPr/>
          </w:p>
        </w:tc>
        <w:tc>
          <w:tcPr>
            <w:tcW w:w="1309" w:type="dxa"/>
            <w:tcBorders>
              <w:top w:val="nil" w:sz="6" w:space="0" w:color="auto"/>
              <w:left w:val="nil" w:sz="6" w:space="0" w:color="auto"/>
              <w:bottom w:val="single" w:sz="12" w:space="0" w:color="000000"/>
              <w:right w:val="nil" w:sz="6" w:space="0" w:color="auto"/>
            </w:tcBorders>
          </w:tcPr>
          <w:p>
            <w:pPr/>
          </w:p>
        </w:tc>
        <w:tc>
          <w:tcPr>
            <w:tcW w:w="1321"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9"/>
              <w:jc w:val="right"/>
              <w:rPr>
                <w:rFonts w:ascii="Times New Roman" w:hAnsi="Times New Roman" w:cs="Times New Roman" w:eastAsia="Times New Roman" w:hint="default"/>
                <w:sz w:val="18"/>
                <w:szCs w:val="18"/>
              </w:rPr>
            </w:pPr>
            <w:r>
              <w:rPr>
                <w:rFonts w:ascii="Times New Roman"/>
                <w:b/>
                <w:sz w:val="18"/>
              </w:rPr>
              <w:t>2.05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15、持有至到期投资" w:id="269"/>
      <w:bookmarkEnd w:id="269"/>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持有至到期投资情况"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期末重要的持有至到期投资"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本期重分类的持有至到期投资"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16、长期应收款" w:id="273"/>
      <w:bookmarkEnd w:id="273"/>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长期应收款情况"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因金融资产转移而终止确认的长期应收款"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3）转移长期应收款且继续涉入形成的资产、负债金额"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17、长期股权投资" w:id="277"/>
      <w:bookmarkEnd w:id="277"/>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8" w:space="0" w:color="CCE8C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上海虹港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9,769,490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-3,412,47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5,880,271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12,237,28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数据信息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5.36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6.58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9,769,490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-3,412,47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5,880,271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12,237,28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9,769,490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-3,412,47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5,880,271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12,237,28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2"/>
          <w:szCs w:val="22"/>
        </w:rPr>
      </w:pPr>
    </w:p>
    <w:p>
      <w:pPr>
        <w:spacing w:line="256" w:lineRule="auto" w:before="0"/>
        <w:ind w:left="1133" w:right="994" w:firstLine="63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月，上海虹港数据信息有限公司（以下简称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上海虹港</w:t>
      </w:r>
      <w:r>
        <w:rPr>
          <w:rFonts w:ascii="Times New Roman" w:hAnsi="Times New Roman" w:cs="Times New Roman" w:eastAsia="Times New Roman" w:hint="default"/>
          <w:sz w:val="21"/>
          <w:szCs w:val="21"/>
        </w:rPr>
        <w:t>”</w:t>
      </w:r>
      <w:r>
        <w:rPr>
          <w:rFonts w:ascii="宋体" w:hAnsi="宋体" w:cs="宋体" w:eastAsia="宋体" w:hint="default"/>
          <w:sz w:val="21"/>
          <w:szCs w:val="21"/>
        </w:rPr>
        <w:t>）的股东上海瓦研信息技术有 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上海瓦研</w:t>
      </w:r>
      <w:r>
        <w:rPr>
          <w:rFonts w:ascii="Times New Roman" w:hAnsi="Times New Roman" w:cs="Times New Roman" w:eastAsia="Times New Roman" w:hint="default"/>
          <w:sz w:val="21"/>
          <w:szCs w:val="21"/>
        </w:rPr>
        <w:t>”</w:t>
      </w:r>
      <w:r>
        <w:rPr>
          <w:rFonts w:ascii="宋体" w:hAnsi="宋体" w:cs="宋体" w:eastAsia="宋体" w:hint="default"/>
          <w:sz w:val="21"/>
          <w:szCs w:val="21"/>
        </w:rPr>
        <w:t>）将所持有的上海虹港</w:t>
      </w:r>
      <w:r>
        <w:rPr>
          <w:rFonts w:ascii="Times New Roman" w:hAnsi="Times New Roman" w:cs="Times New Roman" w:eastAsia="Times New Roman" w:hint="default"/>
          <w:sz w:val="21"/>
          <w:szCs w:val="21"/>
        </w:rPr>
        <w:t>10%</w:t>
      </w:r>
      <w:r>
        <w:rPr>
          <w:rFonts w:ascii="宋体" w:hAnsi="宋体" w:cs="宋体" w:eastAsia="宋体" w:hint="default"/>
          <w:sz w:val="21"/>
          <w:szCs w:val="21"/>
        </w:rPr>
        <w:t>股权对应出资</w:t>
      </w:r>
      <w:r>
        <w:rPr>
          <w:rFonts w:ascii="Times New Roman" w:hAnsi="Times New Roman" w:cs="Times New Roman" w:eastAsia="Times New Roman" w:hint="default"/>
          <w:sz w:val="21"/>
          <w:szCs w:val="21"/>
        </w:rPr>
        <w:t>350</w:t>
      </w:r>
      <w:r>
        <w:rPr>
          <w:rFonts w:ascii="宋体" w:hAnsi="宋体" w:cs="宋体" w:eastAsia="宋体" w:hint="default"/>
          <w:sz w:val="21"/>
          <w:szCs w:val="21"/>
        </w:rPr>
        <w:t>万元转让给深圳市前海和钧天源 资产管理中心（有限合伙）（以下简称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和钧天源</w:t>
      </w:r>
      <w:r>
        <w:rPr>
          <w:rFonts w:ascii="Times New Roman" w:hAnsi="Times New Roman" w:cs="Times New Roman" w:eastAsia="Times New Roman" w:hint="default"/>
          <w:sz w:val="21"/>
          <w:szCs w:val="21"/>
        </w:rPr>
        <w:t>”</w:t>
      </w:r>
      <w:r>
        <w:rPr>
          <w:rFonts w:ascii="宋体" w:hAnsi="宋体" w:cs="宋体" w:eastAsia="宋体" w:hint="default"/>
          <w:sz w:val="21"/>
          <w:szCs w:val="21"/>
        </w:rPr>
        <w:t>），以上事项上海虹港已办理完工商备案手续，并取得 </w:t>
      </w:r>
      <w:r>
        <w:rPr>
          <w:rFonts w:ascii="宋体" w:hAnsi="宋体" w:cs="宋体" w:eastAsia="宋体" w:hint="default"/>
          <w:spacing w:val="3"/>
          <w:sz w:val="21"/>
          <w:szCs w:val="21"/>
        </w:rPr>
        <w:t>上海市虹口区市场监督管理局于</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日签发的营业执照。</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月，和钧天源对上海虹港出资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Times New Roman" w:hAnsi="Times New Roman" w:cs="Times New Roman" w:eastAsia="Times New Roman" w:hint="default"/>
          <w:spacing w:val="-3"/>
          <w:sz w:val="21"/>
          <w:szCs w:val="21"/>
        </w:rPr>
        <w:t>3000</w:t>
      </w:r>
      <w:r>
        <w:rPr>
          <w:rFonts w:ascii="宋体" w:hAnsi="宋体" w:cs="宋体" w:eastAsia="宋体" w:hint="default"/>
          <w:spacing w:val="-3"/>
          <w:sz w:val="21"/>
          <w:szCs w:val="21"/>
        </w:rPr>
        <w:t>万进行单方面增资，其中</w:t>
      </w:r>
      <w:r>
        <w:rPr>
          <w:rFonts w:ascii="Times New Roman" w:hAnsi="Times New Roman" w:cs="Times New Roman" w:eastAsia="Times New Roman" w:hint="default"/>
          <w:spacing w:val="-3"/>
          <w:sz w:val="21"/>
          <w:szCs w:val="21"/>
        </w:rPr>
        <w:t>1000</w:t>
      </w:r>
      <w:r>
        <w:rPr>
          <w:rFonts w:ascii="宋体" w:hAnsi="宋体" w:cs="宋体" w:eastAsia="宋体" w:hint="default"/>
          <w:spacing w:val="-3"/>
          <w:sz w:val="21"/>
          <w:szCs w:val="21"/>
        </w:rPr>
        <w:t>万计入股本，</w:t>
      </w:r>
      <w:r>
        <w:rPr>
          <w:rFonts w:ascii="Times New Roman" w:hAnsi="Times New Roman" w:cs="Times New Roman" w:eastAsia="Times New Roman" w:hint="default"/>
          <w:spacing w:val="-3"/>
          <w:sz w:val="21"/>
          <w:szCs w:val="21"/>
        </w:rPr>
        <w:t>2000</w:t>
      </w:r>
      <w:r>
        <w:rPr>
          <w:rFonts w:ascii="宋体" w:hAnsi="宋体" w:cs="宋体" w:eastAsia="宋体" w:hint="default"/>
          <w:spacing w:val="-3"/>
          <w:sz w:val="21"/>
          <w:szCs w:val="21"/>
        </w:rPr>
        <w:t>万计入资本公积，上海瓦研、本公司不参与本次增资，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增资完成后上海虹港的注册资本从</w:t>
      </w:r>
      <w:r>
        <w:rPr>
          <w:rFonts w:ascii="Times New Roman" w:hAnsi="Times New Roman" w:cs="Times New Roman" w:eastAsia="Times New Roman" w:hint="default"/>
          <w:spacing w:val="-2"/>
          <w:sz w:val="21"/>
          <w:szCs w:val="21"/>
        </w:rPr>
        <w:t>3,500</w:t>
      </w:r>
      <w:r>
        <w:rPr>
          <w:rFonts w:ascii="宋体" w:hAnsi="宋体" w:cs="宋体" w:eastAsia="宋体" w:hint="default"/>
          <w:spacing w:val="-2"/>
          <w:sz w:val="21"/>
          <w:szCs w:val="21"/>
        </w:rPr>
        <w:t>万元增至</w:t>
      </w:r>
      <w:r>
        <w:rPr>
          <w:rFonts w:ascii="Times New Roman" w:hAnsi="Times New Roman" w:cs="Times New Roman" w:eastAsia="Times New Roman" w:hint="default"/>
          <w:spacing w:val="-2"/>
          <w:sz w:val="21"/>
          <w:szCs w:val="21"/>
        </w:rPr>
        <w:t>4,500</w:t>
      </w:r>
      <w:r>
        <w:rPr>
          <w:rFonts w:ascii="宋体" w:hAnsi="宋体" w:cs="宋体" w:eastAsia="宋体" w:hint="default"/>
          <w:spacing w:val="-2"/>
          <w:sz w:val="21"/>
          <w:szCs w:val="21"/>
        </w:rPr>
        <w:t>万元，各股东持股变化为：上海瓦研出资</w:t>
      </w:r>
      <w:r>
        <w:rPr>
          <w:rFonts w:ascii="Times New Roman" w:hAnsi="Times New Roman" w:cs="Times New Roman" w:eastAsia="Times New Roman" w:hint="default"/>
          <w:spacing w:val="-2"/>
          <w:sz w:val="21"/>
          <w:szCs w:val="21"/>
        </w:rPr>
        <w:t>1,750</w:t>
      </w:r>
      <w:r>
        <w:rPr>
          <w:rFonts w:ascii="宋体" w:hAnsi="宋体" w:cs="宋体" w:eastAsia="宋体" w:hint="default"/>
          <w:spacing w:val="-2"/>
          <w:sz w:val="21"/>
          <w:szCs w:val="21"/>
        </w:rPr>
        <w:t>万元，</w:t>
      </w:r>
      <w:r>
        <w:rPr>
          <w:rFonts w:ascii="宋体" w:hAnsi="宋体" w:cs="宋体" w:eastAsia="宋体" w:hint="default"/>
          <w:spacing w:val="-76"/>
          <w:sz w:val="21"/>
          <w:szCs w:val="21"/>
        </w:rPr>
        <w:t> </w:t>
      </w:r>
      <w:r>
        <w:rPr>
          <w:rFonts w:ascii="宋体" w:hAnsi="宋体" w:cs="宋体" w:eastAsia="宋体" w:hint="default"/>
          <w:sz w:val="21"/>
          <w:szCs w:val="21"/>
        </w:rPr>
        <w:t>持股比例为</w:t>
      </w:r>
      <w:r>
        <w:rPr>
          <w:rFonts w:ascii="Times New Roman" w:hAnsi="Times New Roman" w:cs="Times New Roman" w:eastAsia="Times New Roman" w:hint="default"/>
          <w:sz w:val="21"/>
          <w:szCs w:val="21"/>
        </w:rPr>
        <w:t>39%</w:t>
      </w:r>
      <w:r>
        <w:rPr>
          <w:rFonts w:ascii="宋体" w:hAnsi="宋体" w:cs="宋体" w:eastAsia="宋体" w:hint="default"/>
          <w:sz w:val="21"/>
          <w:szCs w:val="21"/>
        </w:rPr>
        <w:t>；本公司出资</w:t>
      </w:r>
      <w:r>
        <w:rPr>
          <w:rFonts w:ascii="Times New Roman" w:hAnsi="Times New Roman" w:cs="Times New Roman" w:eastAsia="Times New Roman" w:hint="default"/>
          <w:sz w:val="21"/>
          <w:szCs w:val="21"/>
        </w:rPr>
        <w:t>1,400</w:t>
      </w:r>
      <w:r>
        <w:rPr>
          <w:rFonts w:ascii="宋体" w:hAnsi="宋体" w:cs="宋体" w:eastAsia="宋体" w:hint="default"/>
          <w:sz w:val="21"/>
          <w:szCs w:val="21"/>
        </w:rPr>
        <w:t>万元，持股比例</w:t>
      </w:r>
      <w:r>
        <w:rPr>
          <w:rFonts w:ascii="Times New Roman" w:hAnsi="Times New Roman" w:cs="Times New Roman" w:eastAsia="Times New Roman" w:hint="default"/>
          <w:sz w:val="21"/>
          <w:szCs w:val="21"/>
        </w:rPr>
        <w:t>31%</w:t>
      </w:r>
      <w:r>
        <w:rPr>
          <w:rFonts w:ascii="宋体" w:hAnsi="宋体" w:cs="宋体" w:eastAsia="宋体" w:hint="default"/>
          <w:sz w:val="21"/>
          <w:szCs w:val="21"/>
        </w:rPr>
        <w:t>；和钧天源出资</w:t>
      </w:r>
      <w:r>
        <w:rPr>
          <w:rFonts w:ascii="Times New Roman" w:hAnsi="Times New Roman" w:cs="Times New Roman" w:eastAsia="Times New Roman" w:hint="default"/>
          <w:sz w:val="21"/>
          <w:szCs w:val="21"/>
        </w:rPr>
        <w:t>1,350</w:t>
      </w:r>
      <w:r>
        <w:rPr>
          <w:rFonts w:ascii="宋体" w:hAnsi="宋体" w:cs="宋体" w:eastAsia="宋体" w:hint="default"/>
          <w:sz w:val="21"/>
          <w:szCs w:val="21"/>
        </w:rPr>
        <w:t>万元，持股比例为</w:t>
      </w:r>
      <w:r>
        <w:rPr>
          <w:rFonts w:ascii="Times New Roman" w:hAnsi="Times New Roman" w:cs="Times New Roman" w:eastAsia="Times New Roman" w:hint="default"/>
          <w:sz w:val="21"/>
          <w:szCs w:val="21"/>
        </w:rPr>
        <w:t>30%</w:t>
      </w:r>
      <w:r>
        <w:rPr>
          <w:rFonts w:ascii="宋体" w:hAnsi="宋体" w:cs="宋体" w:eastAsia="宋体" w:hint="default"/>
          <w:sz w:val="21"/>
          <w:szCs w:val="21"/>
        </w:rPr>
        <w:t>，本次 增资事项上海虹港于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月完成工商变更备案手续。本次增资事项完成后本公司对上海虹港持股比例 由</w:t>
      </w:r>
      <w:r>
        <w:rPr>
          <w:rFonts w:ascii="Times New Roman" w:hAnsi="Times New Roman" w:cs="Times New Roman" w:eastAsia="Times New Roman" w:hint="default"/>
          <w:sz w:val="21"/>
          <w:szCs w:val="21"/>
        </w:rPr>
        <w:t>40%</w:t>
      </w:r>
      <w:r>
        <w:rPr>
          <w:rFonts w:ascii="宋体" w:hAnsi="宋体" w:cs="宋体" w:eastAsia="宋体" w:hint="default"/>
          <w:sz w:val="21"/>
          <w:szCs w:val="21"/>
        </w:rPr>
        <w:t>减少至</w:t>
      </w:r>
      <w:r>
        <w:rPr>
          <w:rFonts w:ascii="Times New Roman" w:hAnsi="Times New Roman" w:cs="Times New Roman" w:eastAsia="Times New Roman" w:hint="default"/>
          <w:sz w:val="21"/>
          <w:szCs w:val="21"/>
        </w:rPr>
        <w:t>31%</w:t>
      </w:r>
      <w:r>
        <w:rPr>
          <w:rFonts w:ascii="宋体" w:hAnsi="宋体" w:cs="宋体" w:eastAsia="宋体" w:hint="default"/>
          <w:sz w:val="21"/>
          <w:szCs w:val="21"/>
        </w:rPr>
        <w:t>，享有被投资单位净资产变动确认其他权益变动</w:t>
      </w:r>
      <w:r>
        <w:rPr>
          <w:rFonts w:ascii="Times New Roman" w:hAnsi="Times New Roman" w:cs="Times New Roman" w:eastAsia="Times New Roman" w:hint="default"/>
          <w:sz w:val="21"/>
          <w:szCs w:val="21"/>
        </w:rPr>
        <w:t>5,880,271.68</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1"/>
          <w:szCs w:val="21"/>
        </w:rPr>
      </w:pPr>
    </w:p>
    <w:p>
      <w:pPr>
        <w:spacing w:before="0"/>
        <w:ind w:left="1133" w:right="1033" w:firstLine="0"/>
        <w:jc w:val="left"/>
        <w:rPr>
          <w:rFonts w:ascii="宋体" w:hAnsi="宋体" w:cs="宋体" w:eastAsia="宋体" w:hint="default"/>
          <w:sz w:val="21"/>
          <w:szCs w:val="21"/>
        </w:rPr>
      </w:pPr>
      <w:bookmarkStart w:name="18、投资性房地产" w:id="278"/>
      <w:bookmarkEnd w:id="278"/>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采用成本计量模式的投资性房地产"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10,068,976.55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3,318,589.81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13,387,566.36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1,221,505.00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1,221,505.00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1,221,505.00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1,221,505.00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11,290,481.55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3,318,589.81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14,609,071.36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2,365,544.90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844,988.71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3,210,533.61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727,083.58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66,371.76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793,455.34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317,920.56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66,371.76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384,292.32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 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409,163.02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409,163.02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3,092,628.48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911,360.47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4,003,988.95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8,197,853.07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2,407,229.34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10,605,082.41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7,703,431.65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2,473,601.10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10,177,032.75</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采用公允价值计量模式的投资性房地产"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3）未办妥产权证书的投资性房地产情况"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19、固定资产" w:id="282"/>
      <w:bookmarkEnd w:id="282"/>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固定资产情况"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74,923,077.24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34,000,138.69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11,176,032.92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7,695,289.51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127,794,538.36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1,529,685.00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2,777,468.19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1,484,647.22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1,968,409.35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7,760,209.76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1,529,685.00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2,777,468.19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1,484,647.22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1,968,409.35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7,760,209.76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1,221,505.00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260,045.00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1,551,950.00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260,045.00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330,445.00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）转为投资性房 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1,221,505.00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1,221,505.00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75,231,257.24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36,777,606.88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12,400,635.14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9,593,298.86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134,002,798.12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9,169,750.75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10,695,410.41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7,070,820.33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4,334,353.24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31,270,334.73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2,753,156.85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3,459,452.36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1,443,400.87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1,314,882.07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8,970,892.15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2,753,156.85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3,459,452.36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1,443,400.87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1,314,882.07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8,970,892.15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409,163.02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196,300.13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216,254.50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821,717.65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196,300.13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216,254.50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412,554.63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）转为投资性房 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409,163.02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409,163.02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11,513,744.58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14,154,862.77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8,317,921.07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5,432,980.81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39,419,509.23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63,717,512.66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22,622,744.11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4,082,714.07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4,160,318.05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94,583,288.89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65,753,326.49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23,304,728.28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4,105,212.59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3,360,936.27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96,524,203.63</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暂时闲置的固定资产情况"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通过融资租赁租入的固定资产情况"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4）通过经营租赁租出的固定资产" w:id="286"/>
      <w:bookmarkEnd w:id="2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5）未办妥产权证书的固定资产情况"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20、在建工程" w:id="288"/>
      <w:bookmarkEnd w:id="288"/>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在建工程情况" w:id="289"/>
      <w:bookmarkEnd w:id="2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除尘、脱硫、脱 硝设备生产与研 发基地</w:t>
            </w:r>
          </w:p>
        </w:tc>
        <w:tc>
          <w:tcPr>
            <w:tcW w:w="136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58,412,224.26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58,412,224.26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58,274,224.26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58,274,224.26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展厅工程</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341,692.00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341,692.00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58,753,916.26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58,753,916.26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58,274,224.26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58,274,224.26</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重要在建工程项目本期变动情况"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5" w:hRule="exact"/>
        </w:trPr>
        <w:tc>
          <w:tcPr>
            <w:tcW w:w="7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22"/>
              <w:jc w:val="left"/>
              <w:rPr>
                <w:rFonts w:ascii="宋体" w:hAnsi="宋体" w:cs="宋体" w:eastAsia="宋体" w:hint="default"/>
                <w:sz w:val="18"/>
                <w:szCs w:val="18"/>
              </w:rPr>
            </w:pPr>
            <w:r>
              <w:rPr>
                <w:rFonts w:ascii="宋体" w:hAnsi="宋体" w:cs="宋体" w:eastAsia="宋体" w:hint="default"/>
                <w:spacing w:val="-12"/>
                <w:sz w:val="18"/>
                <w:szCs w:val="18"/>
              </w:rPr>
              <w:t>除尘、脱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硫、脱硝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设备生 产与研 发基地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58,274,2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24.26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58,412,2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38.94%</w:t>
            </w:r>
          </w:p>
        </w:tc>
        <w:tc>
          <w:tcPr>
            <w:tcW w:w="7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90.00%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58,274,2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24.26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58,412,2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24.26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本期计提在建工程减值准备情况"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spacing w:line="256" w:lineRule="auto" w:before="0"/>
        <w:ind w:left="1133" w:right="1132" w:firstLine="420"/>
        <w:jc w:val="both"/>
        <w:rPr>
          <w:rFonts w:ascii="宋体" w:hAnsi="宋体" w:cs="宋体" w:eastAsia="宋体" w:hint="default"/>
          <w:sz w:val="21"/>
          <w:szCs w:val="21"/>
        </w:rPr>
      </w:pPr>
      <w:r>
        <w:rPr>
          <w:rFonts w:ascii="宋体" w:hAnsi="宋体" w:cs="宋体" w:eastAsia="宋体" w:hint="default"/>
          <w:sz w:val="21"/>
          <w:szCs w:val="21"/>
        </w:rPr>
        <w:t>注：由于江苏亿金公司流动资金紧张，导致</w:t>
      </w:r>
      <w:r>
        <w:rPr>
          <w:rFonts w:ascii="Times New Roman" w:hAnsi="Times New Roman" w:cs="Times New Roman" w:eastAsia="Times New Roman" w:hint="default"/>
          <w:sz w:val="21"/>
          <w:szCs w:val="21"/>
        </w:rPr>
        <w:t>“</w:t>
      </w:r>
      <w:r>
        <w:rPr>
          <w:rFonts w:ascii="宋体" w:hAnsi="宋体" w:cs="宋体" w:eastAsia="宋体" w:hint="default"/>
          <w:sz w:val="21"/>
          <w:szCs w:val="21"/>
        </w:rPr>
        <w:t>除尘、脱硫、脱硝设备生产与研发基地</w:t>
      </w:r>
      <w:r>
        <w:rPr>
          <w:rFonts w:ascii="Times New Roman" w:hAnsi="Times New Roman" w:cs="Times New Roman" w:eastAsia="Times New Roman" w:hint="default"/>
          <w:sz w:val="21"/>
          <w:szCs w:val="21"/>
        </w:rPr>
        <w:t>”</w:t>
      </w:r>
      <w:r>
        <w:rPr>
          <w:rFonts w:ascii="宋体" w:hAnsi="宋体" w:cs="宋体" w:eastAsia="宋体" w:hint="default"/>
          <w:sz w:val="21"/>
          <w:szCs w:val="21"/>
        </w:rPr>
        <w:t>项目建设缓慢。 </w:t>
      </w:r>
      <w:r>
        <w:rPr>
          <w:rFonts w:ascii="宋体" w:hAnsi="宋体" w:cs="宋体" w:eastAsia="宋体" w:hint="default"/>
          <w:spacing w:val="-1"/>
          <w:sz w:val="21"/>
          <w:szCs w:val="21"/>
        </w:rPr>
        <w:t>江苏亿金公司计划于</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年上半年投入资金进行车间地坪处理、配电工程施工、设备采购等，预计在</w:t>
      </w:r>
      <w:r>
        <w:rPr>
          <w:rFonts w:ascii="Times New Roman" w:hAnsi="Times New Roman" w:cs="Times New Roman" w:eastAsia="Times New Roman" w:hint="default"/>
          <w:spacing w:val="-1"/>
          <w:sz w:val="21"/>
          <w:szCs w:val="21"/>
        </w:rPr>
        <w:t>2016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月实现该项目的整体完工验收、转固，并投入生产经营。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before="0"/>
        <w:ind w:left="1134" w:right="1033" w:firstLine="0"/>
        <w:jc w:val="left"/>
        <w:rPr>
          <w:rFonts w:ascii="宋体" w:hAnsi="宋体" w:cs="宋体" w:eastAsia="宋体" w:hint="default"/>
          <w:sz w:val="21"/>
          <w:szCs w:val="21"/>
        </w:rPr>
      </w:pPr>
      <w:bookmarkStart w:name="21、工程物资" w:id="292"/>
      <w:bookmarkEnd w:id="292"/>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22、固定资产清理" w:id="293"/>
      <w:bookmarkEnd w:id="293"/>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23、生产性生物资产" w:id="294"/>
      <w:bookmarkEnd w:id="294"/>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采用成本计量模式的生产性生物资产"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2）采用公允价值计量模式的生产性生物资产" w:id="296"/>
      <w:bookmarkEnd w:id="2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24、油气资产" w:id="297"/>
      <w:bookmarkEnd w:id="297"/>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25、无形资产" w:id="298"/>
      <w:bookmarkEnd w:id="298"/>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无形资产情况"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38,801,837.87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3,394,162.95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5,798,990.83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67,795,991.65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16,270,299.24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884,512.72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17,154,811.96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16,270,299.24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884,512.72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17,154,811.96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55,072,137.11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3,394,162.95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6,683,503.55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84,950,803.61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2,211,881.81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351,178.50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570,917.62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3,143,792.15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1,063,027.10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2,824,258.76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636,668.28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1,124,729.31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5,648,683.45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1,063,027.10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2,824,258.76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636,668.28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1,124,729.31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5,648,683.45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3,274,908.91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2,834,072.98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987,846.78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1,695,646.93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8,792,475.60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51,797,228.20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16,966,927.02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2,406,316.17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4,987,856.62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76,158,328.01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36,589,956.06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19,791,185.78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3,042,984.45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5,228,073.21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64,652,199.50</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2）未办妥产权证书的土地使用权情况"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26、开发支出" w:id="301"/>
      <w:bookmarkEnd w:id="301"/>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27、商誉" w:id="302"/>
      <w:bookmarkEnd w:id="302"/>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商誉账面原值"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25,234,526.19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25,234,526.19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西安华西公司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30,038,218.23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30,038,218.23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33,241,756.28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33,241,756.28</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88,514,500.70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88,514,500.70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商誉减值准备"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52"/>
        <w:ind w:left="1134" w:right="607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1"/>
        <w:rPr>
          <w:rFonts w:ascii="宋体" w:hAnsi="宋体" w:cs="宋体" w:eastAsia="宋体" w:hint="default"/>
          <w:sz w:val="20"/>
          <w:szCs w:val="20"/>
        </w:rPr>
      </w:pPr>
    </w:p>
    <w:p>
      <w:pPr>
        <w:spacing w:before="0"/>
        <w:ind w:left="1134" w:right="1033" w:firstLine="0"/>
        <w:jc w:val="left"/>
        <w:rPr>
          <w:rFonts w:ascii="宋体" w:hAnsi="宋体" w:cs="宋体" w:eastAsia="宋体" w:hint="default"/>
          <w:sz w:val="21"/>
          <w:szCs w:val="21"/>
        </w:rPr>
      </w:pPr>
      <w:bookmarkStart w:name="28、长期待摊费用" w:id="305"/>
      <w:bookmarkEnd w:id="305"/>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购房款</w:t>
            </w:r>
          </w:p>
        </w:tc>
        <w:tc>
          <w:tcPr>
            <w:tcW w:w="1607" w:type="dxa"/>
            <w:tcBorders>
              <w:top w:val="single" w:sz="4" w:space="0" w:color="000000"/>
              <w:left w:val="single" w:sz="9" w:space="0" w:color="CCE8CF"/>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479,812.00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15,993.73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463,818.27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网络使用费</w:t>
            </w:r>
          </w:p>
        </w:tc>
        <w:tc>
          <w:tcPr>
            <w:tcW w:w="1607"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168,819.84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168,819.84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7"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890,466.68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492,909.30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966,623.63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416,752.35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920,466.68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1,141,541.14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1,151,437.20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910,570.62</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2"/>
          <w:szCs w:val="22"/>
        </w:rPr>
      </w:pPr>
    </w:p>
    <w:p>
      <w:pPr>
        <w:spacing w:line="266" w:lineRule="auto" w:before="0"/>
        <w:ind w:left="1133" w:right="1024" w:firstLine="630"/>
        <w:jc w:val="left"/>
        <w:rPr>
          <w:rFonts w:ascii="宋体" w:hAnsi="宋体" w:cs="宋体" w:eastAsia="宋体" w:hint="default"/>
          <w:sz w:val="21"/>
          <w:szCs w:val="21"/>
        </w:rPr>
      </w:pPr>
      <w:r>
        <w:rPr>
          <w:rFonts w:ascii="宋体" w:hAnsi="宋体" w:cs="宋体" w:eastAsia="宋体" w:hint="default"/>
          <w:sz w:val="21"/>
          <w:szCs w:val="21"/>
        </w:rPr>
        <w:t>本年增加的购房款为深圳市龙控公司向深圳市福田区住房和建设局购买的人才住房（合同号：深福 人单字颂德（</w:t>
      </w:r>
      <w:r>
        <w:rPr>
          <w:rFonts w:ascii="Times New Roman" w:hAnsi="Times New Roman" w:cs="Times New Roman" w:eastAsia="Times New Roman" w:hint="default"/>
          <w:sz w:val="21"/>
          <w:szCs w:val="21"/>
        </w:rPr>
        <w:t>2015</w:t>
      </w:r>
      <w:r>
        <w:rPr>
          <w:rFonts w:ascii="宋体" w:hAnsi="宋体" w:cs="宋体" w:eastAsia="宋体" w:hint="default"/>
          <w:sz w:val="21"/>
          <w:szCs w:val="21"/>
        </w:rPr>
        <w:t>）第</w:t>
      </w:r>
      <w:r>
        <w:rPr>
          <w:rFonts w:ascii="Times New Roman" w:hAnsi="Times New Roman" w:cs="Times New Roman" w:eastAsia="Times New Roman" w:hint="default"/>
          <w:sz w:val="21"/>
          <w:szCs w:val="21"/>
        </w:rPr>
        <w:t>00108</w:t>
      </w:r>
      <w:r>
        <w:rPr>
          <w:rFonts w:ascii="宋体" w:hAnsi="宋体" w:cs="宋体" w:eastAsia="宋体" w:hint="default"/>
          <w:sz w:val="21"/>
          <w:szCs w:val="21"/>
        </w:rPr>
        <w:t>号），购房款为</w:t>
      </w:r>
      <w:r>
        <w:rPr>
          <w:rFonts w:ascii="Times New Roman" w:hAnsi="Times New Roman" w:cs="Times New Roman" w:eastAsia="Times New Roman" w:hint="default"/>
          <w:sz w:val="21"/>
          <w:szCs w:val="21"/>
        </w:rPr>
        <w:t>479,812.00</w:t>
      </w:r>
      <w:r>
        <w:rPr>
          <w:rFonts w:ascii="宋体" w:hAnsi="宋体" w:cs="宋体" w:eastAsia="宋体" w:hint="default"/>
          <w:sz w:val="21"/>
          <w:szCs w:val="21"/>
        </w:rPr>
        <w:t>元。深圳市龙控公司对所购买的人才住房为有限产 </w:t>
      </w:r>
      <w:r>
        <w:rPr>
          <w:rFonts w:ascii="宋体" w:hAnsi="宋体" w:cs="宋体" w:eastAsia="宋体" w:hint="default"/>
          <w:spacing w:val="-3"/>
          <w:sz w:val="21"/>
          <w:szCs w:val="21"/>
        </w:rPr>
        <w:t>权，即企业不得向政府以外的任何单位或个人进行任何形式的产权交易，故划分至长期待摊费用项下核算，</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摊销期限为</w:t>
      </w:r>
      <w:r>
        <w:rPr>
          <w:rFonts w:ascii="Times New Roman" w:hAnsi="Times New Roman" w:cs="Times New Roman" w:eastAsia="Times New Roman" w:hint="default"/>
          <w:sz w:val="21"/>
          <w:szCs w:val="21"/>
        </w:rPr>
        <w:t>30</w:t>
      </w:r>
      <w:r>
        <w:rPr>
          <w:rFonts w:ascii="宋体" w:hAnsi="宋体" w:cs="宋体" w:eastAsia="宋体" w:hint="default"/>
          <w:sz w:val="21"/>
          <w:szCs w:val="21"/>
        </w:rPr>
        <w:t>年。</w:t>
      </w:r>
    </w:p>
    <w:p>
      <w:pPr>
        <w:spacing w:after="0" w:line="26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29、递延所得税资产/递延所得税负债" w:id="306"/>
      <w:bookmarkEnd w:id="306"/>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未经抵销的递延所得税资产"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坏账准备计提的递延所 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96,025,747.80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14,403,862.17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77,019,125.51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11,605,419.23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存货跌价计提的递延所 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442,132.76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66,319.91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433,481.47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65,022.22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公允价值变动计提的递 延所得税资产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-764,800.01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-114,720.00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2,630,739.58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394,610.94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递延收益计提的递延所 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898,939.64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134,840.95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1,904,636.20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285,695.43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96,602,020.19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14,490,303.03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81,987,982.76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12,350,747.82</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未经抵销的递延所得税负债"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55,371,782.87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8,305,767.43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68,856,179.35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10,328,426.90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55,371,782.87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8,305,767.43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68,856,179.35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10,328,426.90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以抵销后净额列示的递延所得税资产或负债"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14,490,303.03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12,350,747.82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8,305,767.43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10,328,426.90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4）未确认递延所得税资产明细"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6,609,608.49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349,691.66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296,407.69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-47,497.42</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6,906,016.18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302,194.24</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5）未确认递延所得税资产的可抵扣亏损将于以下年度到期"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0、其他非流动资产" w:id="312"/>
      <w:bookmarkEnd w:id="312"/>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1、短期借款" w:id="313"/>
      <w:bookmarkEnd w:id="313"/>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短期借款分类" w:id="314"/>
      <w:bookmarkEnd w:id="3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130,500,000.00</w:t>
            </w:r>
          </w:p>
        </w:tc>
      </w:tr>
    </w:tbl>
    <w:p>
      <w:pPr>
        <w:spacing w:before="51"/>
        <w:ind w:left="1114" w:right="8950" w:firstLine="0"/>
        <w:jc w:val="center"/>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3"/>
        <w:rPr>
          <w:rFonts w:ascii="宋体" w:hAnsi="宋体" w:cs="宋体" w:eastAsia="宋体" w:hint="default"/>
          <w:sz w:val="22"/>
          <w:szCs w:val="22"/>
        </w:rPr>
      </w:pPr>
    </w:p>
    <w:p>
      <w:pPr>
        <w:spacing w:before="0"/>
        <w:ind w:left="1114" w:right="875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）质押借款</w:t>
      </w:r>
    </w:p>
    <w:p>
      <w:pPr>
        <w:spacing w:line="240" w:lineRule="auto" w:before="12"/>
        <w:rPr>
          <w:rFonts w:ascii="宋体" w:hAnsi="宋体" w:cs="宋体" w:eastAsia="宋体" w:hint="default"/>
          <w:sz w:val="11"/>
          <w:szCs w:val="11"/>
        </w:rPr>
      </w:pPr>
    </w:p>
    <w:tbl>
      <w:tblPr>
        <w:tblW w:w="0" w:type="auto"/>
        <w:jc w:val="left"/>
        <w:tblInd w:w="1126" w:type="dxa"/>
        <w:tblLayout w:type="fixed"/>
        <w:tblCellMar>
          <w:top w:w="0" w:type="dxa"/>
          <w:left w:w="0" w:type="dxa"/>
          <w:bottom w:w="0" w:type="dxa"/>
          <w:right w:w="0" w:type="dxa"/>
        </w:tblCellMar>
        <w:tblLook w:val="01E0"/>
      </w:tblPr>
      <w:tblGrid>
        <w:gridCol w:w="1655"/>
        <w:gridCol w:w="1164"/>
        <w:gridCol w:w="1164"/>
        <w:gridCol w:w="1064"/>
        <w:gridCol w:w="1033"/>
        <w:gridCol w:w="1366"/>
        <w:gridCol w:w="1277"/>
      </w:tblGrid>
      <w:tr>
        <w:trPr>
          <w:trHeight w:val="355" w:hRule="exact"/>
        </w:trPr>
        <w:tc>
          <w:tcPr>
            <w:tcW w:w="1655" w:type="dxa"/>
            <w:vMerge w:val="restart"/>
            <w:tcBorders>
              <w:top w:val="single" w:sz="6" w:space="0" w:color="000000"/>
              <w:left w:val="single" w:sz="6" w:space="0" w:color="000000"/>
              <w:right w:val="single" w:sz="6" w:space="0" w:color="000000"/>
            </w:tcBorders>
          </w:tcPr>
          <w:p>
            <w:pPr>
              <w:pStyle w:val="TableParagraph"/>
              <w:spacing w:line="240" w:lineRule="auto" w:before="20"/>
              <w:ind w:left="458"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164" w:type="dxa"/>
            <w:vMerge w:val="restart"/>
            <w:tcBorders>
              <w:top w:val="single" w:sz="6" w:space="0" w:color="000000"/>
              <w:left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b/>
                <w:bCs/>
                <w:sz w:val="18"/>
                <w:szCs w:val="18"/>
              </w:rPr>
              <w:t>借款起始日</w:t>
            </w:r>
            <w:r>
              <w:rPr>
                <w:rFonts w:ascii="宋体" w:hAnsi="宋体" w:cs="宋体" w:eastAsia="宋体" w:hint="default"/>
                <w:sz w:val="18"/>
                <w:szCs w:val="18"/>
              </w:rPr>
            </w:r>
          </w:p>
        </w:tc>
        <w:tc>
          <w:tcPr>
            <w:tcW w:w="1164" w:type="dxa"/>
            <w:vMerge w:val="restart"/>
            <w:tcBorders>
              <w:top w:val="single" w:sz="6" w:space="0" w:color="000000"/>
              <w:left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b/>
                <w:bCs/>
                <w:sz w:val="18"/>
                <w:szCs w:val="18"/>
              </w:rPr>
              <w:t>借款终止日</w:t>
            </w:r>
            <w:r>
              <w:rPr>
                <w:rFonts w:ascii="宋体" w:hAnsi="宋体" w:cs="宋体" w:eastAsia="宋体" w:hint="default"/>
                <w:sz w:val="18"/>
                <w:szCs w:val="18"/>
              </w:rPr>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b/>
                <w:bCs/>
                <w:sz w:val="18"/>
                <w:szCs w:val="18"/>
              </w:rPr>
              <w:t>利率（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2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275"/>
              <w:jc w:val="right"/>
              <w:rPr>
                <w:rFonts w:ascii="宋体" w:hAnsi="宋体" w:cs="宋体" w:eastAsia="宋体" w:hint="default"/>
                <w:sz w:val="18"/>
                <w:szCs w:val="18"/>
              </w:rPr>
            </w:pPr>
            <w:r>
              <w:rPr>
                <w:rFonts w:ascii="宋体" w:hAnsi="宋体" w:cs="宋体" w:eastAsia="宋体" w:hint="default"/>
                <w:b/>
                <w:bCs/>
                <w:w w:val="95"/>
                <w:sz w:val="18"/>
                <w:szCs w:val="18"/>
              </w:rPr>
              <w:t>年初金额</w:t>
            </w:r>
            <w:r>
              <w:rPr>
                <w:rFonts w:ascii="宋体" w:hAnsi="宋体" w:cs="宋体" w:eastAsia="宋体" w:hint="default"/>
                <w:sz w:val="18"/>
                <w:szCs w:val="18"/>
              </w:rPr>
            </w:r>
          </w:p>
        </w:tc>
      </w:tr>
      <w:tr>
        <w:trPr>
          <w:trHeight w:val="352" w:hRule="exact"/>
        </w:trPr>
        <w:tc>
          <w:tcPr>
            <w:tcW w:w="1655" w:type="dxa"/>
            <w:vMerge/>
            <w:tcBorders>
              <w:left w:val="single" w:sz="6" w:space="0" w:color="000000"/>
              <w:bottom w:val="single" w:sz="12" w:space="0" w:color="000000"/>
              <w:right w:val="single" w:sz="6" w:space="0" w:color="000000"/>
            </w:tcBorders>
          </w:tcPr>
          <w:p>
            <w:pPr/>
          </w:p>
        </w:tc>
        <w:tc>
          <w:tcPr>
            <w:tcW w:w="1164" w:type="dxa"/>
            <w:vMerge/>
            <w:tcBorders>
              <w:left w:val="single" w:sz="6" w:space="0" w:color="000000"/>
              <w:bottom w:val="single" w:sz="12" w:space="0" w:color="000000"/>
              <w:right w:val="single" w:sz="6" w:space="0" w:color="000000"/>
            </w:tcBorders>
          </w:tcPr>
          <w:p>
            <w:pPr/>
          </w:p>
        </w:tc>
        <w:tc>
          <w:tcPr>
            <w:tcW w:w="1164" w:type="dxa"/>
            <w:vMerge/>
            <w:tcBorders>
              <w:left w:val="single" w:sz="6" w:space="0" w:color="000000"/>
              <w:bottom w:val="single" w:sz="12" w:space="0" w:color="000000"/>
              <w:right w:val="single" w:sz="6" w:space="0" w:color="000000"/>
            </w:tcBorders>
          </w:tcPr>
          <w:p>
            <w:pPr/>
          </w:p>
        </w:tc>
        <w:tc>
          <w:tcPr>
            <w:tcW w:w="1064" w:type="dxa"/>
            <w:vMerge/>
            <w:tcBorders>
              <w:left w:val="single" w:sz="6" w:space="0" w:color="000000"/>
              <w:bottom w:val="single" w:sz="12" w:space="0" w:color="000000"/>
              <w:right w:val="single" w:sz="6" w:space="0" w:color="000000"/>
            </w:tcBorders>
          </w:tcPr>
          <w:p>
            <w:pPr/>
          </w:p>
        </w:tc>
        <w:tc>
          <w:tcPr>
            <w:tcW w:w="1033" w:type="dxa"/>
            <w:vMerge/>
            <w:tcBorders>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75"/>
              <w:jc w:val="right"/>
              <w:rPr>
                <w:rFonts w:ascii="宋体" w:hAnsi="宋体" w:cs="宋体" w:eastAsia="宋体" w:hint="default"/>
                <w:sz w:val="18"/>
                <w:szCs w:val="18"/>
              </w:rPr>
            </w:pPr>
            <w:r>
              <w:rPr>
                <w:rFonts w:ascii="宋体" w:hAnsi="宋体" w:cs="宋体" w:eastAsia="宋体" w:hint="default"/>
                <w:b/>
                <w:bCs/>
                <w:w w:val="95"/>
                <w:sz w:val="18"/>
                <w:szCs w:val="18"/>
              </w:rPr>
              <w:t>本币金额</w:t>
            </w:r>
            <w:r>
              <w:rPr>
                <w:rFonts w:ascii="宋体" w:hAnsi="宋体" w:cs="宋体" w:eastAsia="宋体" w:hint="default"/>
                <w:sz w:val="18"/>
                <w:szCs w:val="18"/>
              </w:rPr>
            </w:r>
          </w:p>
        </w:tc>
      </w:tr>
      <w:tr>
        <w:trPr>
          <w:trHeight w:val="664"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6"/>
              <w:jc w:val="left"/>
              <w:rPr>
                <w:rFonts w:ascii="宋体" w:hAnsi="宋体" w:cs="宋体" w:eastAsia="宋体" w:hint="default"/>
                <w:sz w:val="18"/>
                <w:szCs w:val="18"/>
              </w:rPr>
            </w:pPr>
            <w:r>
              <w:rPr>
                <w:rFonts w:ascii="宋体" w:hAnsi="宋体" w:cs="宋体" w:eastAsia="宋体" w:hint="default"/>
                <w:sz w:val="18"/>
                <w:szCs w:val="18"/>
              </w:rPr>
              <w:t>中国农业银行苏州分 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2015/7/14</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2016/1/13</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75" w:right="0"/>
              <w:jc w:val="left"/>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9,700,000.00</w:t>
            </w:r>
          </w:p>
        </w:tc>
        <w:tc>
          <w:tcPr>
            <w:tcW w:w="127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4" w:type="dxa"/>
            <w:tcBorders>
              <w:top w:val="single" w:sz="12" w:space="0" w:color="000000"/>
              <w:left w:val="single" w:sz="6" w:space="0" w:color="000000"/>
              <w:bottom w:val="single" w:sz="12" w:space="0" w:color="000000"/>
              <w:right w:val="single" w:sz="6" w:space="0" w:color="000000"/>
            </w:tcBorders>
          </w:tcPr>
          <w:p>
            <w:pPr/>
          </w:p>
        </w:tc>
        <w:tc>
          <w:tcPr>
            <w:tcW w:w="1164" w:type="dxa"/>
            <w:tcBorders>
              <w:top w:val="single" w:sz="12" w:space="0" w:color="000000"/>
              <w:left w:val="single" w:sz="6" w:space="0" w:color="000000"/>
              <w:bottom w:val="single" w:sz="12" w:space="0" w:color="000000"/>
              <w:right w:val="single" w:sz="6" w:space="0" w:color="000000"/>
            </w:tcBorders>
          </w:tcPr>
          <w:p>
            <w:pPr/>
          </w:p>
        </w:tc>
        <w:tc>
          <w:tcPr>
            <w:tcW w:w="1064" w:type="dxa"/>
            <w:tcBorders>
              <w:top w:val="single" w:sz="12" w:space="0" w:color="000000"/>
              <w:left w:val="single" w:sz="6" w:space="0" w:color="000000"/>
              <w:bottom w:val="single" w:sz="12" w:space="0" w:color="000000"/>
              <w:right w:val="single" w:sz="6" w:space="0" w:color="000000"/>
            </w:tcBorders>
          </w:tcPr>
          <w:p>
            <w:pPr/>
          </w:p>
        </w:tc>
        <w:tc>
          <w:tcPr>
            <w:tcW w:w="1033"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b/>
                <w:spacing w:val="-1"/>
                <w:sz w:val="18"/>
              </w:rPr>
              <w:t>9,700,000.00</w:t>
            </w:r>
            <w:r>
              <w:rPr>
                <w:rFonts w:ascii="Times New Roman"/>
                <w:spacing w:val="-1"/>
                <w:sz w:val="18"/>
              </w:rPr>
            </w:r>
          </w:p>
        </w:tc>
        <w:tc>
          <w:tcPr>
            <w:tcW w:w="1277"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14"/>
          <w:szCs w:val="14"/>
        </w:rPr>
      </w:pPr>
    </w:p>
    <w:p>
      <w:pPr>
        <w:spacing w:before="35"/>
        <w:ind w:left="1194" w:right="103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抵押借款明细</w:t>
      </w:r>
    </w:p>
    <w:p>
      <w:pPr>
        <w:spacing w:line="240" w:lineRule="auto" w:before="2"/>
        <w:rPr>
          <w:rFonts w:ascii="宋体" w:hAnsi="宋体" w:cs="宋体" w:eastAsia="宋体" w:hint="default"/>
          <w:sz w:val="13"/>
          <w:szCs w:val="13"/>
        </w:rPr>
      </w:pPr>
    </w:p>
    <w:tbl>
      <w:tblPr>
        <w:tblW w:w="0" w:type="auto"/>
        <w:jc w:val="left"/>
        <w:tblInd w:w="1126" w:type="dxa"/>
        <w:tblLayout w:type="fixed"/>
        <w:tblCellMar>
          <w:top w:w="0" w:type="dxa"/>
          <w:left w:w="0" w:type="dxa"/>
          <w:bottom w:w="0" w:type="dxa"/>
          <w:right w:w="0" w:type="dxa"/>
        </w:tblCellMar>
        <w:tblLook w:val="01E0"/>
      </w:tblPr>
      <w:tblGrid>
        <w:gridCol w:w="1655"/>
        <w:gridCol w:w="1164"/>
        <w:gridCol w:w="1164"/>
        <w:gridCol w:w="1064"/>
        <w:gridCol w:w="1033"/>
        <w:gridCol w:w="1366"/>
        <w:gridCol w:w="1277"/>
      </w:tblGrid>
      <w:tr>
        <w:trPr>
          <w:trHeight w:val="355" w:hRule="exact"/>
        </w:trPr>
        <w:tc>
          <w:tcPr>
            <w:tcW w:w="1655" w:type="dxa"/>
            <w:vMerge w:val="restart"/>
            <w:tcBorders>
              <w:top w:val="single" w:sz="6" w:space="0" w:color="000000"/>
              <w:left w:val="single" w:sz="6" w:space="0" w:color="000000"/>
              <w:right w:val="single" w:sz="6" w:space="0" w:color="000000"/>
            </w:tcBorders>
          </w:tcPr>
          <w:p>
            <w:pPr>
              <w:pStyle w:val="TableParagraph"/>
              <w:spacing w:line="240" w:lineRule="auto" w:before="21"/>
              <w:ind w:left="458"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164" w:type="dxa"/>
            <w:vMerge w:val="restart"/>
            <w:tcBorders>
              <w:top w:val="single" w:sz="6" w:space="0" w:color="000000"/>
              <w:left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借款起始日</w:t>
            </w:r>
            <w:r>
              <w:rPr>
                <w:rFonts w:ascii="宋体" w:hAnsi="宋体" w:cs="宋体" w:eastAsia="宋体" w:hint="default"/>
                <w:sz w:val="18"/>
                <w:szCs w:val="18"/>
              </w:rPr>
            </w:r>
          </w:p>
        </w:tc>
        <w:tc>
          <w:tcPr>
            <w:tcW w:w="1164" w:type="dxa"/>
            <w:vMerge w:val="restart"/>
            <w:tcBorders>
              <w:top w:val="single" w:sz="6" w:space="0" w:color="000000"/>
              <w:left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借款终止日</w:t>
            </w:r>
            <w:r>
              <w:rPr>
                <w:rFonts w:ascii="宋体" w:hAnsi="宋体" w:cs="宋体" w:eastAsia="宋体" w:hint="default"/>
                <w:sz w:val="18"/>
                <w:szCs w:val="18"/>
              </w:rPr>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b/>
                <w:bCs/>
                <w:sz w:val="18"/>
                <w:szCs w:val="18"/>
              </w:rPr>
              <w:t>利率（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2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275"/>
              <w:jc w:val="right"/>
              <w:rPr>
                <w:rFonts w:ascii="宋体" w:hAnsi="宋体" w:cs="宋体" w:eastAsia="宋体" w:hint="default"/>
                <w:sz w:val="18"/>
                <w:szCs w:val="18"/>
              </w:rPr>
            </w:pPr>
            <w:r>
              <w:rPr>
                <w:rFonts w:ascii="宋体" w:hAnsi="宋体" w:cs="宋体" w:eastAsia="宋体" w:hint="default"/>
                <w:b/>
                <w:bCs/>
                <w:w w:val="95"/>
                <w:sz w:val="18"/>
                <w:szCs w:val="18"/>
              </w:rPr>
              <w:t>年初金额</w:t>
            </w:r>
            <w:r>
              <w:rPr>
                <w:rFonts w:ascii="宋体" w:hAnsi="宋体" w:cs="宋体" w:eastAsia="宋体" w:hint="default"/>
                <w:sz w:val="18"/>
                <w:szCs w:val="18"/>
              </w:rPr>
            </w:r>
          </w:p>
        </w:tc>
      </w:tr>
      <w:tr>
        <w:trPr>
          <w:trHeight w:val="352" w:hRule="exact"/>
        </w:trPr>
        <w:tc>
          <w:tcPr>
            <w:tcW w:w="1655" w:type="dxa"/>
            <w:vMerge/>
            <w:tcBorders>
              <w:left w:val="single" w:sz="6" w:space="0" w:color="000000"/>
              <w:bottom w:val="single" w:sz="12" w:space="0" w:color="000000"/>
              <w:right w:val="single" w:sz="6" w:space="0" w:color="000000"/>
            </w:tcBorders>
          </w:tcPr>
          <w:p>
            <w:pPr/>
          </w:p>
        </w:tc>
        <w:tc>
          <w:tcPr>
            <w:tcW w:w="1164" w:type="dxa"/>
            <w:vMerge/>
            <w:tcBorders>
              <w:left w:val="single" w:sz="6" w:space="0" w:color="000000"/>
              <w:bottom w:val="single" w:sz="12" w:space="0" w:color="000000"/>
              <w:right w:val="single" w:sz="6" w:space="0" w:color="000000"/>
            </w:tcBorders>
          </w:tcPr>
          <w:p>
            <w:pPr/>
          </w:p>
        </w:tc>
        <w:tc>
          <w:tcPr>
            <w:tcW w:w="1164" w:type="dxa"/>
            <w:vMerge/>
            <w:tcBorders>
              <w:left w:val="single" w:sz="6" w:space="0" w:color="000000"/>
              <w:bottom w:val="single" w:sz="12" w:space="0" w:color="000000"/>
              <w:right w:val="single" w:sz="6" w:space="0" w:color="000000"/>
            </w:tcBorders>
          </w:tcPr>
          <w:p>
            <w:pPr/>
          </w:p>
        </w:tc>
        <w:tc>
          <w:tcPr>
            <w:tcW w:w="1064" w:type="dxa"/>
            <w:vMerge/>
            <w:tcBorders>
              <w:left w:val="single" w:sz="6" w:space="0" w:color="000000"/>
              <w:bottom w:val="single" w:sz="12" w:space="0" w:color="000000"/>
              <w:right w:val="single" w:sz="6" w:space="0" w:color="000000"/>
            </w:tcBorders>
          </w:tcPr>
          <w:p>
            <w:pPr/>
          </w:p>
        </w:tc>
        <w:tc>
          <w:tcPr>
            <w:tcW w:w="1033" w:type="dxa"/>
            <w:vMerge/>
            <w:tcBorders>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75"/>
              <w:jc w:val="right"/>
              <w:rPr>
                <w:rFonts w:ascii="宋体" w:hAnsi="宋体" w:cs="宋体" w:eastAsia="宋体" w:hint="default"/>
                <w:sz w:val="18"/>
                <w:szCs w:val="18"/>
              </w:rPr>
            </w:pPr>
            <w:r>
              <w:rPr>
                <w:rFonts w:ascii="宋体" w:hAnsi="宋体" w:cs="宋体" w:eastAsia="宋体" w:hint="default"/>
                <w:b/>
                <w:bCs/>
                <w:w w:val="95"/>
                <w:sz w:val="18"/>
                <w:szCs w:val="18"/>
              </w:rPr>
              <w:t>本币金额</w:t>
            </w:r>
            <w:r>
              <w:rPr>
                <w:rFonts w:ascii="宋体" w:hAnsi="宋体" w:cs="宋体" w:eastAsia="宋体" w:hint="default"/>
                <w:sz w:val="18"/>
                <w:szCs w:val="18"/>
              </w:rPr>
            </w:r>
          </w:p>
        </w:tc>
      </w:tr>
      <w:tr>
        <w:trPr>
          <w:trHeight w:val="665"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6"/>
              <w:jc w:val="left"/>
              <w:rPr>
                <w:rFonts w:ascii="宋体" w:hAnsi="宋体" w:cs="宋体" w:eastAsia="宋体" w:hint="default"/>
                <w:sz w:val="18"/>
                <w:szCs w:val="18"/>
              </w:rPr>
            </w:pPr>
            <w:r>
              <w:rPr>
                <w:rFonts w:ascii="宋体" w:hAnsi="宋体" w:cs="宋体" w:eastAsia="宋体" w:hint="default"/>
                <w:sz w:val="18"/>
                <w:szCs w:val="18"/>
              </w:rPr>
              <w:t>江苏江阴农村商业银 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08"/>
              <w:jc w:val="right"/>
              <w:rPr>
                <w:rFonts w:ascii="Times New Roman" w:hAnsi="Times New Roman" w:cs="Times New Roman" w:eastAsia="Times New Roman" w:hint="default"/>
                <w:sz w:val="18"/>
                <w:szCs w:val="18"/>
              </w:rPr>
            </w:pPr>
            <w:r>
              <w:rPr>
                <w:rFonts w:ascii="Times New Roman"/>
                <w:sz w:val="18"/>
              </w:rPr>
              <w:t>2015/4/23</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2018/4/22</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6.85%</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1277"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浦发银行江阴支行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08"/>
              <w:jc w:val="right"/>
              <w:rPr>
                <w:rFonts w:ascii="Times New Roman" w:hAnsi="Times New Roman" w:cs="Times New Roman" w:eastAsia="Times New Roman" w:hint="default"/>
                <w:sz w:val="18"/>
                <w:szCs w:val="18"/>
              </w:rPr>
            </w:pPr>
            <w:r>
              <w:rPr>
                <w:rFonts w:ascii="Times New Roman"/>
                <w:sz w:val="18"/>
              </w:rPr>
              <w:t>2015/5/28</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2016/5/28</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6.12%</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8,000,000.00</w:t>
            </w:r>
          </w:p>
        </w:tc>
        <w:tc>
          <w:tcPr>
            <w:tcW w:w="1277"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655"/>
        <w:gridCol w:w="1164"/>
        <w:gridCol w:w="1164"/>
        <w:gridCol w:w="1064"/>
        <w:gridCol w:w="1033"/>
        <w:gridCol w:w="1366"/>
        <w:gridCol w:w="1277"/>
      </w:tblGrid>
      <w:tr>
        <w:trPr>
          <w:trHeight w:val="355" w:hRule="exact"/>
        </w:trPr>
        <w:tc>
          <w:tcPr>
            <w:tcW w:w="16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浦发银行江阴支行</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2015/6/16</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2016/6/16</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275"/>
              <w:jc w:val="right"/>
              <w:rPr>
                <w:rFonts w:ascii="Times New Roman" w:hAnsi="Times New Roman" w:cs="Times New Roman" w:eastAsia="Times New Roman" w:hint="default"/>
                <w:sz w:val="18"/>
                <w:szCs w:val="18"/>
              </w:rPr>
            </w:pPr>
            <w:r>
              <w:rPr>
                <w:rFonts w:ascii="Times New Roman"/>
                <w:sz w:val="18"/>
              </w:rPr>
              <w:t>6.12%</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6" w:space="0" w:color="000000"/>
              <w:left w:val="single" w:sz="6" w:space="0" w:color="000000"/>
              <w:bottom w:val="single" w:sz="12" w:space="0" w:color="000000"/>
              <w:right w:val="nil" w:sz="6" w:space="0" w:color="auto"/>
            </w:tcBorders>
          </w:tcPr>
          <w:p>
            <w:pPr/>
          </w:p>
        </w:tc>
      </w:tr>
      <w:tr>
        <w:trPr>
          <w:trHeight w:val="664"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6"/>
              <w:jc w:val="left"/>
              <w:rPr>
                <w:rFonts w:ascii="宋体" w:hAnsi="宋体" w:cs="宋体" w:eastAsia="宋体" w:hint="default"/>
                <w:sz w:val="18"/>
                <w:szCs w:val="18"/>
              </w:rPr>
            </w:pPr>
            <w:r>
              <w:rPr>
                <w:rFonts w:ascii="宋体" w:hAnsi="宋体" w:cs="宋体" w:eastAsia="宋体" w:hint="default"/>
                <w:sz w:val="18"/>
                <w:szCs w:val="18"/>
              </w:rPr>
              <w:t>中国建设银行股份有 限公司成都第一支行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2015/9/25</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2016/9/24</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4.83%</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8,000,000.00</w:t>
            </w:r>
          </w:p>
        </w:tc>
        <w:tc>
          <w:tcPr>
            <w:tcW w:w="1277"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16"/>
              <w:jc w:val="left"/>
              <w:rPr>
                <w:rFonts w:ascii="宋体" w:hAnsi="宋体" w:cs="宋体" w:eastAsia="宋体" w:hint="default"/>
                <w:sz w:val="18"/>
                <w:szCs w:val="18"/>
              </w:rPr>
            </w:pPr>
            <w:r>
              <w:rPr>
                <w:rFonts w:ascii="宋体" w:hAnsi="宋体" w:cs="宋体" w:eastAsia="宋体" w:hint="default"/>
                <w:sz w:val="18"/>
                <w:szCs w:val="18"/>
              </w:rPr>
              <w:t>中国建设银行股份有 限公司成都第一支行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2015/9/23</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2016/9/22</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4.83%</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8,000,000.00</w:t>
            </w:r>
          </w:p>
        </w:tc>
        <w:tc>
          <w:tcPr>
            <w:tcW w:w="1277"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6"/>
              <w:jc w:val="left"/>
              <w:rPr>
                <w:rFonts w:ascii="宋体" w:hAnsi="宋体" w:cs="宋体" w:eastAsia="宋体" w:hint="default"/>
                <w:sz w:val="18"/>
                <w:szCs w:val="18"/>
              </w:rPr>
            </w:pPr>
            <w:r>
              <w:rPr>
                <w:rFonts w:ascii="宋体" w:hAnsi="宋体" w:cs="宋体" w:eastAsia="宋体" w:hint="default"/>
                <w:sz w:val="18"/>
                <w:szCs w:val="18"/>
              </w:rPr>
              <w:t>中国建设银行股份有 限公司成都第一支行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2015/9/25</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2016/9/24</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4.83%</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4,000,000.00</w:t>
            </w:r>
          </w:p>
        </w:tc>
        <w:tc>
          <w:tcPr>
            <w:tcW w:w="1277"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6"/>
              <w:jc w:val="left"/>
              <w:rPr>
                <w:rFonts w:ascii="宋体" w:hAnsi="宋体" w:cs="宋体" w:eastAsia="宋体" w:hint="default"/>
                <w:sz w:val="18"/>
                <w:szCs w:val="18"/>
              </w:rPr>
            </w:pPr>
            <w:r>
              <w:rPr>
                <w:rFonts w:ascii="宋体" w:hAnsi="宋体" w:cs="宋体" w:eastAsia="宋体" w:hint="default"/>
                <w:sz w:val="18"/>
                <w:szCs w:val="18"/>
              </w:rPr>
              <w:t>中国建设银行股份有 限公司成都第一支行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2014/5/26</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2015/1/20</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6.30%</w:t>
            </w:r>
          </w:p>
        </w:tc>
        <w:tc>
          <w:tcPr>
            <w:tcW w:w="1366"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665"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6"/>
              <w:jc w:val="left"/>
              <w:rPr>
                <w:rFonts w:ascii="宋体" w:hAnsi="宋体" w:cs="宋体" w:eastAsia="宋体" w:hint="default"/>
                <w:sz w:val="18"/>
                <w:szCs w:val="18"/>
              </w:rPr>
            </w:pPr>
            <w:r>
              <w:rPr>
                <w:rFonts w:ascii="宋体" w:hAnsi="宋体" w:cs="宋体" w:eastAsia="宋体" w:hint="default"/>
                <w:sz w:val="18"/>
                <w:szCs w:val="18"/>
              </w:rPr>
              <w:t>中国建设银行股份有 限公司成都第一支行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2014/11/10</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2015/11/9</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6.30%</w:t>
            </w:r>
          </w:p>
        </w:tc>
        <w:tc>
          <w:tcPr>
            <w:tcW w:w="1366"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664"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6"/>
              <w:jc w:val="left"/>
              <w:rPr>
                <w:rFonts w:ascii="宋体" w:hAnsi="宋体" w:cs="宋体" w:eastAsia="宋体" w:hint="default"/>
                <w:sz w:val="18"/>
                <w:szCs w:val="18"/>
              </w:rPr>
            </w:pPr>
            <w:r>
              <w:rPr>
                <w:rFonts w:ascii="宋体" w:hAnsi="宋体" w:cs="宋体" w:eastAsia="宋体" w:hint="default"/>
                <w:sz w:val="18"/>
                <w:szCs w:val="18"/>
              </w:rPr>
              <w:t>中国建设银行股份有 限公司成都第一支行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2014/11/7</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2015/11/6</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6.30%</w:t>
            </w:r>
          </w:p>
        </w:tc>
        <w:tc>
          <w:tcPr>
            <w:tcW w:w="1366"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664"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6"/>
              <w:jc w:val="left"/>
              <w:rPr>
                <w:rFonts w:ascii="宋体" w:hAnsi="宋体" w:cs="宋体" w:eastAsia="宋体" w:hint="default"/>
                <w:sz w:val="18"/>
                <w:szCs w:val="18"/>
              </w:rPr>
            </w:pPr>
            <w:r>
              <w:rPr>
                <w:rFonts w:ascii="宋体" w:hAnsi="宋体" w:cs="宋体" w:eastAsia="宋体" w:hint="default"/>
                <w:sz w:val="18"/>
                <w:szCs w:val="18"/>
              </w:rPr>
              <w:t>中国建设银行股份有 限公司成都第一支行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2014/10/30</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2015/10/29</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6.30%</w:t>
            </w:r>
          </w:p>
        </w:tc>
        <w:tc>
          <w:tcPr>
            <w:tcW w:w="1366"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53"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浦发银行江阴支行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2014/5/26</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2015/5/26</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6.60%</w:t>
            </w:r>
          </w:p>
        </w:tc>
        <w:tc>
          <w:tcPr>
            <w:tcW w:w="1366"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52"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江阴农商行顾山支行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2014/4/5</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2015/4/5</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6.60%</w:t>
            </w:r>
          </w:p>
        </w:tc>
        <w:tc>
          <w:tcPr>
            <w:tcW w:w="1366"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664"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6"/>
              <w:jc w:val="left"/>
              <w:rPr>
                <w:rFonts w:ascii="宋体" w:hAnsi="宋体" w:cs="宋体" w:eastAsia="宋体" w:hint="default"/>
                <w:sz w:val="18"/>
                <w:szCs w:val="18"/>
              </w:rPr>
            </w:pPr>
            <w:r>
              <w:rPr>
                <w:rFonts w:ascii="宋体" w:hAnsi="宋体" w:cs="宋体" w:eastAsia="宋体" w:hint="default"/>
                <w:sz w:val="18"/>
                <w:szCs w:val="18"/>
              </w:rPr>
              <w:t>中信银行江阴周庄支 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2014/5/20</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2015/5/15</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6.90%</w:t>
            </w:r>
          </w:p>
        </w:tc>
        <w:tc>
          <w:tcPr>
            <w:tcW w:w="1366"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353"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江阴农商行顾山支行</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2014/10/8</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2015/4/5</w:t>
            </w: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6.72%</w:t>
            </w:r>
          </w:p>
        </w:tc>
        <w:tc>
          <w:tcPr>
            <w:tcW w:w="1366"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52" w:hRule="exact"/>
        </w:trPr>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4" w:type="dxa"/>
            <w:tcBorders>
              <w:top w:val="single" w:sz="12" w:space="0" w:color="000000"/>
              <w:left w:val="single" w:sz="6" w:space="0" w:color="000000"/>
              <w:bottom w:val="single" w:sz="12" w:space="0" w:color="000000"/>
              <w:right w:val="single" w:sz="6" w:space="0" w:color="000000"/>
            </w:tcBorders>
          </w:tcPr>
          <w:p>
            <w:pPr/>
          </w:p>
        </w:tc>
        <w:tc>
          <w:tcPr>
            <w:tcW w:w="1164" w:type="dxa"/>
            <w:tcBorders>
              <w:top w:val="single" w:sz="12" w:space="0" w:color="000000"/>
              <w:left w:val="single" w:sz="6" w:space="0" w:color="000000"/>
              <w:bottom w:val="single" w:sz="12" w:space="0" w:color="000000"/>
              <w:right w:val="single" w:sz="6" w:space="0" w:color="000000"/>
            </w:tcBorders>
          </w:tcPr>
          <w:p>
            <w:pPr/>
          </w:p>
        </w:tc>
        <w:tc>
          <w:tcPr>
            <w:tcW w:w="1064" w:type="dxa"/>
            <w:tcBorders>
              <w:top w:val="single" w:sz="12" w:space="0" w:color="000000"/>
              <w:left w:val="single" w:sz="6" w:space="0" w:color="000000"/>
              <w:bottom w:val="single" w:sz="12" w:space="0" w:color="000000"/>
              <w:right w:val="single" w:sz="6" w:space="0" w:color="000000"/>
            </w:tcBorders>
          </w:tcPr>
          <w:p>
            <w:pPr/>
          </w:p>
        </w:tc>
        <w:tc>
          <w:tcPr>
            <w:tcW w:w="1033"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b/>
                <w:spacing w:val="-1"/>
                <w:sz w:val="18"/>
              </w:rPr>
              <w:t>68,000,000.00</w:t>
            </w:r>
            <w:r>
              <w:rPr>
                <w:rFonts w:ascii="Times New Roman"/>
                <w:spacing w:val="-1"/>
                <w:sz w:val="18"/>
              </w:rPr>
            </w:r>
          </w:p>
        </w:tc>
        <w:tc>
          <w:tcPr>
            <w:tcW w:w="1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7"/>
              <w:jc w:val="right"/>
              <w:rPr>
                <w:rFonts w:ascii="Times New Roman" w:hAnsi="Times New Roman" w:cs="Times New Roman" w:eastAsia="Times New Roman" w:hint="default"/>
                <w:sz w:val="18"/>
                <w:szCs w:val="18"/>
              </w:rPr>
            </w:pPr>
            <w:r>
              <w:rPr>
                <w:rFonts w:ascii="Times New Roman"/>
                <w:b/>
                <w:spacing w:val="-1"/>
                <w:sz w:val="18"/>
              </w:rPr>
              <w:t>80,500,000.00</w:t>
            </w:r>
            <w:r>
              <w:rPr>
                <w:rFonts w:ascii="Times New Roman"/>
                <w:spacing w:val="-1"/>
                <w:sz w:val="18"/>
              </w:rPr>
            </w:r>
          </w:p>
        </w:tc>
      </w:tr>
    </w:tbl>
    <w:p>
      <w:pPr>
        <w:spacing w:line="240" w:lineRule="auto" w:before="7"/>
        <w:rPr>
          <w:rFonts w:ascii="宋体" w:hAnsi="宋体" w:cs="宋体" w:eastAsia="宋体" w:hint="default"/>
          <w:sz w:val="14"/>
          <w:szCs w:val="14"/>
        </w:rPr>
      </w:pPr>
    </w:p>
    <w:p>
      <w:pPr>
        <w:spacing w:before="35"/>
        <w:ind w:left="1215" w:right="103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保证借款明细</w:t>
      </w:r>
    </w:p>
    <w:p>
      <w:pPr>
        <w:spacing w:line="240" w:lineRule="auto" w:before="12"/>
        <w:rPr>
          <w:rFonts w:ascii="宋体" w:hAnsi="宋体" w:cs="宋体" w:eastAsia="宋体" w:hint="default"/>
          <w:sz w:val="18"/>
          <w:szCs w:val="18"/>
        </w:rPr>
      </w:pPr>
    </w:p>
    <w:tbl>
      <w:tblPr>
        <w:tblW w:w="0" w:type="auto"/>
        <w:jc w:val="left"/>
        <w:tblInd w:w="1119" w:type="dxa"/>
        <w:tblLayout w:type="fixed"/>
        <w:tblCellMar>
          <w:top w:w="0" w:type="dxa"/>
          <w:left w:w="0" w:type="dxa"/>
          <w:bottom w:w="0" w:type="dxa"/>
          <w:right w:w="0" w:type="dxa"/>
        </w:tblCellMar>
        <w:tblLook w:val="01E0"/>
      </w:tblPr>
      <w:tblGrid>
        <w:gridCol w:w="1737"/>
        <w:gridCol w:w="1136"/>
        <w:gridCol w:w="1249"/>
        <w:gridCol w:w="919"/>
        <w:gridCol w:w="1151"/>
        <w:gridCol w:w="1372"/>
        <w:gridCol w:w="1175"/>
      </w:tblGrid>
      <w:tr>
        <w:trPr>
          <w:trHeight w:val="272"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180" w:lineRule="exact"/>
              <w:ind w:left="489"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136" w:type="dxa"/>
            <w:tcBorders>
              <w:top w:val="nil" w:sz="6" w:space="0" w:color="auto"/>
              <w:left w:val="nil" w:sz="6" w:space="0" w:color="auto"/>
              <w:bottom w:val="nil" w:sz="6" w:space="0" w:color="auto"/>
              <w:right w:val="nil" w:sz="6" w:space="0" w:color="auto"/>
            </w:tcBorders>
          </w:tcPr>
          <w:p>
            <w:pPr>
              <w:pStyle w:val="TableParagraph"/>
              <w:spacing w:line="180" w:lineRule="exact"/>
              <w:ind w:left="92" w:right="0"/>
              <w:jc w:val="left"/>
              <w:rPr>
                <w:rFonts w:ascii="宋体" w:hAnsi="宋体" w:cs="宋体" w:eastAsia="宋体" w:hint="default"/>
                <w:sz w:val="18"/>
                <w:szCs w:val="18"/>
              </w:rPr>
            </w:pPr>
            <w:r>
              <w:rPr>
                <w:rFonts w:ascii="宋体" w:hAnsi="宋体" w:cs="宋体" w:eastAsia="宋体" w:hint="default"/>
                <w:b/>
                <w:bCs/>
                <w:sz w:val="18"/>
                <w:szCs w:val="18"/>
              </w:rPr>
              <w:t>借款起始日</w:t>
            </w:r>
            <w:r>
              <w:rPr>
                <w:rFonts w:ascii="宋体" w:hAnsi="宋体" w:cs="宋体" w:eastAsia="宋体" w:hint="default"/>
                <w:sz w:val="18"/>
                <w:szCs w:val="18"/>
              </w:rPr>
            </w:r>
          </w:p>
        </w:tc>
        <w:tc>
          <w:tcPr>
            <w:tcW w:w="1249" w:type="dxa"/>
            <w:tcBorders>
              <w:top w:val="nil" w:sz="6" w:space="0" w:color="auto"/>
              <w:left w:val="nil" w:sz="6" w:space="0" w:color="auto"/>
              <w:bottom w:val="nil" w:sz="6" w:space="0" w:color="auto"/>
              <w:right w:val="nil" w:sz="6" w:space="0" w:color="auto"/>
            </w:tcBorders>
          </w:tcPr>
          <w:p>
            <w:pPr>
              <w:pStyle w:val="TableParagraph"/>
              <w:spacing w:line="180" w:lineRule="exact"/>
              <w:ind w:right="64"/>
              <w:jc w:val="center"/>
              <w:rPr>
                <w:rFonts w:ascii="宋体" w:hAnsi="宋体" w:cs="宋体" w:eastAsia="宋体" w:hint="default"/>
                <w:sz w:val="18"/>
                <w:szCs w:val="18"/>
              </w:rPr>
            </w:pPr>
            <w:r>
              <w:rPr>
                <w:rFonts w:ascii="宋体" w:hAnsi="宋体" w:cs="宋体" w:eastAsia="宋体" w:hint="default"/>
                <w:b/>
                <w:bCs/>
                <w:sz w:val="18"/>
                <w:szCs w:val="18"/>
              </w:rPr>
              <w:t>借款终止日</w:t>
            </w:r>
            <w:r>
              <w:rPr>
                <w:rFonts w:ascii="宋体" w:hAnsi="宋体" w:cs="宋体" w:eastAsia="宋体" w:hint="default"/>
                <w:sz w:val="18"/>
                <w:szCs w:val="18"/>
              </w:rPr>
            </w:r>
          </w:p>
        </w:tc>
        <w:tc>
          <w:tcPr>
            <w:tcW w:w="919" w:type="dxa"/>
            <w:tcBorders>
              <w:top w:val="nil" w:sz="6" w:space="0" w:color="auto"/>
              <w:left w:val="nil" w:sz="6" w:space="0" w:color="auto"/>
              <w:bottom w:val="nil" w:sz="6" w:space="0" w:color="auto"/>
              <w:right w:val="nil" w:sz="6" w:space="0" w:color="auto"/>
            </w:tcBorders>
          </w:tcPr>
          <w:p>
            <w:pPr>
              <w:pStyle w:val="TableParagraph"/>
              <w:spacing w:line="180" w:lineRule="exact"/>
              <w:ind w:left="33" w:right="0"/>
              <w:jc w:val="center"/>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194" w:lineRule="exact"/>
              <w:ind w:left="97" w:right="0"/>
              <w:jc w:val="center"/>
              <w:rPr>
                <w:rFonts w:ascii="宋体" w:hAnsi="宋体" w:cs="宋体" w:eastAsia="宋体" w:hint="default"/>
                <w:sz w:val="18"/>
                <w:szCs w:val="18"/>
              </w:rPr>
            </w:pPr>
            <w:r>
              <w:rPr>
                <w:rFonts w:ascii="宋体" w:hAnsi="宋体" w:cs="宋体" w:eastAsia="宋体" w:hint="default"/>
                <w:b/>
                <w:bCs/>
                <w:sz w:val="18"/>
                <w:szCs w:val="18"/>
              </w:rPr>
              <w:t>利率（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72" w:type="dxa"/>
            <w:tcBorders>
              <w:top w:val="nil" w:sz="6" w:space="0" w:color="auto"/>
              <w:left w:val="nil" w:sz="6" w:space="0" w:color="auto"/>
              <w:bottom w:val="single" w:sz="12" w:space="0" w:color="000000"/>
              <w:right w:val="nil" w:sz="6" w:space="0" w:color="auto"/>
            </w:tcBorders>
          </w:tcPr>
          <w:p>
            <w:pPr>
              <w:pStyle w:val="TableParagraph"/>
              <w:spacing w:line="180"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175" w:type="dxa"/>
            <w:tcBorders>
              <w:top w:val="nil" w:sz="6" w:space="0" w:color="auto"/>
              <w:left w:val="nil" w:sz="6" w:space="0" w:color="auto"/>
              <w:bottom w:val="single" w:sz="12"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2" w:hRule="exact"/>
        </w:trPr>
        <w:tc>
          <w:tcPr>
            <w:tcW w:w="1737" w:type="dxa"/>
            <w:tcBorders>
              <w:top w:val="nil" w:sz="6" w:space="0" w:color="auto"/>
              <w:left w:val="nil" w:sz="6" w:space="0" w:color="auto"/>
              <w:bottom w:val="single" w:sz="12" w:space="0" w:color="000000"/>
              <w:right w:val="nil" w:sz="6" w:space="0" w:color="auto"/>
            </w:tcBorders>
          </w:tcPr>
          <w:p>
            <w:pPr/>
          </w:p>
        </w:tc>
        <w:tc>
          <w:tcPr>
            <w:tcW w:w="1136" w:type="dxa"/>
            <w:tcBorders>
              <w:top w:val="nil" w:sz="6" w:space="0" w:color="auto"/>
              <w:left w:val="nil" w:sz="6" w:space="0" w:color="auto"/>
              <w:bottom w:val="single" w:sz="12" w:space="0" w:color="000000"/>
              <w:right w:val="nil" w:sz="6" w:space="0" w:color="auto"/>
            </w:tcBorders>
          </w:tcPr>
          <w:p>
            <w:pPr/>
          </w:p>
        </w:tc>
        <w:tc>
          <w:tcPr>
            <w:tcW w:w="1249" w:type="dxa"/>
            <w:tcBorders>
              <w:top w:val="nil" w:sz="6" w:space="0" w:color="auto"/>
              <w:left w:val="nil" w:sz="6" w:space="0" w:color="auto"/>
              <w:bottom w:val="single" w:sz="12" w:space="0" w:color="000000"/>
              <w:right w:val="nil" w:sz="6" w:space="0" w:color="auto"/>
            </w:tcBorders>
          </w:tcPr>
          <w:p>
            <w:pPr/>
          </w:p>
        </w:tc>
        <w:tc>
          <w:tcPr>
            <w:tcW w:w="919" w:type="dxa"/>
            <w:tcBorders>
              <w:top w:val="nil" w:sz="6" w:space="0" w:color="auto"/>
              <w:left w:val="nil" w:sz="6" w:space="0" w:color="auto"/>
              <w:bottom w:val="single" w:sz="12" w:space="0" w:color="000000"/>
              <w:right w:val="nil" w:sz="6" w:space="0" w:color="auto"/>
            </w:tcBorders>
          </w:tcPr>
          <w:p>
            <w:pPr/>
          </w:p>
        </w:tc>
        <w:tc>
          <w:tcPr>
            <w:tcW w:w="1151" w:type="dxa"/>
            <w:tcBorders>
              <w:top w:val="nil" w:sz="6" w:space="0" w:color="auto"/>
              <w:left w:val="nil" w:sz="6" w:space="0" w:color="auto"/>
              <w:bottom w:val="single" w:sz="12" w:space="0" w:color="000000"/>
              <w:right w:val="nil" w:sz="6" w:space="0" w:color="auto"/>
            </w:tcBorders>
          </w:tcPr>
          <w:p>
            <w:pPr/>
          </w:p>
        </w:tc>
        <w:tc>
          <w:tcPr>
            <w:tcW w:w="13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17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r>
      <w:tr>
        <w:trPr>
          <w:trHeight w:val="664" w:hRule="exact"/>
        </w:trPr>
        <w:tc>
          <w:tcPr>
            <w:tcW w:w="1737"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4" w:right="90"/>
              <w:jc w:val="left"/>
              <w:rPr>
                <w:rFonts w:ascii="宋体" w:hAnsi="宋体" w:cs="宋体" w:eastAsia="宋体" w:hint="default"/>
                <w:sz w:val="18"/>
                <w:szCs w:val="18"/>
              </w:rPr>
            </w:pPr>
            <w:r>
              <w:rPr>
                <w:rFonts w:ascii="宋体" w:hAnsi="宋体" w:cs="宋体" w:eastAsia="宋体" w:hint="default"/>
                <w:sz w:val="18"/>
                <w:szCs w:val="18"/>
              </w:rPr>
              <w:t>中国农业银行江阴支 行</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78" w:right="0"/>
              <w:jc w:val="left"/>
              <w:rPr>
                <w:rFonts w:ascii="Times New Roman" w:hAnsi="Times New Roman" w:cs="Times New Roman" w:eastAsia="Times New Roman" w:hint="default"/>
                <w:sz w:val="18"/>
                <w:szCs w:val="18"/>
              </w:rPr>
            </w:pPr>
            <w:r>
              <w:rPr>
                <w:rFonts w:ascii="Times New Roman"/>
                <w:sz w:val="18"/>
              </w:rPr>
              <w:t>2015/9/14</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4"/>
              <w:jc w:val="center"/>
              <w:rPr>
                <w:rFonts w:ascii="Times New Roman" w:hAnsi="Times New Roman" w:cs="Times New Roman" w:eastAsia="Times New Roman" w:hint="default"/>
                <w:sz w:val="18"/>
                <w:szCs w:val="18"/>
              </w:rPr>
            </w:pPr>
            <w:r>
              <w:rPr>
                <w:rFonts w:ascii="Times New Roman"/>
                <w:sz w:val="18"/>
              </w:rPr>
              <w:t>2016/9/13</w:t>
            </w:r>
          </w:p>
        </w:tc>
        <w:tc>
          <w:tcPr>
            <w:tcW w:w="9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5.34%</w:t>
            </w:r>
          </w:p>
        </w:tc>
        <w:tc>
          <w:tcPr>
            <w:tcW w:w="13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spacing w:val="-1"/>
                <w:sz w:val="18"/>
              </w:rPr>
              <w:t>5,000,000.00</w:t>
            </w:r>
          </w:p>
        </w:tc>
        <w:tc>
          <w:tcPr>
            <w:tcW w:w="1175" w:type="dxa"/>
            <w:tcBorders>
              <w:top w:val="single" w:sz="12" w:space="0" w:color="000000"/>
              <w:left w:val="nil" w:sz="6" w:space="0" w:color="auto"/>
              <w:bottom w:val="single" w:sz="12" w:space="0" w:color="000000"/>
              <w:right w:val="nil" w:sz="6" w:space="0" w:color="auto"/>
            </w:tcBorders>
          </w:tcPr>
          <w:p>
            <w:pPr/>
          </w:p>
        </w:tc>
      </w:tr>
      <w:tr>
        <w:trPr>
          <w:trHeight w:val="665" w:hRule="exact"/>
        </w:trPr>
        <w:tc>
          <w:tcPr>
            <w:tcW w:w="1737"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4" w:right="90"/>
              <w:jc w:val="left"/>
              <w:rPr>
                <w:rFonts w:ascii="宋体" w:hAnsi="宋体" w:cs="宋体" w:eastAsia="宋体" w:hint="default"/>
                <w:sz w:val="18"/>
                <w:szCs w:val="18"/>
              </w:rPr>
            </w:pPr>
            <w:r>
              <w:rPr>
                <w:rFonts w:ascii="宋体" w:hAnsi="宋体" w:cs="宋体" w:eastAsia="宋体" w:hint="default"/>
                <w:sz w:val="18"/>
                <w:szCs w:val="18"/>
              </w:rPr>
              <w:t>中国农业银行江阴支 行</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24" w:right="0"/>
              <w:jc w:val="left"/>
              <w:rPr>
                <w:rFonts w:ascii="Times New Roman" w:hAnsi="Times New Roman" w:cs="Times New Roman" w:eastAsia="Times New Roman" w:hint="default"/>
                <w:sz w:val="18"/>
                <w:szCs w:val="18"/>
              </w:rPr>
            </w:pPr>
            <w:r>
              <w:rPr>
                <w:rFonts w:ascii="Times New Roman"/>
                <w:sz w:val="18"/>
              </w:rPr>
              <w:t>2015/7/8</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2"/>
              <w:jc w:val="center"/>
              <w:rPr>
                <w:rFonts w:ascii="Times New Roman" w:hAnsi="Times New Roman" w:cs="Times New Roman" w:eastAsia="Times New Roman" w:hint="default"/>
                <w:sz w:val="18"/>
                <w:szCs w:val="18"/>
              </w:rPr>
            </w:pPr>
            <w:r>
              <w:rPr>
                <w:rFonts w:ascii="Times New Roman"/>
                <w:sz w:val="18"/>
              </w:rPr>
              <w:t>2016/7/7</w:t>
            </w:r>
          </w:p>
        </w:tc>
        <w:tc>
          <w:tcPr>
            <w:tcW w:w="9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5.63%</w:t>
            </w:r>
          </w:p>
        </w:tc>
        <w:tc>
          <w:tcPr>
            <w:tcW w:w="13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spacing w:val="-1"/>
                <w:sz w:val="18"/>
              </w:rPr>
              <w:t>15,000,000.00</w:t>
            </w:r>
          </w:p>
        </w:tc>
        <w:tc>
          <w:tcPr>
            <w:tcW w:w="1175"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浦发银行江阴支行</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78" w:right="0"/>
              <w:jc w:val="left"/>
              <w:rPr>
                <w:rFonts w:ascii="Times New Roman" w:hAnsi="Times New Roman" w:cs="Times New Roman" w:eastAsia="Times New Roman" w:hint="default"/>
                <w:sz w:val="18"/>
                <w:szCs w:val="18"/>
              </w:rPr>
            </w:pPr>
            <w:r>
              <w:rPr>
                <w:rFonts w:ascii="Times New Roman"/>
                <w:sz w:val="18"/>
              </w:rPr>
              <w:t>2015/7/22</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4"/>
              <w:jc w:val="center"/>
              <w:rPr>
                <w:rFonts w:ascii="Times New Roman" w:hAnsi="Times New Roman" w:cs="Times New Roman" w:eastAsia="Times New Roman" w:hint="default"/>
                <w:sz w:val="18"/>
                <w:szCs w:val="18"/>
              </w:rPr>
            </w:pPr>
            <w:r>
              <w:rPr>
                <w:rFonts w:ascii="Times New Roman"/>
                <w:sz w:val="18"/>
              </w:rPr>
              <w:t>2016/7/22</w:t>
            </w:r>
          </w:p>
        </w:tc>
        <w:tc>
          <w:tcPr>
            <w:tcW w:w="9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6.34%</w:t>
            </w:r>
          </w:p>
        </w:tc>
        <w:tc>
          <w:tcPr>
            <w:tcW w:w="13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spacing w:val="-1"/>
                <w:sz w:val="18"/>
              </w:rPr>
              <w:t>30,000,000.00</w:t>
            </w:r>
          </w:p>
        </w:tc>
        <w:tc>
          <w:tcPr>
            <w:tcW w:w="1175" w:type="dxa"/>
            <w:tcBorders>
              <w:top w:val="single" w:sz="12" w:space="0" w:color="000000"/>
              <w:left w:val="nil" w:sz="6" w:space="0" w:color="auto"/>
              <w:bottom w:val="single" w:sz="12" w:space="0" w:color="000000"/>
              <w:right w:val="nil" w:sz="6" w:space="0" w:color="auto"/>
            </w:tcBorders>
          </w:tcPr>
          <w:p>
            <w:pPr/>
          </w:p>
        </w:tc>
      </w:tr>
      <w:tr>
        <w:trPr>
          <w:trHeight w:val="664" w:hRule="exact"/>
        </w:trPr>
        <w:tc>
          <w:tcPr>
            <w:tcW w:w="1737"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4" w:right="90"/>
              <w:jc w:val="left"/>
              <w:rPr>
                <w:rFonts w:ascii="宋体" w:hAnsi="宋体" w:cs="宋体" w:eastAsia="宋体" w:hint="default"/>
                <w:sz w:val="18"/>
                <w:szCs w:val="18"/>
              </w:rPr>
            </w:pPr>
            <w:r>
              <w:rPr>
                <w:rFonts w:ascii="宋体" w:hAnsi="宋体" w:cs="宋体" w:eastAsia="宋体" w:hint="default"/>
                <w:sz w:val="18"/>
                <w:szCs w:val="18"/>
              </w:rPr>
              <w:t>中国民生银行股份有 限公司成都分行</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78" w:right="0"/>
              <w:jc w:val="left"/>
              <w:rPr>
                <w:rFonts w:ascii="Times New Roman" w:hAnsi="Times New Roman" w:cs="Times New Roman" w:eastAsia="Times New Roman" w:hint="default"/>
                <w:sz w:val="18"/>
                <w:szCs w:val="18"/>
              </w:rPr>
            </w:pPr>
            <w:r>
              <w:rPr>
                <w:rFonts w:ascii="Times New Roman"/>
                <w:sz w:val="18"/>
              </w:rPr>
              <w:t>2015/1/12</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4"/>
              <w:jc w:val="center"/>
              <w:rPr>
                <w:rFonts w:ascii="Times New Roman" w:hAnsi="Times New Roman" w:cs="Times New Roman" w:eastAsia="Times New Roman" w:hint="default"/>
                <w:sz w:val="18"/>
                <w:szCs w:val="18"/>
              </w:rPr>
            </w:pPr>
            <w:r>
              <w:rPr>
                <w:rFonts w:ascii="Times New Roman"/>
                <w:sz w:val="18"/>
              </w:rPr>
              <w:t>2016/1/11</w:t>
            </w:r>
          </w:p>
        </w:tc>
        <w:tc>
          <w:tcPr>
            <w:tcW w:w="9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6.72%</w:t>
            </w:r>
          </w:p>
        </w:tc>
        <w:tc>
          <w:tcPr>
            <w:tcW w:w="13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spacing w:val="-1"/>
                <w:sz w:val="18"/>
              </w:rPr>
              <w:t>8,000,000.00</w:t>
            </w:r>
          </w:p>
        </w:tc>
        <w:tc>
          <w:tcPr>
            <w:tcW w:w="1175" w:type="dxa"/>
            <w:tcBorders>
              <w:top w:val="single" w:sz="12" w:space="0" w:color="000000"/>
              <w:left w:val="nil" w:sz="6" w:space="0" w:color="auto"/>
              <w:bottom w:val="single" w:sz="12" w:space="0" w:color="000000"/>
              <w:right w:val="nil" w:sz="6" w:space="0" w:color="auto"/>
            </w:tcBorders>
          </w:tcPr>
          <w:p>
            <w:pPr/>
          </w:p>
        </w:tc>
      </w:tr>
      <w:tr>
        <w:trPr>
          <w:trHeight w:val="665" w:hRule="exact"/>
        </w:trPr>
        <w:tc>
          <w:tcPr>
            <w:tcW w:w="1737"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4" w:right="90"/>
              <w:jc w:val="left"/>
              <w:rPr>
                <w:rFonts w:ascii="宋体" w:hAnsi="宋体" w:cs="宋体" w:eastAsia="宋体" w:hint="default"/>
                <w:sz w:val="18"/>
                <w:szCs w:val="18"/>
              </w:rPr>
            </w:pPr>
            <w:r>
              <w:rPr>
                <w:rFonts w:ascii="宋体" w:hAnsi="宋体" w:cs="宋体" w:eastAsia="宋体" w:hint="default"/>
                <w:sz w:val="18"/>
                <w:szCs w:val="18"/>
              </w:rPr>
              <w:t>中信银行西安南二环 支行</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78" w:right="0"/>
              <w:jc w:val="left"/>
              <w:rPr>
                <w:rFonts w:ascii="Times New Roman" w:hAnsi="Times New Roman" w:cs="Times New Roman" w:eastAsia="Times New Roman" w:hint="default"/>
                <w:sz w:val="18"/>
                <w:szCs w:val="18"/>
              </w:rPr>
            </w:pPr>
            <w:r>
              <w:rPr>
                <w:rFonts w:ascii="Times New Roman"/>
                <w:sz w:val="18"/>
              </w:rPr>
              <w:t>2014/11/4</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4"/>
              <w:jc w:val="center"/>
              <w:rPr>
                <w:rFonts w:ascii="Times New Roman" w:hAnsi="Times New Roman" w:cs="Times New Roman" w:eastAsia="Times New Roman" w:hint="default"/>
                <w:sz w:val="18"/>
                <w:szCs w:val="18"/>
              </w:rPr>
            </w:pPr>
            <w:r>
              <w:rPr>
                <w:rFonts w:ascii="Times New Roman"/>
                <w:sz w:val="18"/>
              </w:rPr>
              <w:t>2015/11/4</w:t>
            </w:r>
          </w:p>
        </w:tc>
        <w:tc>
          <w:tcPr>
            <w:tcW w:w="9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7.80%</w:t>
            </w:r>
          </w:p>
        </w:tc>
        <w:tc>
          <w:tcPr>
            <w:tcW w:w="1372" w:type="dxa"/>
            <w:tcBorders>
              <w:top w:val="single" w:sz="12" w:space="0" w:color="000000"/>
              <w:left w:val="nil" w:sz="6" w:space="0" w:color="auto"/>
              <w:bottom w:val="single" w:sz="12" w:space="0" w:color="000000"/>
              <w:right w:val="nil" w:sz="6" w:space="0" w:color="auto"/>
            </w:tcBorders>
          </w:tcPr>
          <w:p>
            <w:pPr/>
          </w:p>
        </w:tc>
        <w:tc>
          <w:tcPr>
            <w:tcW w:w="117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52" w:hRule="exact"/>
        </w:trPr>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浦发银行江阴支行</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78" w:right="0"/>
              <w:jc w:val="left"/>
              <w:rPr>
                <w:rFonts w:ascii="Times New Roman" w:hAnsi="Times New Roman" w:cs="Times New Roman" w:eastAsia="Times New Roman" w:hint="default"/>
                <w:sz w:val="18"/>
                <w:szCs w:val="18"/>
              </w:rPr>
            </w:pPr>
            <w:r>
              <w:rPr>
                <w:rFonts w:ascii="Times New Roman"/>
                <w:sz w:val="18"/>
              </w:rPr>
              <w:t>2014/7/10</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4"/>
              <w:jc w:val="center"/>
              <w:rPr>
                <w:rFonts w:ascii="Times New Roman" w:hAnsi="Times New Roman" w:cs="Times New Roman" w:eastAsia="Times New Roman" w:hint="default"/>
                <w:sz w:val="18"/>
                <w:szCs w:val="18"/>
              </w:rPr>
            </w:pPr>
            <w:r>
              <w:rPr>
                <w:rFonts w:ascii="Times New Roman"/>
                <w:sz w:val="18"/>
              </w:rPr>
              <w:t>2015/7/10</w:t>
            </w:r>
          </w:p>
        </w:tc>
        <w:tc>
          <w:tcPr>
            <w:tcW w:w="9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6.91%</w:t>
            </w:r>
          </w:p>
        </w:tc>
        <w:tc>
          <w:tcPr>
            <w:tcW w:w="1372" w:type="dxa"/>
            <w:tcBorders>
              <w:top w:val="single" w:sz="12" w:space="0" w:color="000000"/>
              <w:left w:val="nil" w:sz="6" w:space="0" w:color="auto"/>
              <w:bottom w:val="single" w:sz="12" w:space="0" w:color="000000"/>
              <w:right w:val="nil" w:sz="6" w:space="0" w:color="auto"/>
            </w:tcBorders>
          </w:tcPr>
          <w:p>
            <w:pPr/>
          </w:p>
        </w:tc>
        <w:tc>
          <w:tcPr>
            <w:tcW w:w="117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2" w:hRule="exact"/>
        </w:trPr>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浦发银行江阴支行</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2014/10/13</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4"/>
              <w:jc w:val="center"/>
              <w:rPr>
                <w:rFonts w:ascii="Times New Roman" w:hAnsi="Times New Roman" w:cs="Times New Roman" w:eastAsia="Times New Roman" w:hint="default"/>
                <w:sz w:val="18"/>
                <w:szCs w:val="18"/>
              </w:rPr>
            </w:pPr>
            <w:r>
              <w:rPr>
                <w:rFonts w:ascii="Times New Roman"/>
                <w:sz w:val="18"/>
              </w:rPr>
              <w:t>2015/6/13</w:t>
            </w:r>
          </w:p>
        </w:tc>
        <w:tc>
          <w:tcPr>
            <w:tcW w:w="9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6.91%</w:t>
            </w:r>
          </w:p>
        </w:tc>
        <w:tc>
          <w:tcPr>
            <w:tcW w:w="1372" w:type="dxa"/>
            <w:tcBorders>
              <w:top w:val="single" w:sz="12" w:space="0" w:color="000000"/>
              <w:left w:val="nil" w:sz="6" w:space="0" w:color="auto"/>
              <w:bottom w:val="single" w:sz="12" w:space="0" w:color="000000"/>
              <w:right w:val="nil" w:sz="6" w:space="0" w:color="auto"/>
            </w:tcBorders>
          </w:tcPr>
          <w:p>
            <w:pPr/>
          </w:p>
        </w:tc>
        <w:tc>
          <w:tcPr>
            <w:tcW w:w="117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665" w:hRule="exact"/>
        </w:trPr>
        <w:tc>
          <w:tcPr>
            <w:tcW w:w="1737" w:type="dxa"/>
            <w:tcBorders>
              <w:top w:val="single" w:sz="12" w:space="0" w:color="000000"/>
              <w:left w:val="nil" w:sz="6" w:space="0" w:color="auto"/>
              <w:bottom w:val="single" w:sz="12" w:space="0" w:color="000000"/>
              <w:right w:val="nil" w:sz="6" w:space="0" w:color="auto"/>
            </w:tcBorders>
          </w:tcPr>
          <w:p>
            <w:pPr>
              <w:pStyle w:val="TableParagraph"/>
              <w:spacing w:line="319" w:lineRule="auto" w:before="10"/>
              <w:ind w:left="24" w:right="90"/>
              <w:jc w:val="left"/>
              <w:rPr>
                <w:rFonts w:ascii="宋体" w:hAnsi="宋体" w:cs="宋体" w:eastAsia="宋体" w:hint="default"/>
                <w:sz w:val="18"/>
                <w:szCs w:val="18"/>
              </w:rPr>
            </w:pPr>
            <w:r>
              <w:rPr>
                <w:rFonts w:ascii="宋体" w:hAnsi="宋体" w:cs="宋体" w:eastAsia="宋体" w:hint="default"/>
                <w:sz w:val="18"/>
                <w:szCs w:val="18"/>
              </w:rPr>
              <w:t>中国农业银行江阴支 行</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24" w:right="0"/>
              <w:jc w:val="left"/>
              <w:rPr>
                <w:rFonts w:ascii="Times New Roman" w:hAnsi="Times New Roman" w:cs="Times New Roman" w:eastAsia="Times New Roman" w:hint="default"/>
                <w:sz w:val="18"/>
                <w:szCs w:val="18"/>
              </w:rPr>
            </w:pPr>
            <w:r>
              <w:rPr>
                <w:rFonts w:ascii="Times New Roman"/>
                <w:sz w:val="18"/>
              </w:rPr>
              <w:t>2014/9/2</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2"/>
              <w:jc w:val="center"/>
              <w:rPr>
                <w:rFonts w:ascii="Times New Roman" w:hAnsi="Times New Roman" w:cs="Times New Roman" w:eastAsia="Times New Roman" w:hint="default"/>
                <w:sz w:val="18"/>
                <w:szCs w:val="18"/>
              </w:rPr>
            </w:pPr>
            <w:r>
              <w:rPr>
                <w:rFonts w:ascii="Times New Roman"/>
                <w:sz w:val="18"/>
              </w:rPr>
              <w:t>2015/9/2</w:t>
            </w:r>
          </w:p>
        </w:tc>
        <w:tc>
          <w:tcPr>
            <w:tcW w:w="9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7.50%</w:t>
            </w:r>
          </w:p>
        </w:tc>
        <w:tc>
          <w:tcPr>
            <w:tcW w:w="1372" w:type="dxa"/>
            <w:tcBorders>
              <w:top w:val="single" w:sz="12" w:space="0" w:color="000000"/>
              <w:left w:val="nil" w:sz="6" w:space="0" w:color="auto"/>
              <w:bottom w:val="single" w:sz="12" w:space="0" w:color="000000"/>
              <w:right w:val="nil" w:sz="6" w:space="0" w:color="auto"/>
            </w:tcBorders>
          </w:tcPr>
          <w:p>
            <w:pPr/>
          </w:p>
        </w:tc>
        <w:tc>
          <w:tcPr>
            <w:tcW w:w="117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52" w:hRule="exact"/>
        </w:trPr>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6" w:type="dxa"/>
            <w:tcBorders>
              <w:top w:val="single" w:sz="12" w:space="0" w:color="000000"/>
              <w:left w:val="nil" w:sz="6" w:space="0" w:color="auto"/>
              <w:bottom w:val="single" w:sz="12" w:space="0" w:color="000000"/>
              <w:right w:val="nil" w:sz="6" w:space="0" w:color="auto"/>
            </w:tcBorders>
          </w:tcPr>
          <w:p>
            <w:pPr/>
          </w:p>
        </w:tc>
        <w:tc>
          <w:tcPr>
            <w:tcW w:w="1249" w:type="dxa"/>
            <w:tcBorders>
              <w:top w:val="single" w:sz="12" w:space="0" w:color="000000"/>
              <w:left w:val="nil" w:sz="6" w:space="0" w:color="auto"/>
              <w:bottom w:val="single" w:sz="12" w:space="0" w:color="000000"/>
              <w:right w:val="nil" w:sz="6" w:space="0" w:color="auto"/>
            </w:tcBorders>
          </w:tcPr>
          <w:p>
            <w:pPr/>
          </w:p>
        </w:tc>
        <w:tc>
          <w:tcPr>
            <w:tcW w:w="919" w:type="dxa"/>
            <w:tcBorders>
              <w:top w:val="single" w:sz="12" w:space="0" w:color="000000"/>
              <w:left w:val="nil" w:sz="6" w:space="0" w:color="auto"/>
              <w:bottom w:val="single" w:sz="12" w:space="0" w:color="000000"/>
              <w:right w:val="nil" w:sz="6" w:space="0" w:color="auto"/>
            </w:tcBorders>
          </w:tcPr>
          <w:p>
            <w:pPr/>
          </w:p>
        </w:tc>
        <w:tc>
          <w:tcPr>
            <w:tcW w:w="1151" w:type="dxa"/>
            <w:tcBorders>
              <w:top w:val="single" w:sz="12" w:space="0" w:color="000000"/>
              <w:left w:val="nil" w:sz="6" w:space="0" w:color="auto"/>
              <w:bottom w:val="single" w:sz="12" w:space="0" w:color="000000"/>
              <w:right w:val="nil" w:sz="6" w:space="0" w:color="auto"/>
            </w:tcBorders>
          </w:tcPr>
          <w:p>
            <w:pPr/>
          </w:p>
        </w:tc>
        <w:tc>
          <w:tcPr>
            <w:tcW w:w="13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4"/>
              <w:ind w:right="128"/>
              <w:jc w:val="right"/>
              <w:rPr>
                <w:rFonts w:ascii="Times New Roman" w:hAnsi="Times New Roman" w:cs="Times New Roman" w:eastAsia="Times New Roman" w:hint="default"/>
                <w:sz w:val="18"/>
                <w:szCs w:val="18"/>
              </w:rPr>
            </w:pPr>
            <w:r>
              <w:rPr>
                <w:rFonts w:ascii="Times New Roman"/>
                <w:b/>
                <w:spacing w:val="-1"/>
                <w:sz w:val="18"/>
              </w:rPr>
              <w:t>58,000,000.00</w:t>
            </w:r>
            <w:r>
              <w:rPr>
                <w:rFonts w:ascii="Times New Roman"/>
                <w:spacing w:val="-1"/>
                <w:sz w:val="18"/>
              </w:rPr>
            </w:r>
          </w:p>
        </w:tc>
        <w:tc>
          <w:tcPr>
            <w:tcW w:w="117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4"/>
              <w:ind w:right="7"/>
              <w:jc w:val="right"/>
              <w:rPr>
                <w:rFonts w:ascii="Times New Roman" w:hAnsi="Times New Roman" w:cs="Times New Roman" w:eastAsia="Times New Roman" w:hint="default"/>
                <w:sz w:val="18"/>
                <w:szCs w:val="18"/>
              </w:rPr>
            </w:pPr>
            <w:r>
              <w:rPr>
                <w:rFonts w:ascii="Times New Roman"/>
                <w:b/>
                <w:spacing w:val="-1"/>
                <w:sz w:val="18"/>
              </w:rPr>
              <w:t>50,000,000.00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2）已逾期未偿还的短期借款情况"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2、以公允价值计量且其变动计入当期损益的金融负债" w:id="316"/>
      <w:bookmarkEnd w:id="316"/>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3、衍生金融负债" w:id="317"/>
      <w:bookmarkEnd w:id="317"/>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34、应付票据" w:id="318"/>
      <w:bookmarkEnd w:id="31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58,787,600.00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16,893,731.55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58,787,600.00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16,893,731.55</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134" w:right="1033" w:firstLine="0"/>
        <w:jc w:val="left"/>
        <w:rPr>
          <w:rFonts w:ascii="宋体" w:hAnsi="宋体" w:cs="宋体" w:eastAsia="宋体" w:hint="default"/>
          <w:sz w:val="21"/>
          <w:szCs w:val="21"/>
        </w:rPr>
      </w:pPr>
      <w:bookmarkStart w:name="35、应付账款" w:id="319"/>
      <w:bookmarkEnd w:id="319"/>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应付账款列示"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222,639,982.62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178,857,260.04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38,600,075.53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74,421,601.24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20,049,743.04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12,420,326.54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9,287,546.44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3,313,736.60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290,577,347.63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269,012,924.42</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账龄超过1年的重要应付账款" w:id="321"/>
      <w:bookmarkEnd w:id="3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6、预收款项" w:id="322"/>
      <w:bookmarkEnd w:id="322"/>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预收款项列示" w:id="323"/>
      <w:bookmarkEnd w:id="3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89,163,232.66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72,032,299.18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1,762,642.17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5,473,292.18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492,393.03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3,435,130.83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624,661.47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92,042,929.33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81,198,222.19</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账龄超过1年的重要预收款项"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期末建造合同形成的已结算未完工项目情况"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7、应付职工薪酬" w:id="326"/>
      <w:bookmarkEnd w:id="326"/>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应付职工薪酬列示" w:id="327"/>
      <w:bookmarkEnd w:id="3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11,754,589.84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81,219,529.11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78,769,306.78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14,204,812.17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7,330,588.94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7,328,265.84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2,323.10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85,678.50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85,678.50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11,754,589.84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88,635,796.55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86,183,251.12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14,207,135.27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2）短期薪酬列示" w:id="328"/>
      <w:bookmarkEnd w:id="3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9,116,783.02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70,497,598.59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69,461,728.59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10,152,653.02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2,347,958.96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2,348,058.96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3,232,257.19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3,230,770.29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1,486.90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2,712,200.12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2,710,838.82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1,361.30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304,138.09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304,085.29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215,918.98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215,846.18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81,949.20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2,740,524.15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2,744,190.55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78,282.80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2,555,757.62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2,401,190.22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984,558.39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3,972,389.45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11,754,589.84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81,219,529.11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78,769,306.78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14,204,812.17</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设定提存计划列示"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6,803,221.12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6,801,007.12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527,367.82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527,258.72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7,330,588.94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7,328,265.84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2,323.10</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8、应交税费" w:id="330"/>
      <w:bookmarkEnd w:id="330"/>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18,732,056.44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13,383,380.50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8,224,403.54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6,210,257.36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4,038,744.66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8,914,245.85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150,065.52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101,376.26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1,185,556.75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1,020,183.83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122,466.66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114,542.15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159,229.31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183,527.34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67,115.01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63,735.97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586,776.94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479,685.27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349,294.86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332,141.86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防洪基金费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19,775.84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42,110.56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38,224.92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副食品价格调控基金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102,734.96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55,184.13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10,522.33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281,229.59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33,793,410.44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31,184,315.22</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9、应付利息" w:id="331"/>
      <w:bookmarkEnd w:id="331"/>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228,821.65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228,821.65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40、应付股利" w:id="332"/>
      <w:bookmarkEnd w:id="332"/>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5,019,063.76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5,019,063.76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5,019,063.76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5,019,063.76</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pStyle w:val="BodyText"/>
        <w:spacing w:line="312" w:lineRule="exact" w:before="82"/>
        <w:ind w:right="1130" w:firstLine="480"/>
        <w:jc w:val="both"/>
      </w:pPr>
      <w:r>
        <w:rPr>
          <w:spacing w:val="-3"/>
        </w:rPr>
        <w:t>应付股利为已宣告发放，报告期末暂未支付完毕的股利，超过</w:t>
      </w:r>
      <w:r>
        <w:rPr>
          <w:rFonts w:ascii="Times New Roman" w:hAnsi="Times New Roman" w:cs="Times New Roman" w:eastAsia="Times New Roman" w:hint="default"/>
          <w:spacing w:val="-3"/>
        </w:rPr>
        <w:t>1</w:t>
      </w:r>
      <w:r>
        <w:rPr>
          <w:spacing w:val="-3"/>
        </w:rPr>
        <w:t>年未支付的应付股利主要</w:t>
      </w:r>
      <w:r>
        <w:rPr/>
        <w:t> 为控股子公司西安华西、深圳龙控已宣告发放但暂未支付给少数股东的股利；由于控股子公 司正处于快速发展期，资金需求较大，截止到报告期末暂未支付已宣告发放的股利。</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3" w:right="1033" w:firstLine="0"/>
        <w:jc w:val="left"/>
        <w:rPr>
          <w:rFonts w:ascii="宋体" w:hAnsi="宋体" w:cs="宋体" w:eastAsia="宋体" w:hint="default"/>
          <w:sz w:val="21"/>
          <w:szCs w:val="21"/>
        </w:rPr>
      </w:pPr>
      <w:bookmarkStart w:name="41、其他应付款" w:id="333"/>
      <w:bookmarkEnd w:id="333"/>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按款项性质列示其他应付款" w:id="334"/>
      <w:bookmarkEnd w:id="3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16,622,291.40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15,721,706.00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35,940,844.00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25,565,042.23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6,008,794.31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9,267,758.01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58,571,929.71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50,554,506.24</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账龄超过1年的重要其他应付款" w:id="335"/>
      <w:bookmarkEnd w:id="3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42、划分为持有待售的负债" w:id="336"/>
      <w:bookmarkEnd w:id="336"/>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43、一年内到期的非流动负债" w:id="337"/>
      <w:bookmarkEnd w:id="337"/>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44、其他流动负债" w:id="338"/>
      <w:bookmarkEnd w:id="338"/>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63,196.56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63,196.56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63,196.56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63,196.56</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spacing w:line="256" w:lineRule="auto" w:before="0"/>
        <w:ind w:left="1133" w:right="1117" w:firstLine="420"/>
        <w:jc w:val="left"/>
        <w:rPr>
          <w:rFonts w:ascii="宋体" w:hAnsi="宋体" w:cs="宋体" w:eastAsia="宋体" w:hint="default"/>
          <w:sz w:val="21"/>
          <w:szCs w:val="21"/>
        </w:rPr>
      </w:pPr>
      <w:r>
        <w:rPr>
          <w:rFonts w:ascii="宋体" w:hAnsi="宋体" w:cs="宋体" w:eastAsia="宋体" w:hint="default"/>
          <w:sz w:val="21"/>
          <w:szCs w:val="21"/>
        </w:rPr>
        <w:t>本项目系将于下一会计年度内摊销的列入递延收益的政府补助。详见本附注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第十节</w:t>
      </w:r>
      <w:r>
        <w:rPr>
          <w:rFonts w:ascii="宋体" w:hAnsi="宋体" w:cs="宋体" w:eastAsia="宋体" w:hint="default"/>
          <w:spacing w:val="-12"/>
          <w:sz w:val="21"/>
          <w:szCs w:val="21"/>
        </w:rPr>
        <w:t> </w:t>
      </w:r>
      <w:r>
        <w:rPr>
          <w:rFonts w:ascii="宋体" w:hAnsi="宋体" w:cs="宋体" w:eastAsia="宋体" w:hint="default"/>
          <w:sz w:val="21"/>
          <w:szCs w:val="21"/>
        </w:rPr>
        <w:t>财务报告，七、</w:t>
      </w:r>
      <w:r>
        <w:rPr>
          <w:rFonts w:ascii="宋体" w:hAnsi="宋体" w:cs="宋体" w:eastAsia="宋体" w:hint="default"/>
          <w:sz w:val="21"/>
          <w:szCs w:val="21"/>
        </w:rPr>
        <w:t> 合并财务报表项目注释，</w:t>
      </w:r>
      <w:r>
        <w:rPr>
          <w:rFonts w:ascii="Times New Roman" w:hAnsi="Times New Roman" w:cs="Times New Roman" w:eastAsia="Times New Roman" w:hint="default"/>
          <w:sz w:val="21"/>
          <w:szCs w:val="21"/>
        </w:rPr>
        <w:t>51</w:t>
      </w: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所述。</w:t>
      </w:r>
    </w:p>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45、长期借款" w:id="339"/>
      <w:bookmarkEnd w:id="339"/>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长期借款分类" w:id="340"/>
      <w:bookmarkEnd w:id="3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2"/>
        <w:ind w:left="113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
        <w:rPr>
          <w:rFonts w:ascii="宋体" w:hAnsi="宋体" w:cs="宋体" w:eastAsia="宋体" w:hint="default"/>
          <w:sz w:val="20"/>
          <w:szCs w:val="20"/>
        </w:rPr>
      </w:pPr>
    </w:p>
    <w:p>
      <w:pPr>
        <w:spacing w:before="0"/>
        <w:ind w:left="1134" w:right="1033" w:firstLine="0"/>
        <w:jc w:val="left"/>
        <w:rPr>
          <w:rFonts w:ascii="宋体" w:hAnsi="宋体" w:cs="宋体" w:eastAsia="宋体" w:hint="default"/>
          <w:sz w:val="21"/>
          <w:szCs w:val="21"/>
        </w:rPr>
      </w:pPr>
      <w:bookmarkStart w:name="46、应付债券" w:id="341"/>
      <w:bookmarkEnd w:id="341"/>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应付债券"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应付债券的增减变动（不包括划分为金融负债的优先股、永续债等其他金融工具）"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spacing w:before="35"/>
        <w:ind w:left="1133" w:right="1033" w:firstLine="0"/>
        <w:jc w:val="left"/>
        <w:rPr>
          <w:rFonts w:ascii="宋体" w:hAnsi="宋体" w:cs="宋体" w:eastAsia="宋体" w:hint="default"/>
          <w:sz w:val="21"/>
          <w:szCs w:val="21"/>
        </w:rPr>
      </w:pPr>
      <w:bookmarkStart w:name="（3）可转换公司债券的转股条件、转股时间说明" w:id="344"/>
      <w:bookmarkEnd w:id="3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4）划分为金融负债的其他金融工具说明" w:id="345"/>
      <w:bookmarkEnd w:id="3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57" w:lineRule="auto"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635" w:space="319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13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1"/>
        <w:rPr>
          <w:rFonts w:ascii="宋体" w:hAnsi="宋体" w:cs="宋体" w:eastAsia="宋体" w:hint="default"/>
          <w:sz w:val="19"/>
          <w:szCs w:val="19"/>
        </w:rPr>
      </w:pPr>
    </w:p>
    <w:p>
      <w:pPr>
        <w:spacing w:before="0"/>
        <w:ind w:left="1134" w:right="1033" w:firstLine="0"/>
        <w:jc w:val="left"/>
        <w:rPr>
          <w:rFonts w:ascii="宋体" w:hAnsi="宋体" w:cs="宋体" w:eastAsia="宋体" w:hint="default"/>
          <w:sz w:val="21"/>
          <w:szCs w:val="21"/>
        </w:rPr>
      </w:pPr>
      <w:bookmarkStart w:name="47、长期应付款" w:id="346"/>
      <w:bookmarkEnd w:id="346"/>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按款项性质列示长期应付款"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48、长期应付职工薪酬" w:id="348"/>
      <w:bookmarkEnd w:id="348"/>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长期应付职工薪酬表" w:id="349"/>
      <w:bookmarkEnd w:id="3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设定受益计划变动情况" w:id="350"/>
      <w:bookmarkEnd w:id="3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13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49、专项应付款" w:id="351"/>
      <w:bookmarkEnd w:id="351"/>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50、预计负债" w:id="352"/>
      <w:bookmarkEnd w:id="352"/>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51、递延收益" w:id="353"/>
      <w:bookmarkEnd w:id="353"/>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1,841,439.64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1,005,696.56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835,743.08</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1,841,439.64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1,005,696.56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835,743.08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81"/>
        <w:gridCol w:w="1367"/>
        <w:gridCol w:w="1367"/>
        <w:gridCol w:w="1368"/>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节能型精密机房 空调生产研发技 术改造项目</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495,039.64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63,196.56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63,196.56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431,843.08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节能型列间精密 机房空调项目</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1,346,400.00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942,500.00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1,841,439.64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1,005,696.56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63,196.56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835,743.08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2"/>
          <w:szCs w:val="22"/>
        </w:rPr>
      </w:pPr>
    </w:p>
    <w:p>
      <w:pPr>
        <w:spacing w:line="256" w:lineRule="auto" w:before="0"/>
        <w:ind w:left="1133" w:right="113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：根据成都市财政局、成都市经济和信息化委员会《关于下达</w:t>
      </w:r>
      <w:r>
        <w:rPr>
          <w:rFonts w:ascii="Times New Roman" w:hAnsi="Times New Roman" w:cs="Times New Roman" w:eastAsia="Times New Roman" w:hint="default"/>
          <w:sz w:val="21"/>
          <w:szCs w:val="21"/>
        </w:rPr>
        <w:t>2013</w:t>
      </w:r>
      <w:r>
        <w:rPr>
          <w:rFonts w:ascii="宋体" w:hAnsi="宋体" w:cs="宋体" w:eastAsia="宋体" w:hint="default"/>
          <w:sz w:val="21"/>
          <w:szCs w:val="21"/>
        </w:rPr>
        <w:t>年第一批企业技术改造和新引进 </w:t>
      </w:r>
      <w:r>
        <w:rPr>
          <w:rFonts w:ascii="宋体" w:hAnsi="宋体" w:cs="宋体" w:eastAsia="宋体" w:hint="default"/>
          <w:spacing w:val="-1"/>
          <w:sz w:val="21"/>
          <w:szCs w:val="21"/>
        </w:rPr>
        <w:t>重大工业项目固定资产投资补助资金的通知》（成财企【</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198</w:t>
      </w:r>
      <w:r>
        <w:rPr>
          <w:rFonts w:ascii="宋体" w:hAnsi="宋体" w:cs="宋体" w:eastAsia="宋体" w:hint="default"/>
          <w:spacing w:val="-1"/>
          <w:sz w:val="21"/>
          <w:szCs w:val="21"/>
        </w:rPr>
        <w:t>号），本公司于</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月收到投资补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助资金</w:t>
      </w:r>
      <w:r>
        <w:rPr>
          <w:rFonts w:ascii="Times New Roman" w:hAnsi="Times New Roman" w:cs="Times New Roman" w:eastAsia="Times New Roman" w:hint="default"/>
          <w:sz w:val="21"/>
          <w:szCs w:val="21"/>
        </w:rPr>
        <w:t>610,900.00</w:t>
      </w:r>
      <w:r>
        <w:rPr>
          <w:rFonts w:ascii="宋体" w:hAnsi="宋体" w:cs="宋体" w:eastAsia="宋体" w:hint="default"/>
          <w:sz w:val="21"/>
          <w:szCs w:val="21"/>
        </w:rPr>
        <w:t>元。该项目已于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月完工转固，</w:t>
      </w:r>
      <w:r>
        <w:rPr>
          <w:rFonts w:ascii="宋体" w:hAnsi="宋体" w:cs="宋体" w:eastAsia="宋体" w:hint="default"/>
          <w:spacing w:val="-27"/>
          <w:sz w:val="21"/>
          <w:szCs w:val="21"/>
        </w:rPr>
        <w:t> </w:t>
      </w:r>
      <w:r>
        <w:rPr>
          <w:rFonts w:ascii="宋体" w:hAnsi="宋体" w:cs="宋体" w:eastAsia="宋体" w:hint="default"/>
          <w:sz w:val="21"/>
          <w:szCs w:val="21"/>
        </w:rPr>
        <w:t>折旧年限为</w:t>
      </w:r>
      <w:r>
        <w:rPr>
          <w:rFonts w:ascii="Times New Roman" w:hAnsi="Times New Roman" w:cs="Times New Roman" w:eastAsia="Times New Roman" w:hint="default"/>
          <w:sz w:val="21"/>
          <w:szCs w:val="21"/>
        </w:rPr>
        <w:t>10</w:t>
      </w:r>
      <w:r>
        <w:rPr>
          <w:rFonts w:ascii="宋体" w:hAnsi="宋体" w:cs="宋体" w:eastAsia="宋体" w:hint="default"/>
          <w:sz w:val="21"/>
          <w:szCs w:val="21"/>
        </w:rPr>
        <w:t>年。本公司按剩余使用年限对该补 助资金进行了摊销，本年摊销金额为</w:t>
      </w:r>
      <w:r>
        <w:rPr>
          <w:rFonts w:ascii="Times New Roman" w:hAnsi="Times New Roman" w:cs="Times New Roman" w:eastAsia="Times New Roman" w:hint="default"/>
          <w:sz w:val="21"/>
          <w:szCs w:val="21"/>
        </w:rPr>
        <w:t>63,196.56</w:t>
      </w:r>
      <w:r>
        <w:rPr>
          <w:rFonts w:ascii="宋体" w:hAnsi="宋体" w:cs="宋体" w:eastAsia="宋体" w:hint="default"/>
          <w:sz w:val="21"/>
          <w:szCs w:val="21"/>
        </w:rPr>
        <w:t>元。</w:t>
      </w:r>
    </w:p>
    <w:p>
      <w:pPr>
        <w:spacing w:line="240" w:lineRule="auto" w:before="9"/>
        <w:rPr>
          <w:rFonts w:ascii="宋体" w:hAnsi="宋体" w:cs="宋体" w:eastAsia="宋体" w:hint="default"/>
          <w:sz w:val="18"/>
          <w:szCs w:val="18"/>
        </w:rPr>
      </w:pPr>
    </w:p>
    <w:p>
      <w:pPr>
        <w:spacing w:line="256" w:lineRule="auto" w:before="0"/>
        <w:ind w:left="1133" w:right="113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：根据成都市财政局、成都市经济和信息化委员会《关于下达</w:t>
      </w:r>
      <w:r>
        <w:rPr>
          <w:rFonts w:ascii="Times New Roman" w:hAnsi="Times New Roman" w:cs="Times New Roman" w:eastAsia="Times New Roman" w:hint="default"/>
          <w:sz w:val="21"/>
          <w:szCs w:val="21"/>
        </w:rPr>
        <w:t>2013</w:t>
      </w:r>
      <w:r>
        <w:rPr>
          <w:rFonts w:ascii="宋体" w:hAnsi="宋体" w:cs="宋体" w:eastAsia="宋体" w:hint="default"/>
          <w:sz w:val="21"/>
          <w:szCs w:val="21"/>
        </w:rPr>
        <w:t>年第二批省级战略性新兴产业发 展市本级配套资金的通知》（成财企【</w:t>
      </w:r>
      <w:r>
        <w:rPr>
          <w:rFonts w:ascii="Times New Roman" w:hAnsi="Times New Roman" w:cs="Times New Roman" w:eastAsia="Times New Roman" w:hint="default"/>
          <w:sz w:val="21"/>
          <w:szCs w:val="21"/>
        </w:rPr>
        <w:t>2014</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号），本公司于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月收到投资补助资金</w:t>
      </w:r>
      <w:r>
        <w:rPr>
          <w:rFonts w:ascii="Times New Roman" w:hAnsi="Times New Roman" w:cs="Times New Roman" w:eastAsia="Times New Roman" w:hint="default"/>
          <w:sz w:val="21"/>
          <w:szCs w:val="21"/>
        </w:rPr>
        <w:t>1,346,400.00 </w:t>
      </w:r>
      <w:r>
        <w:rPr>
          <w:rFonts w:ascii="宋体" w:hAnsi="宋体" w:cs="宋体" w:eastAsia="宋体" w:hint="default"/>
          <w:sz w:val="21"/>
          <w:szCs w:val="21"/>
        </w:rPr>
        <w:t>元，该科研项目预计于</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月完工，完工后应由省、市相关部门对其进行验收和绩效评价。截止</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日，科研项目按照计划进行，本公司向成都市高新技术产业开发区经贸发展局提交专项资金申请 </w:t>
      </w:r>
      <w:r>
        <w:rPr>
          <w:rFonts w:ascii="宋体" w:hAnsi="宋体" w:cs="宋体" w:eastAsia="宋体" w:hint="default"/>
          <w:spacing w:val="-7"/>
          <w:sz w:val="21"/>
          <w:szCs w:val="21"/>
        </w:rPr>
        <w:t>使用报告；</w:t>
      </w:r>
      <w:r>
        <w:rPr>
          <w:rFonts w:ascii="Times New Roman" w:hAnsi="Times New Roman" w:cs="Times New Roman" w:eastAsia="Times New Roman" w:hint="default"/>
          <w:spacing w:val="-7"/>
          <w:sz w:val="21"/>
          <w:szCs w:val="21"/>
        </w:rPr>
        <w:t>2015</w:t>
      </w:r>
      <w:r>
        <w:rPr>
          <w:rFonts w:ascii="宋体" w:hAnsi="宋体" w:cs="宋体" w:eastAsia="宋体" w:hint="default"/>
          <w:spacing w:val="-7"/>
          <w:sz w:val="21"/>
          <w:szCs w:val="21"/>
        </w:rPr>
        <w:t>年</w:t>
      </w:r>
      <w:r>
        <w:rPr>
          <w:rFonts w:ascii="Times New Roman" w:hAnsi="Times New Roman" w:cs="Times New Roman" w:eastAsia="Times New Roman" w:hint="default"/>
          <w:spacing w:val="-7"/>
          <w:sz w:val="21"/>
          <w:szCs w:val="21"/>
        </w:rPr>
        <w:t>7</w:t>
      </w:r>
      <w:r>
        <w:rPr>
          <w:rFonts w:ascii="宋体" w:hAnsi="宋体" w:cs="宋体" w:eastAsia="宋体" w:hint="default"/>
          <w:spacing w:val="-7"/>
          <w:sz w:val="21"/>
          <w:szCs w:val="21"/>
        </w:rPr>
        <w:t>月</w:t>
      </w:r>
      <w:r>
        <w:rPr>
          <w:rFonts w:ascii="Times New Roman" w:hAnsi="Times New Roman" w:cs="Times New Roman" w:eastAsia="Times New Roman" w:hint="default"/>
          <w:spacing w:val="-7"/>
          <w:sz w:val="21"/>
          <w:szCs w:val="21"/>
        </w:rPr>
        <w:t>7</w:t>
      </w:r>
      <w:r>
        <w:rPr>
          <w:rFonts w:ascii="宋体" w:hAnsi="宋体" w:cs="宋体" w:eastAsia="宋体" w:hint="default"/>
          <w:spacing w:val="-7"/>
          <w:sz w:val="21"/>
          <w:szCs w:val="21"/>
        </w:rPr>
        <w:t>日，本公司取得经贸局的《专项资金拨付确认函》，同意本公司将补助中的</w:t>
      </w:r>
      <w:r>
        <w:rPr>
          <w:rFonts w:ascii="Times New Roman" w:hAnsi="Times New Roman" w:cs="Times New Roman" w:eastAsia="Times New Roman" w:hint="default"/>
          <w:spacing w:val="-7"/>
          <w:sz w:val="21"/>
          <w:szCs w:val="21"/>
        </w:rPr>
        <w:t>942,500.00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元用于补偿科研项目费用支出。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1"/>
        <w:ind w:left="1134" w:right="1033" w:firstLine="0"/>
        <w:jc w:val="left"/>
        <w:rPr>
          <w:rFonts w:ascii="宋体" w:hAnsi="宋体" w:cs="宋体" w:eastAsia="宋体" w:hint="default"/>
          <w:sz w:val="21"/>
          <w:szCs w:val="21"/>
        </w:rPr>
      </w:pPr>
      <w:bookmarkStart w:name="52、其他非流动负债" w:id="354"/>
      <w:bookmarkEnd w:id="354"/>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53、股本" w:id="355"/>
      <w:bookmarkEnd w:id="355"/>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175,972,779.00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175,972,779.00</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54、其他权益工具" w:id="356"/>
      <w:bookmarkEnd w:id="356"/>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期末发行在外的优先股、永续债等其他金融工具基本情况" w:id="357"/>
      <w:bookmarkEnd w:id="3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2）期末发行在外的优先股、永续债等金融工具变动情况表"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13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spacing w:before="0"/>
        <w:ind w:left="1133" w:right="1033" w:firstLine="0"/>
        <w:jc w:val="left"/>
        <w:rPr>
          <w:rFonts w:ascii="宋体" w:hAnsi="宋体" w:cs="宋体" w:eastAsia="宋体" w:hint="default"/>
          <w:sz w:val="21"/>
          <w:szCs w:val="21"/>
        </w:rPr>
      </w:pPr>
      <w:bookmarkStart w:name="55、资本公积" w:id="359"/>
      <w:bookmarkEnd w:id="359"/>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384,097,651.78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384,097,651.78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5,880,271.68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5,880,271.68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384,097,651.78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5,880,271.68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389,977,923.46</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before="91"/>
        <w:ind w:left="1134" w:right="1033" w:firstLine="0"/>
        <w:jc w:val="left"/>
        <w:rPr>
          <w:rFonts w:ascii="宋体" w:hAnsi="宋体" w:cs="宋体" w:eastAsia="宋体" w:hint="default"/>
          <w:sz w:val="21"/>
          <w:szCs w:val="21"/>
        </w:rPr>
      </w:pPr>
      <w:r>
        <w:rPr>
          <w:rFonts w:ascii="宋体" w:hAnsi="宋体" w:cs="宋体" w:eastAsia="宋体" w:hint="default"/>
          <w:sz w:val="21"/>
          <w:szCs w:val="21"/>
        </w:rPr>
        <w:t>本年资本公积变动情况见</w:t>
      </w:r>
      <w:r>
        <w:rPr>
          <w:rFonts w:ascii="Times New Roman" w:hAnsi="Times New Roman" w:cs="Times New Roman" w:eastAsia="Times New Roman" w:hint="default"/>
          <w:sz w:val="21"/>
          <w:szCs w:val="21"/>
        </w:rPr>
        <w:t>“</w:t>
      </w:r>
      <w:r>
        <w:rPr>
          <w:rFonts w:ascii="宋体" w:hAnsi="宋体" w:cs="宋体" w:eastAsia="宋体" w:hint="default"/>
          <w:sz w:val="21"/>
          <w:szCs w:val="21"/>
        </w:rPr>
        <w:t>七、</w:t>
      </w:r>
      <w:r>
        <w:rPr>
          <w:rFonts w:ascii="Times New Roman" w:hAnsi="Times New Roman" w:cs="Times New Roman" w:eastAsia="Times New Roman" w:hint="default"/>
          <w:sz w:val="21"/>
          <w:szCs w:val="21"/>
        </w:rPr>
        <w:t>17</w:t>
      </w:r>
      <w:r>
        <w:rPr>
          <w:rFonts w:ascii="宋体" w:hAnsi="宋体" w:cs="宋体" w:eastAsia="宋体" w:hint="default"/>
          <w:sz w:val="21"/>
          <w:szCs w:val="21"/>
        </w:rPr>
        <w:t>、长期股权投资</w:t>
      </w:r>
      <w:r>
        <w:rPr>
          <w:rFonts w:ascii="Times New Roman" w:hAnsi="Times New Roman" w:cs="Times New Roman" w:eastAsia="Times New Roman" w:hint="default"/>
          <w:sz w:val="21"/>
          <w:szCs w:val="21"/>
        </w:rPr>
        <w:t>”</w:t>
      </w:r>
      <w:r>
        <w:rPr>
          <w:rFonts w:ascii="宋体" w:hAnsi="宋体" w:cs="宋体" w:eastAsia="宋体" w:hint="default"/>
          <w:sz w:val="21"/>
          <w:szCs w:val="21"/>
        </w:rPr>
        <w:t>的披露。</w:t>
      </w:r>
    </w:p>
    <w:p>
      <w:pPr>
        <w:spacing w:line="240" w:lineRule="auto" w:before="8"/>
        <w:rPr>
          <w:rFonts w:ascii="宋体" w:hAnsi="宋体" w:cs="宋体" w:eastAsia="宋体" w:hint="default"/>
          <w:sz w:val="24"/>
          <w:szCs w:val="24"/>
        </w:rPr>
      </w:pPr>
    </w:p>
    <w:p>
      <w:pPr>
        <w:spacing w:before="0"/>
        <w:ind w:left="1134" w:right="1033" w:firstLine="0"/>
        <w:jc w:val="left"/>
        <w:rPr>
          <w:rFonts w:ascii="宋体" w:hAnsi="宋体" w:cs="宋体" w:eastAsia="宋体" w:hint="default"/>
          <w:sz w:val="21"/>
          <w:szCs w:val="21"/>
        </w:rPr>
      </w:pPr>
      <w:bookmarkStart w:name="56、库存股" w:id="360"/>
      <w:bookmarkEnd w:id="360"/>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57、其他综合收益" w:id="361"/>
      <w:bookmarkEnd w:id="361"/>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-2,236,128.64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3,395,539.5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509,330.94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2,886,208.6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650,080.0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-2,236,128.64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3,395,539.5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509,330.94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2,886,208.6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650,080.0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-2,236,128.64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3,395,539.5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509,330.94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2,886,208.6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650,080.0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8"/>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58、专项储备" w:id="362"/>
      <w:bookmarkEnd w:id="362"/>
      <w:r>
        <w:rPr/>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1,636,524.18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535,724.64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2,172,248.82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1,636,524.18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535,724.64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2,172,248.82</w:t>
            </w:r>
          </w:p>
        </w:tc>
      </w:tr>
    </w:tbl>
    <w:p>
      <w:pPr>
        <w:spacing w:line="357" w:lineRule="auto" w:before="51"/>
        <w:ind w:left="1133" w:right="457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本期增加系控股公司江苏亿金按本报告期实现安装收入的</w:t>
      </w:r>
      <w:r>
        <w:rPr>
          <w:rFonts w:ascii="Times New Roman" w:hAnsi="Times New Roman" w:cs="Times New Roman" w:eastAsia="Times New Roman" w:hint="default"/>
          <w:sz w:val="18"/>
          <w:szCs w:val="18"/>
        </w:rPr>
        <w:t>1%</w:t>
      </w:r>
      <w:r>
        <w:rPr>
          <w:rFonts w:ascii="宋体" w:hAnsi="宋体" w:cs="宋体" w:eastAsia="宋体" w:hint="default"/>
          <w:sz w:val="18"/>
          <w:szCs w:val="18"/>
        </w:rPr>
        <w:t>计提安全生产费。</w:t>
      </w:r>
    </w:p>
    <w:p>
      <w:pPr>
        <w:spacing w:line="240" w:lineRule="auto" w:before="5"/>
        <w:rPr>
          <w:rFonts w:ascii="宋体" w:hAnsi="宋体" w:cs="宋体" w:eastAsia="宋体" w:hint="default"/>
          <w:sz w:val="18"/>
          <w:szCs w:val="18"/>
        </w:rPr>
      </w:pPr>
    </w:p>
    <w:p>
      <w:pPr>
        <w:spacing w:before="0"/>
        <w:ind w:left="1133" w:right="1033" w:firstLine="0"/>
        <w:jc w:val="left"/>
        <w:rPr>
          <w:rFonts w:ascii="宋体" w:hAnsi="宋体" w:cs="宋体" w:eastAsia="宋体" w:hint="default"/>
          <w:sz w:val="21"/>
          <w:szCs w:val="21"/>
        </w:rPr>
      </w:pPr>
      <w:bookmarkStart w:name="59、盈余公积" w:id="363"/>
      <w:bookmarkEnd w:id="363"/>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10,785,023.66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446,863.68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11,231,887.34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10,785,023.66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446,863.68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11,231,887.34</w:t>
            </w:r>
          </w:p>
        </w:tc>
      </w:tr>
    </w:tbl>
    <w:p>
      <w:pPr>
        <w:spacing w:line="357" w:lineRule="auto" w:before="51"/>
        <w:ind w:left="1133" w:right="484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 本期增加系依米康母公司按本报告期实现净利润</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计提的法定盈余公积。</w:t>
      </w:r>
    </w:p>
    <w:p>
      <w:pPr>
        <w:spacing w:line="240" w:lineRule="auto" w:before="5"/>
        <w:rPr>
          <w:rFonts w:ascii="宋体" w:hAnsi="宋体" w:cs="宋体" w:eastAsia="宋体" w:hint="default"/>
          <w:sz w:val="18"/>
          <w:szCs w:val="18"/>
        </w:rPr>
      </w:pPr>
    </w:p>
    <w:p>
      <w:pPr>
        <w:spacing w:before="0"/>
        <w:ind w:left="1133" w:right="1033" w:firstLine="0"/>
        <w:jc w:val="left"/>
        <w:rPr>
          <w:rFonts w:ascii="宋体" w:hAnsi="宋体" w:cs="宋体" w:eastAsia="宋体" w:hint="default"/>
          <w:sz w:val="21"/>
          <w:szCs w:val="21"/>
        </w:rPr>
      </w:pPr>
      <w:bookmarkStart w:name="60、未分配利润" w:id="364"/>
      <w:bookmarkEnd w:id="364"/>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102,754,631.87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92,100,248.68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102,754,631.87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92,100,248.68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14,655,249.30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11,146,687.46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446,863.68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492,304.27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3,519,455.59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113,443,561.90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102,754,631.87</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61、营业收入和营业成本" w:id="365"/>
      <w:bookmarkEnd w:id="365"/>
      <w:r>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871,765,355.61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646,891,727.84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481,583,715.49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332,701,807.46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5,521,837.43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1,586,495.01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7,630,533.34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1,700,731.02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877,287,193.04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648,478,222.85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489,214,248.83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334,402,538.48</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62、营业税金及附加" w:id="366"/>
      <w:bookmarkEnd w:id="366"/>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6,576,742.64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6,661,241.19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2,452,164.65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1,967,195.36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1,185,903.06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885,034.71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770,413.12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589,099.41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投资性房产土地使用税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63,356.16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63,356.16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投资性房产房产税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162,047.64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118,937.34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副食品调控基金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189,881.73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112,650.46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207,159.36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11,607,668.36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10,397,514.63</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63、销售费用" w:id="367"/>
      <w:bookmarkEnd w:id="367"/>
      <w:r>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职工薪酬及附加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22,493,661.71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18,996,757.39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6,182,070.53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5,466,989.06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5,172,589.56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3,758,666.58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修理维护费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4,961,626.30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3,580,455.29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4,227,887.56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3,528,888.30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房租和水电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3,295,059.52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4,058,672.89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2,707,055.33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2,344,572.66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1,858,340.68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1,215,737.60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985,083.01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861,450.41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854,002.35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725,358.90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358,031.77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339,737.92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214,055.60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177,174.87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3,658,282.52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3,233,058.94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56,967,746.44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48,287,520.81</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133" w:right="1033" w:firstLine="0"/>
        <w:jc w:val="left"/>
        <w:rPr>
          <w:rFonts w:ascii="宋体" w:hAnsi="宋体" w:cs="宋体" w:eastAsia="宋体" w:hint="default"/>
          <w:sz w:val="21"/>
          <w:szCs w:val="21"/>
        </w:rPr>
      </w:pPr>
      <w:bookmarkStart w:name="64、管理费用" w:id="368"/>
      <w:bookmarkEnd w:id="368"/>
      <w:r>
        <w:rPr/>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48,351,120.63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27,999,791.03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职工薪酬及附加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20,545,719.19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11,296,100.21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4,806,656.78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178,337.67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3,399,342.94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1,595,446.54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3,193,858.18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486,817.33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3,076,044.62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2,035,295.05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2,247,807.24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1,231,940.44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2,166,569.93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1,195,149.41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房屋水电费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1,779,642.75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1,260,711.53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1,589,925.17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715,175.25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1,477,777.25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945,773.45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1,977,834.09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1,054,216.30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94,612,298.77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49,994,754.21</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2"/>
          <w:szCs w:val="22"/>
        </w:rPr>
      </w:pPr>
    </w:p>
    <w:p>
      <w:pPr>
        <w:spacing w:line="256" w:lineRule="auto" w:before="0"/>
        <w:ind w:left="1133" w:right="1128" w:firstLine="0"/>
        <w:jc w:val="left"/>
        <w:rPr>
          <w:rFonts w:ascii="宋体" w:hAnsi="宋体" w:cs="宋体" w:eastAsia="宋体" w:hint="default"/>
          <w:sz w:val="21"/>
          <w:szCs w:val="21"/>
        </w:rPr>
      </w:pPr>
      <w:r>
        <w:rPr>
          <w:rFonts w:ascii="宋体" w:hAnsi="宋体" w:cs="宋体" w:eastAsia="宋体" w:hint="default"/>
          <w:sz w:val="21"/>
          <w:szCs w:val="21"/>
        </w:rPr>
        <w:t>管理费用本年发生额较上年发生额增加</w:t>
      </w:r>
      <w:r>
        <w:rPr>
          <w:rFonts w:ascii="Times New Roman" w:hAnsi="Times New Roman" w:cs="Times New Roman" w:eastAsia="Times New Roman" w:hint="default"/>
          <w:sz w:val="21"/>
          <w:szCs w:val="21"/>
        </w:rPr>
        <w:t>44,617,544.56</w:t>
      </w:r>
      <w:r>
        <w:rPr>
          <w:rFonts w:ascii="宋体" w:hAnsi="宋体" w:cs="宋体" w:eastAsia="宋体" w:hint="default"/>
          <w:sz w:val="21"/>
          <w:szCs w:val="21"/>
        </w:rPr>
        <w:t>元，增加</w:t>
      </w:r>
      <w:r>
        <w:rPr>
          <w:rFonts w:ascii="Times New Roman" w:hAnsi="Times New Roman" w:cs="Times New Roman" w:eastAsia="Times New Roman" w:hint="default"/>
          <w:sz w:val="21"/>
          <w:szCs w:val="21"/>
        </w:rPr>
        <w:t>89.24%</w:t>
      </w:r>
      <w:r>
        <w:rPr>
          <w:rFonts w:ascii="宋体" w:hAnsi="宋体" w:cs="宋体" w:eastAsia="宋体" w:hint="default"/>
          <w:sz w:val="21"/>
          <w:szCs w:val="21"/>
        </w:rPr>
        <w:t>，主要原因系上年合并利润表未包括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江苏亿金公司，本年合并江苏亿金管理费用</w:t>
      </w:r>
      <w:r>
        <w:rPr>
          <w:rFonts w:ascii="Times New Roman" w:hAnsi="Times New Roman" w:cs="Times New Roman" w:eastAsia="Times New Roman" w:hint="default"/>
          <w:sz w:val="21"/>
          <w:szCs w:val="21"/>
        </w:rPr>
        <w:t>41,248,816.62</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65、财务费用" w:id="369"/>
      <w:bookmarkEnd w:id="369"/>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9,264,220.01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2,296,177.78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1,469,702.41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1,280,227.84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加：贴现息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322,055.70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-21,714.48</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291,416.07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159,053.58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8,407,989.37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1,153,289.04</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56" w:lineRule="auto" w:before="90"/>
        <w:ind w:left="1134" w:right="1092" w:firstLine="0"/>
        <w:jc w:val="left"/>
        <w:rPr>
          <w:rFonts w:ascii="宋体" w:hAnsi="宋体" w:cs="宋体" w:eastAsia="宋体" w:hint="default"/>
          <w:sz w:val="21"/>
          <w:szCs w:val="21"/>
        </w:rPr>
      </w:pPr>
      <w:r>
        <w:rPr>
          <w:rFonts w:ascii="宋体" w:hAnsi="宋体" w:cs="宋体" w:eastAsia="宋体" w:hint="default"/>
          <w:sz w:val="21"/>
          <w:szCs w:val="21"/>
        </w:rPr>
        <w:t>财务费用本年较上年增加</w:t>
      </w:r>
      <w:r>
        <w:rPr>
          <w:rFonts w:ascii="Times New Roman" w:hAnsi="Times New Roman" w:cs="Times New Roman" w:eastAsia="Times New Roman" w:hint="default"/>
          <w:sz w:val="21"/>
          <w:szCs w:val="21"/>
        </w:rPr>
        <w:t>7,254,700.33</w:t>
      </w:r>
      <w:r>
        <w:rPr>
          <w:rFonts w:ascii="宋体" w:hAnsi="宋体" w:cs="宋体" w:eastAsia="宋体" w:hint="default"/>
          <w:sz w:val="21"/>
          <w:szCs w:val="21"/>
        </w:rPr>
        <w:t>元，增加</w:t>
      </w:r>
      <w:r>
        <w:rPr>
          <w:rFonts w:ascii="Times New Roman" w:hAnsi="Times New Roman" w:cs="Times New Roman" w:eastAsia="Times New Roman" w:hint="default"/>
          <w:sz w:val="21"/>
          <w:szCs w:val="21"/>
        </w:rPr>
        <w:t>6.29</w:t>
      </w:r>
      <w:r>
        <w:rPr>
          <w:rFonts w:ascii="宋体" w:hAnsi="宋体" w:cs="宋体" w:eastAsia="宋体" w:hint="default"/>
          <w:sz w:val="21"/>
          <w:szCs w:val="21"/>
        </w:rPr>
        <w:t>倍，主要原因系上年合并利润表未包括江苏亿金公司， 本年合并江苏亿金财务费用</w:t>
      </w:r>
      <w:r>
        <w:rPr>
          <w:rFonts w:ascii="Times New Roman" w:hAnsi="Times New Roman" w:cs="Times New Roman" w:eastAsia="Times New Roman" w:hint="default"/>
          <w:sz w:val="21"/>
          <w:szCs w:val="21"/>
        </w:rPr>
        <w:t>6,315,955.29</w:t>
      </w:r>
      <w:r>
        <w:rPr>
          <w:rFonts w:ascii="宋体" w:hAnsi="宋体" w:cs="宋体" w:eastAsia="宋体" w:hint="default"/>
          <w:sz w:val="21"/>
          <w:szCs w:val="21"/>
        </w:rPr>
        <w:t>元。</w:t>
      </w:r>
    </w:p>
    <w:p>
      <w:pPr>
        <w:spacing w:line="240" w:lineRule="auto" w:before="5"/>
        <w:rPr>
          <w:rFonts w:ascii="宋体" w:hAnsi="宋体" w:cs="宋体" w:eastAsia="宋体" w:hint="default"/>
          <w:sz w:val="23"/>
          <w:szCs w:val="23"/>
        </w:rPr>
      </w:pPr>
    </w:p>
    <w:p>
      <w:pPr>
        <w:spacing w:before="0"/>
        <w:ind w:left="1133" w:right="1033" w:firstLine="0"/>
        <w:jc w:val="left"/>
        <w:rPr>
          <w:rFonts w:ascii="宋体" w:hAnsi="宋体" w:cs="宋体" w:eastAsia="宋体" w:hint="default"/>
          <w:sz w:val="21"/>
          <w:szCs w:val="21"/>
        </w:rPr>
      </w:pPr>
      <w:bookmarkStart w:name="66、资产减值损失" w:id="370"/>
      <w:bookmarkEnd w:id="370"/>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25,411,289.12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16,368,543.23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8,651.29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-204,355.18</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25,419,940.41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16,164,188.05</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67、公允价值变动收益" w:id="371"/>
      <w:bookmarkEnd w:id="371"/>
      <w:r>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68、投资收益" w:id="372"/>
      <w:bookmarkEnd w:id="372"/>
      <w:r>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-3,412,475.36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-1,726,285.40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-3,412,475.36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-1,726,285.40</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6"/>
        <w:ind w:right="1033"/>
        <w:jc w:val="left"/>
      </w:pPr>
      <w:r>
        <w:rPr/>
        <w:t>本期发生的投资收益来源于公司参股的上海虹港数据信息有限公司。</w:t>
      </w:r>
    </w:p>
    <w:p>
      <w:pPr>
        <w:spacing w:line="240" w:lineRule="auto" w:before="8"/>
        <w:rPr>
          <w:rFonts w:ascii="宋体" w:hAnsi="宋体" w:cs="宋体" w:eastAsia="宋体" w:hint="default"/>
          <w:sz w:val="24"/>
          <w:szCs w:val="24"/>
        </w:rPr>
      </w:pPr>
    </w:p>
    <w:p>
      <w:pPr>
        <w:spacing w:before="0"/>
        <w:ind w:left="1133" w:right="1033" w:firstLine="0"/>
        <w:jc w:val="left"/>
        <w:rPr>
          <w:rFonts w:ascii="宋体" w:hAnsi="宋体" w:cs="宋体" w:eastAsia="宋体" w:hint="default"/>
          <w:sz w:val="21"/>
          <w:szCs w:val="21"/>
        </w:rPr>
      </w:pPr>
      <w:bookmarkStart w:name="69、营业外收入" w:id="373"/>
      <w:bookmarkEnd w:id="373"/>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80"/>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98"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0"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11,543.68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11,543.68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11,543.68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11,543.68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3,803,413.93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4,765,970.86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2,812,896.56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其中：递延收益摊销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1,005,696.56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52,663.80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1,005,696.57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589,998.56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957,489.67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589,998.56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4,404,956.17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5,723,460.53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3,489,179.04</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成都市高新 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高新技术产 业开发区发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成都高新技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69.679993pt;margin-top:730.559998pt;width:52.7pt;height:7.8pt;mso-position-horizontal-relative:page;mso-position-vertical-relative:page;z-index:-1060072" coordorigin="5394,14611" coordsize="1054,156">
            <v:shape style="position:absolute;left:5394;top:14611;width:1054;height:156" coordorigin="5394,14611" coordsize="1054,156" path="m5394,14767l6447,14767,6447,14611,5394,14611,5394,1476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术产业开发 区经贸发展 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成都市安全 生产科学技 术服务中心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深圳市福田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990,517.37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江阴市财政 国库集中支 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顾山镇人民 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江阴市财政 国库集中支 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递延收益摊 销</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942,500.00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递延收益摊 销</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成都市财政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63,196.56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深圳市福田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3,803,413.93</w:t>
            </w:r>
          </w:p>
        </w:tc>
        <w:tc>
          <w:tcPr>
            <w:tcW w:w="1062" w:type="dxa"/>
            <w:tcBorders>
              <w:top w:val="single" w:sz="4" w:space="0" w:color="000000"/>
              <w:left w:val="single" w:sz="4" w:space="0" w:color="000000"/>
              <w:bottom w:val="single" w:sz="4" w:space="0" w:color="000000"/>
              <w:right w:val="single" w:sz="13" w:space="0" w:color="D2D2D2"/>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70、营业外支出" w:id="374"/>
      <w:bookmarkEnd w:id="374"/>
      <w:r>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36,270.09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5,631.92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36,270.09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5,631.92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421,055.57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130,735.95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451,693.74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467,325.66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142,554.61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467,325.66</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2"/>
          <w:szCs w:val="22"/>
        </w:rPr>
      </w:pPr>
    </w:p>
    <w:p>
      <w:pPr>
        <w:spacing w:before="0"/>
        <w:ind w:left="1133" w:right="1033" w:firstLine="0"/>
        <w:jc w:val="left"/>
        <w:rPr>
          <w:rFonts w:ascii="宋体" w:hAnsi="宋体" w:cs="宋体" w:eastAsia="宋体" w:hint="default"/>
          <w:sz w:val="21"/>
          <w:szCs w:val="21"/>
        </w:rPr>
      </w:pPr>
      <w:r>
        <w:rPr>
          <w:rFonts w:ascii="宋体" w:hAnsi="宋体" w:cs="宋体" w:eastAsia="宋体" w:hint="default"/>
          <w:sz w:val="21"/>
          <w:szCs w:val="21"/>
        </w:rPr>
        <w:t>其他主要系由于安装工程工期拖延，江苏亿金公司根据协议条款支付对方违约金</w:t>
      </w:r>
      <w:r>
        <w:rPr>
          <w:rFonts w:ascii="Times New Roman" w:hAnsi="Times New Roman" w:cs="Times New Roman" w:eastAsia="Times New Roman" w:hint="default"/>
          <w:sz w:val="21"/>
          <w:szCs w:val="21"/>
        </w:rPr>
        <w:t>40</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71、所得税费用" w:id="375"/>
      <w:bookmarkEnd w:id="375"/>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所得税费用表" w:id="376"/>
      <w:bookmarkEnd w:id="3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9,703,358.85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7,410,172.78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-4,671,545.63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-2,499,406.54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5,031,813.22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4,910,766.24</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会计利润与所得税费用调整过程" w:id="377"/>
      <w:bookmarkEnd w:id="3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32,318,481.99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4,847,772.30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-575,721.25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1192128.20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1,847,633.26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36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511,871.30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-1,242,933.60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补缴以前年度</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91,092.98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-1,640,029.97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5,031,813.22</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133" w:right="8856" w:firstLine="0"/>
        <w:jc w:val="left"/>
        <w:rPr>
          <w:rFonts w:ascii="宋体" w:hAnsi="宋体" w:cs="宋体" w:eastAsia="宋体" w:hint="default"/>
          <w:sz w:val="21"/>
          <w:szCs w:val="21"/>
        </w:rPr>
      </w:pPr>
      <w:bookmarkStart w:name="72、其他综合收益" w:id="378"/>
      <w:bookmarkEnd w:id="378"/>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79"/>
      <w:bookmarkEnd w:id="379"/>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25"/>
        <w:ind w:left="1133" w:right="1033" w:firstLine="0"/>
        <w:jc w:val="left"/>
        <w:rPr>
          <w:rFonts w:ascii="宋体" w:hAnsi="宋体" w:cs="宋体" w:eastAsia="宋体" w:hint="default"/>
          <w:sz w:val="21"/>
          <w:szCs w:val="21"/>
        </w:rPr>
      </w:pPr>
      <w:bookmarkStart w:name="（1）收到的其他与经营活动有关的现金" w:id="380"/>
      <w:bookmarkEnd w:id="3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1,469,702.41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1,868,911.17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9,100,615.55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14,526,664.42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2,940,777.75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303,310.79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15,318,295.71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18,353,886.38</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2）支付的其他与经营活动有关的现金" w:id="381"/>
      <w:bookmarkEnd w:id="3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17,583,432.76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4,961,626.30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11,517,973.38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6,789,728.68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10,659,847.78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8,860,322.40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房租和水电费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8,500,971.87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6,715,220.54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7,471,420.53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20,192,987.25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6,475,694.80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5,144,659.64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5,783,099.95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4,432,847.36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10,207,952.17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12,748,386.67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78,200,393.24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69,845,778.84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3）收到的其他与投资活动有关的现金"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江苏亿金货币资金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1,311,181.85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1,957,300.00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3,268,481.85</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4）支付的其他与投资活动有关的现金" w:id="383"/>
      <w:bookmarkEnd w:id="3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5）收到的其他与筹资活动有关的现金" w:id="384"/>
      <w:bookmarkEnd w:id="3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10,460,844.00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10,460,844.00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6）支付的其他与筹资活动有关的现金" w:id="385"/>
      <w:bookmarkEnd w:id="3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受限货币资金增加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21,765,289.39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4,647,361.36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2,529,388.60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21,765,289.39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7,176,749.96</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74、现金流量表补充资料" w:id="386"/>
      <w:bookmarkEnd w:id="386"/>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现金流量表补充资料" w:id="387"/>
      <w:bookmarkEnd w:id="3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84.029968pt;width:151.25pt;height:40.9pt;mso-position-horizontal-relative:page;mso-position-vertical-relative:page;z-index:-1060048" coordorigin="4467,5681" coordsize="3025,818">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v:group style="position:absolute;left:4478;top:6094;width:2;height:393" coordorigin="4478,6094" coordsize="2,393">
              <v:shape style="position:absolute;left:4478;top:6094;width:2;height:393" coordorigin="4478,6094" coordsize="0,393" path="m4478,6094l4478,6486e" filled="false" stroked="true" strokeweight="1.140pt" strokecolor="#ffffff">
                <v:path arrowok="t"/>
              </v:shape>
            </v:group>
            <v:group style="position:absolute;left:4490;top:6094;width:3002;height:393" coordorigin="4490,6094" coordsize="3002,393">
              <v:shape style="position:absolute;left:4490;top:6094;width:3002;height:393" coordorigin="4490,6094" coordsize="3002,393" path="m4490,6486l7491,6486,7491,6094,4490,6094,4490,6486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27,286,668.77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27,758,297.89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25,419,940.41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16,164,188.05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9,288,812.71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4,227,961.03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5,715,055.21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722,435.78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1,151,437.20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667,638.01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24,726.41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11,818.66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9,264,220.01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2,296,177.78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3,412,475.36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1,726,285.40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-2,648,886.16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-2,499,406.54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-2,022,659.47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-48,818,298.74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4,351,428.89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5" w:right="0"/>
              <w:jc w:val="left"/>
              <w:rPr>
                <w:rFonts w:ascii="Times New Roman" w:hAnsi="Times New Roman" w:cs="Times New Roman" w:eastAsia="Times New Roman" w:hint="default"/>
                <w:sz w:val="18"/>
                <w:szCs w:val="18"/>
              </w:rPr>
            </w:pPr>
            <w:r>
              <w:rPr>
                <w:rFonts w:ascii="Times New Roman"/>
                <w:sz w:val="18"/>
              </w:rPr>
              <w:t>-159,211,346.92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-92,541,335.98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116,940,310.60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53,044,689.09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-14,197,544.61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15,930,178.06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68,694,642.48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150,613,746.37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150,613,746.37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113,464,007.05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-81,919,103.89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37,149,739.32</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本期支付的取得子公司的现金净额" w:id="388"/>
      <w:bookmarkEnd w:id="3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3）本期收到的处置子公司的现金净额"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4）现金和现金等价物的构成" w:id="390"/>
      <w:bookmarkEnd w:id="3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68,694,642.48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156,771.34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30,715.26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68,537,871.14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150,583,031.11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150,613,746.37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68,694,642.48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150,613,746.37</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5、所有者权益变动表项目注释" w:id="391"/>
      <w:bookmarkEnd w:id="391"/>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92"/>
      <w:bookmarkEnd w:id="392"/>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3" w:right="0"/>
              <w:jc w:val="left"/>
              <w:rPr>
                <w:rFonts w:ascii="Times New Roman" w:hAnsi="Times New Roman" w:cs="Times New Roman" w:eastAsia="Times New Roman" w:hint="default"/>
                <w:sz w:val="18"/>
                <w:szCs w:val="18"/>
              </w:rPr>
            </w:pPr>
            <w:r>
              <w:rPr>
                <w:rFonts w:ascii="Times New Roman"/>
                <w:sz w:val="18"/>
              </w:rPr>
              <w:t>48,757,691.60</w:t>
            </w:r>
          </w:p>
        </w:tc>
        <w:tc>
          <w:tcPr>
            <w:tcW w:w="3184"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银行承兑汇票保证金、保函保证金、用 于质押借款的国内信用证</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shd w:val="clear" w:color="auto" w:fill="CCE8CF"/>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53,529,651.09</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17,831,135.50</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10,068,976.55</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152,687,454.74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77、外币货币性项目" w:id="393"/>
      <w:bookmarkEnd w:id="393"/>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外币货币性项目" w:id="394"/>
      <w:bookmarkEnd w:id="3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259" w:lineRule="auto" w:before="0"/>
        <w:ind w:left="1133" w:right="1033" w:firstLine="0"/>
        <w:jc w:val="left"/>
        <w:rPr>
          <w:rFonts w:ascii="宋体" w:hAnsi="宋体" w:cs="宋体" w:eastAsia="宋体" w:hint="default"/>
          <w:sz w:val="21"/>
          <w:szCs w:val="21"/>
        </w:rPr>
      </w:pPr>
      <w:bookmarkStart w:name="（2）境外经营实体说明，包括对于重要的境外经营实体，应披露其境外主要经营地、记账" w:id="395"/>
      <w:bookmarkEnd w:id="3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78、套期" w:id="396"/>
      <w:bookmarkEnd w:id="396"/>
      <w:r>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79、其他" w:id="397"/>
      <w:bookmarkEnd w:id="397"/>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8"/>
      <w:bookmarkEnd w:id="398"/>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9"/>
      <w:bookmarkEnd w:id="39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83"/>
        <w:ind w:left="1133" w:right="1033" w:firstLine="0"/>
        <w:jc w:val="left"/>
        <w:rPr>
          <w:rFonts w:ascii="宋体" w:hAnsi="宋体" w:cs="宋体" w:eastAsia="宋体" w:hint="default"/>
          <w:sz w:val="21"/>
          <w:szCs w:val="21"/>
        </w:rPr>
      </w:pPr>
      <w:bookmarkStart w:name="（1）本期发生的非同一控制下企业合并" w:id="400"/>
      <w:bookmarkEnd w:id="4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2）合并成本及商誉" w:id="401"/>
      <w:bookmarkEnd w:id="4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13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3）被购买方于购买日可辨认资产、负债" w:id="402"/>
      <w:bookmarkEnd w:id="4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9"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13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spacing w:before="0"/>
        <w:ind w:left="1134" w:right="0" w:firstLine="0"/>
        <w:jc w:val="both"/>
        <w:rPr>
          <w:rFonts w:ascii="宋体" w:hAnsi="宋体" w:cs="宋体" w:eastAsia="宋体" w:hint="default"/>
          <w:sz w:val="21"/>
          <w:szCs w:val="21"/>
        </w:rPr>
      </w:pPr>
      <w:bookmarkStart w:name="（4）购买日之前持有的股权按照公允价值重新计量产生的利得或损失" w:id="403"/>
      <w:bookmarkEnd w:id="4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5）购买日或合并当期期末无法合理确定合并对价或被购买方可辨认资产、负债公允价值" w:id="404"/>
      <w:bookmarkEnd w:id="4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6）其他说明" w:id="405"/>
      <w:bookmarkEnd w:id="4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2、同一控制下企业合并" w:id="406"/>
      <w:bookmarkEnd w:id="40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本期发生的同一控制下企业合并" w:id="407"/>
      <w:bookmarkEnd w:id="4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2）合并成本" w:id="408"/>
      <w:bookmarkEnd w:id="4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13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
        <w:rPr>
          <w:rFonts w:ascii="宋体" w:hAnsi="宋体" w:cs="宋体" w:eastAsia="宋体" w:hint="default"/>
          <w:sz w:val="20"/>
          <w:szCs w:val="20"/>
        </w:rPr>
      </w:pPr>
    </w:p>
    <w:p>
      <w:pPr>
        <w:spacing w:before="0"/>
        <w:ind w:left="1133" w:right="1033" w:firstLine="0"/>
        <w:jc w:val="left"/>
        <w:rPr>
          <w:rFonts w:ascii="宋体" w:hAnsi="宋体" w:cs="宋体" w:eastAsia="宋体" w:hint="default"/>
          <w:sz w:val="21"/>
          <w:szCs w:val="21"/>
        </w:rPr>
      </w:pPr>
      <w:bookmarkStart w:name="（3）合并日被合并方资产、负债的账面价值" w:id="409"/>
      <w:bookmarkEnd w:id="4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9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9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9e" filled="false" stroked="true" strokeweight=".48pt" strokecolor="#000000">
                <v:path arrowok="t"/>
              </v:shape>
              <v:shape style="position:absolute;left:3195;top:412;width:3190;height:403"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7"/>
        <w:ind w:left="113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after="0" w:line="36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3、反向购买" w:id="410"/>
      <w:bookmarkEnd w:id="4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19" w:lineRule="auto" w:before="0"/>
        <w:ind w:left="1134" w:right="1033"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3"/>
        <w:rPr>
          <w:rFonts w:ascii="宋体" w:hAnsi="宋体" w:cs="宋体" w:eastAsia="宋体" w:hint="default"/>
          <w:sz w:val="22"/>
          <w:szCs w:val="22"/>
        </w:rPr>
      </w:pPr>
    </w:p>
    <w:p>
      <w:pPr>
        <w:spacing w:before="0"/>
        <w:ind w:left="1134" w:right="1033" w:firstLine="0"/>
        <w:jc w:val="left"/>
        <w:rPr>
          <w:rFonts w:ascii="宋体" w:hAnsi="宋体" w:cs="宋体" w:eastAsia="宋体" w:hint="default"/>
          <w:sz w:val="21"/>
          <w:szCs w:val="21"/>
        </w:rPr>
      </w:pPr>
      <w:bookmarkStart w:name="4、处置子公司" w:id="411"/>
      <w:bookmarkEnd w:id="41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5、其他原因的合并范围变动" w:id="412"/>
      <w:bookmarkEnd w:id="41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1"/>
        <w:rPr>
          <w:rFonts w:ascii="宋体" w:hAnsi="宋体" w:cs="宋体" w:eastAsia="宋体" w:hint="default"/>
          <w:sz w:val="15"/>
          <w:szCs w:val="15"/>
        </w:rPr>
      </w:pPr>
    </w:p>
    <w:p>
      <w:pPr>
        <w:spacing w:before="0"/>
        <w:ind w:left="1553" w:right="10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）新设子公司</w:t>
      </w:r>
    </w:p>
    <w:p>
      <w:pPr>
        <w:spacing w:line="240" w:lineRule="auto" w:before="11"/>
        <w:rPr>
          <w:rFonts w:ascii="宋体" w:hAnsi="宋体" w:cs="宋体" w:eastAsia="宋体" w:hint="default"/>
          <w:sz w:val="17"/>
          <w:szCs w:val="17"/>
        </w:rPr>
      </w:pPr>
    </w:p>
    <w:p>
      <w:pPr>
        <w:spacing w:before="0"/>
        <w:ind w:left="2274" w:right="1033" w:firstLine="0"/>
        <w:jc w:val="left"/>
        <w:rPr>
          <w:rFonts w:ascii="宋体" w:hAnsi="宋体" w:cs="宋体" w:eastAsia="宋体" w:hint="default"/>
          <w:sz w:val="21"/>
          <w:szCs w:val="21"/>
        </w:rPr>
      </w:pPr>
      <w:bookmarkStart w:name="2014年10月21日，本公司之子公司江苏亿金公司独资设立江阴亿金物资贸易有限公" w:id="413"/>
      <w:bookmarkEnd w:id="413"/>
      <w:r>
        <w:rPr/>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日，本公司之子公司江苏亿金公司独资设立江阴亿金物资贸易有限公司，并</w:t>
      </w:r>
    </w:p>
    <w:p>
      <w:pPr>
        <w:spacing w:before="69"/>
        <w:ind w:left="1854" w:right="103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在无锡市江阴工商行政管理局登记备案。该公司注册资本为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万元人民币，截止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31</w:t>
      </w:r>
    </w:p>
    <w:p>
      <w:pPr>
        <w:spacing w:before="69"/>
        <w:ind w:left="1854" w:right="1033" w:firstLine="0"/>
        <w:jc w:val="left"/>
        <w:rPr>
          <w:rFonts w:ascii="宋体" w:hAnsi="宋体" w:cs="宋体" w:eastAsia="宋体" w:hint="default"/>
          <w:sz w:val="21"/>
          <w:szCs w:val="21"/>
        </w:rPr>
      </w:pPr>
      <w:r>
        <w:rPr>
          <w:rFonts w:ascii="宋体" w:hAnsi="宋体" w:cs="宋体" w:eastAsia="宋体" w:hint="default"/>
          <w:sz w:val="21"/>
          <w:szCs w:val="21"/>
        </w:rPr>
        <w:t>日，江苏亿金公司尚未对其实际出资。</w:t>
      </w:r>
    </w:p>
    <w:p>
      <w:pPr>
        <w:spacing w:line="240" w:lineRule="auto" w:before="0"/>
        <w:rPr>
          <w:rFonts w:ascii="宋体" w:hAnsi="宋体" w:cs="宋体" w:eastAsia="宋体" w:hint="default"/>
          <w:sz w:val="14"/>
          <w:szCs w:val="14"/>
        </w:rPr>
      </w:pPr>
    </w:p>
    <w:p>
      <w:pPr>
        <w:spacing w:before="0"/>
        <w:ind w:left="1554" w:right="10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）设立、注销分公司</w:t>
      </w:r>
    </w:p>
    <w:p>
      <w:pPr>
        <w:spacing w:line="240" w:lineRule="auto" w:before="13"/>
        <w:rPr>
          <w:rFonts w:ascii="宋体" w:hAnsi="宋体" w:cs="宋体" w:eastAsia="宋体" w:hint="default"/>
          <w:sz w:val="17"/>
          <w:szCs w:val="17"/>
        </w:rPr>
      </w:pPr>
    </w:p>
    <w:p>
      <w:pPr>
        <w:spacing w:line="297" w:lineRule="auto" w:before="0"/>
        <w:ind w:left="1134" w:right="112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日，本公司之子公司江苏亿金公司设立江苏亿金环保科技股份有限公司江阴安装分公</w:t>
      </w:r>
      <w:r>
        <w:rPr>
          <w:rFonts w:ascii="宋体" w:hAnsi="宋体" w:cs="宋体" w:eastAsia="宋体" w:hint="default"/>
          <w:sz w:val="21"/>
          <w:szCs w:val="21"/>
        </w:rPr>
        <w:t> 司，并在无锡市江阴工商行政管理局登记备案。</w:t>
      </w:r>
    </w:p>
    <w:p>
      <w:pPr>
        <w:spacing w:line="240" w:lineRule="auto" w:before="8"/>
        <w:rPr>
          <w:rFonts w:ascii="宋体" w:hAnsi="宋体" w:cs="宋体" w:eastAsia="宋体" w:hint="default"/>
          <w:sz w:val="14"/>
          <w:szCs w:val="14"/>
        </w:rPr>
      </w:pPr>
    </w:p>
    <w:p>
      <w:pPr>
        <w:spacing w:before="0"/>
        <w:ind w:left="1554" w:right="10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日，本公司之子公司江苏亿金公司根据股东会决议注销江苏亿金环保科技股份有限公</w:t>
      </w:r>
    </w:p>
    <w:p>
      <w:pPr>
        <w:spacing w:line="297" w:lineRule="auto" w:before="69"/>
        <w:ind w:left="1134" w:right="1119" w:firstLine="0"/>
        <w:jc w:val="left"/>
        <w:rPr>
          <w:rFonts w:ascii="宋体" w:hAnsi="宋体" w:cs="宋体" w:eastAsia="宋体" w:hint="default"/>
          <w:sz w:val="21"/>
          <w:szCs w:val="21"/>
        </w:rPr>
      </w:pPr>
      <w:r>
        <w:rPr>
          <w:rFonts w:ascii="宋体" w:hAnsi="宋体" w:cs="宋体" w:eastAsia="宋体" w:hint="default"/>
          <w:sz w:val="21"/>
          <w:szCs w:val="21"/>
        </w:rPr>
        <w:t>司南京分公司，并在南京市工商行政管理局雨花台分局登记注销。</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日，南京市雨花台区国家</w:t>
      </w:r>
      <w:r>
        <w:rPr>
          <w:rFonts w:ascii="宋体" w:hAnsi="宋体" w:cs="宋体" w:eastAsia="宋体" w:hint="default"/>
          <w:sz w:val="21"/>
          <w:szCs w:val="21"/>
        </w:rPr>
        <w:t> 税务局核准南京分公司注销税务登记。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line="487" w:lineRule="auto" w:before="0"/>
        <w:ind w:left="1134" w:right="8113" w:firstLine="0"/>
        <w:jc w:val="left"/>
        <w:rPr>
          <w:rFonts w:ascii="宋体" w:hAnsi="宋体" w:cs="宋体" w:eastAsia="宋体" w:hint="default"/>
          <w:sz w:val="21"/>
          <w:szCs w:val="21"/>
        </w:rPr>
      </w:pPr>
      <w:bookmarkStart w:name="6、其他" w:id="414"/>
      <w:bookmarkEnd w:id="41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5"/>
      <w:bookmarkEnd w:id="41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6"/>
      <w:bookmarkEnd w:id="41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3"/>
        <w:ind w:left="1134" w:right="1033" w:firstLine="0"/>
        <w:jc w:val="left"/>
        <w:rPr>
          <w:rFonts w:ascii="宋体" w:hAnsi="宋体" w:cs="宋体" w:eastAsia="宋体" w:hint="default"/>
          <w:sz w:val="21"/>
          <w:szCs w:val="21"/>
        </w:rPr>
      </w:pPr>
      <w:bookmarkStart w:name="（1）企业集团的构成" w:id="417"/>
      <w:bookmarkEnd w:id="4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7"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工程安装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9" w:space="0" w:color="CCE8CF"/>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沈阳桑瑞思公司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沈阳市沈河区</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依米康软件公司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计算机软件开发 与系统集成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深圳市福田区</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计算机集成系统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四川龙控公司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计算机集成系统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西安华西公司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计算机信息系统 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环保设备销售及 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杭州亿金公司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环保设备销售及 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59.22%</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亿金物资贸易</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材料设备销售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59.22%</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13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7"/>
        <w:ind w:left="113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3"/>
        <w:rPr>
          <w:rFonts w:ascii="宋体" w:hAnsi="宋体" w:cs="宋体" w:eastAsia="宋体" w:hint="default"/>
          <w:sz w:val="19"/>
          <w:szCs w:val="19"/>
        </w:rPr>
      </w:pPr>
    </w:p>
    <w:p>
      <w:pPr>
        <w:spacing w:before="0"/>
        <w:ind w:left="1134" w:right="1033" w:firstLine="0"/>
        <w:jc w:val="left"/>
        <w:rPr>
          <w:rFonts w:ascii="宋体" w:hAnsi="宋体" w:cs="宋体" w:eastAsia="宋体" w:hint="default"/>
          <w:sz w:val="21"/>
          <w:szCs w:val="21"/>
        </w:rPr>
      </w:pPr>
      <w:bookmarkStart w:name="（2）重要的非全资子公司" w:id="418"/>
      <w:bookmarkEnd w:id="4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1,174,219.01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22,348,856.14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西安华西公司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1,613,408.50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40,005,977.98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9,843,791.96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127,450,142.41</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spacing w:before="0"/>
        <w:ind w:left="1134" w:right="1033" w:firstLine="0"/>
        <w:jc w:val="left"/>
        <w:rPr>
          <w:rFonts w:ascii="宋体" w:hAnsi="宋体" w:cs="宋体" w:eastAsia="宋体" w:hint="default"/>
          <w:sz w:val="21"/>
          <w:szCs w:val="21"/>
        </w:rPr>
      </w:pPr>
      <w:bookmarkStart w:name="（3）重要非全资子公司的主要财务信息" w:id="419"/>
      <w:bookmarkEnd w:id="4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深圳龙 控公司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102,509,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149.04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2,611,16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105,120,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311.03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59,510,4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00.56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59,510,4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83,224,8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1,561,08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84,785,9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41,572,3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77.91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41,572,3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77.91</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西安华 西公司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231,790,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196.53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5,763,68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237,553,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876.68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155,792,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221.30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155,792,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221.30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170,830,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194.73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5,677,18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176,507,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380.48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center"/>
              <w:rPr>
                <w:rFonts w:ascii="Times New Roman" w:hAnsi="Times New Roman" w:cs="Times New Roman" w:eastAsia="Times New Roman" w:hint="default"/>
                <w:sz w:val="18"/>
                <w:szCs w:val="18"/>
              </w:rPr>
            </w:pPr>
            <w:r>
              <w:rPr>
                <w:rFonts w:ascii="Times New Roman"/>
                <w:sz w:val="18"/>
              </w:rPr>
              <w:t>118,443,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106.06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118,443,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106.06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江苏亿 金公司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530,595,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167.71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122,495,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233.41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653,090,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401.12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385,438,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159.59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385,438,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159.59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405,403,</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038.26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114,217,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613.05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519,620,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651.31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360,576,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195.16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360,576,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195.16</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深圳龙控公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65,709,243.9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2,396,365.32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2,396,365.32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-7,360,185.58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76,191,426.5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16,532,479.7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16,532,479.7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4,074,784.93</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西安华西公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176,503,502.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3,297,380.96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3,297,380.96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-4,726,988.21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177,808,672.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17,393,614.0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17,393,614.0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-8,003,069.56</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江苏亿金公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369,509,201.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35,601,694.7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35,601,694.7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-13,867,022.6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297,761,360.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31,685,157.4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31,685,157.4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8,095,763.99</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4）使用企业集团资产和清偿企业集团债务的重大限制" w:id="420"/>
      <w:bookmarkEnd w:id="4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5）向纳入合并财务报表范围的结构化主体提供的财务支持或其他支持" w:id="421"/>
      <w:bookmarkEnd w:id="4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2、在子公司的所有者权益份额发生变化且仍控制子公司的交易" w:id="422"/>
      <w:bookmarkEnd w:id="42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在子公司所有者权益份额发生变化的情况说明" w:id="423"/>
      <w:bookmarkEnd w:id="4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2）交易对于少数股东权益及归属于母公司所有者权益的影响" w:id="424"/>
      <w:bookmarkEnd w:id="4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spacing w:before="47"/>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在合营安排或联营企业中的权益" w:id="425"/>
      <w:bookmarkEnd w:id="42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重要的合营企业或联营企业" w:id="426"/>
      <w:bookmarkEnd w:id="4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上海虹港数据信 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上海市虹口区</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计算机网络信息 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134" w:right="1033"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2）重要合营企业的主要财务信息" w:id="427"/>
      <w:bookmarkEnd w:id="4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511"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32,002,797.56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13,304,806.35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7,419,991.10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509,615.77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63,888,711.54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62,700,986.42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95,891,509.10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81,934,617.13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2,550,608.40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9,757,512.94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43,520,000.00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46,070,608.40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53,277,512.94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49,820,900.70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28,657,104.19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15,444,479.22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11,462,841.68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-2,864,641.94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12,237,286.58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9,769,490.26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8,106,171.34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1,747,236.75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253,675.51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39,798.96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-8,836,203.49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-3,837,160.74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-8,836,203.49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-3,837,160.74</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重要联营企业的主要财务信息" w:id="428"/>
      <w:bookmarkEnd w:id="4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4）不重要的合营企业和联营企业的汇总财务信息" w:id="429"/>
      <w:bookmarkEnd w:id="4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5）合营企业或联营企业向本公司转移资金的能力存在重大限制的说明" w:id="430"/>
      <w:bookmarkEnd w:id="4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6）合营企业或联营企业发生的超额亏损" w:id="431"/>
      <w:bookmarkEnd w:id="4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7）与合营企业投资相关的未确认承诺" w:id="432"/>
      <w:bookmarkEnd w:id="4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8）与合营企业或联营企业投资相关的或有负债" w:id="433"/>
      <w:bookmarkEnd w:id="4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4、重要的共同经营" w:id="434"/>
      <w:bookmarkEnd w:id="43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13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133"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5、在未纳入合并财务报表范围的结构化主体中的权益" w:id="435"/>
      <w:bookmarkEnd w:id="43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477" w:lineRule="auto"/>
        <w:ind w:right="7326"/>
        <w:jc w:val="left"/>
        <w:rPr>
          <w:b w:val="0"/>
          <w:bCs w:val="0"/>
        </w:rPr>
      </w:pPr>
      <w:bookmarkStart w:name="6、其他" w:id="436"/>
      <w:bookmarkEnd w:id="436"/>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37"/>
      <w:bookmarkEnd w:id="437"/>
      <w:r>
        <w:rPr>
          <w:spacing w:val="1"/>
          <w:w w:val="99"/>
          <w:sz w:val="21"/>
          <w:szCs w:val="21"/>
        </w:rPr>
      </w:r>
      <w:r>
        <w:rPr>
          <w:w w:val="95"/>
        </w:rPr>
        <w:t>十、与金融工具相关的风险</w:t>
      </w:r>
      <w:r>
        <w:rPr>
          <w:spacing w:val="18"/>
          <w:w w:val="95"/>
        </w:rPr>
        <w:t> </w:t>
      </w:r>
      <w:r>
        <w:rPr>
          <w:spacing w:val="18"/>
          <w:w w:val="95"/>
        </w:rPr>
      </w:r>
      <w:bookmarkStart w:name="十一、公允价值的披露" w:id="438"/>
      <w:bookmarkEnd w:id="438"/>
      <w:r>
        <w:rPr/>
        <w:t>十一、公允价值的披露</w:t>
      </w:r>
      <w:r>
        <w:rPr>
          <w:b w:val="0"/>
          <w:bCs w:val="0"/>
        </w:rPr>
      </w:r>
    </w:p>
    <w:p>
      <w:pPr>
        <w:spacing w:before="84"/>
        <w:ind w:left="1134" w:right="1033" w:firstLine="0"/>
        <w:jc w:val="left"/>
        <w:rPr>
          <w:rFonts w:ascii="宋体" w:hAnsi="宋体" w:cs="宋体" w:eastAsia="宋体" w:hint="default"/>
          <w:sz w:val="21"/>
          <w:szCs w:val="21"/>
        </w:rPr>
      </w:pPr>
      <w:bookmarkStart w:name="1、以公允价值计量的资产和负债的期末公允价值" w:id="439"/>
      <w:bookmarkEnd w:id="43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95"/>
        <w:gridCol w:w="1826"/>
        <w:gridCol w:w="1913"/>
        <w:gridCol w:w="1913"/>
        <w:gridCol w:w="1913"/>
      </w:tblGrid>
      <w:tr>
        <w:trPr>
          <w:trHeight w:val="402"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811"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26"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182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35" w:right="0"/>
              <w:jc w:val="left"/>
              <w:rPr>
                <w:rFonts w:ascii="Times New Roman" w:hAnsi="Times New Roman" w:cs="Times New Roman" w:eastAsia="Times New Roman" w:hint="default"/>
                <w:sz w:val="18"/>
                <w:szCs w:val="18"/>
              </w:rPr>
            </w:pPr>
            <w:r>
              <w:rPr>
                <w:rFonts w:ascii="Times New Roman"/>
                <w:sz w:val="18"/>
              </w:rPr>
              <w:t>6,286,885.17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6,286,885.17</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35" w:right="0"/>
              <w:jc w:val="left"/>
              <w:rPr>
                <w:rFonts w:ascii="Times New Roman" w:hAnsi="Times New Roman" w:cs="Times New Roman" w:eastAsia="Times New Roman" w:hint="default"/>
                <w:sz w:val="18"/>
                <w:szCs w:val="18"/>
              </w:rPr>
            </w:pPr>
            <w:r>
              <w:rPr>
                <w:rFonts w:ascii="Times New Roman"/>
                <w:sz w:val="18"/>
              </w:rPr>
              <w:t>6,286,885.17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6,286,885.17</w:t>
            </w:r>
          </w:p>
        </w:tc>
      </w:tr>
    </w:tbl>
    <w:p>
      <w:pPr>
        <w:spacing w:after="0" w:line="240" w:lineRule="auto"/>
        <w:jc w:val="left"/>
        <w:rPr>
          <w:rFonts w:ascii="Times New Roman" w:hAnsi="Times New Roman" w:cs="Times New Roman" w:eastAsia="Times New Roman" w:hint="default"/>
          <w:sz w:val="18"/>
          <w:szCs w:val="18"/>
        </w:rPr>
        <w:sectPr>
          <w:footerReference w:type="default" r:id="rId29"/>
          <w:pgSz w:w="11910" w:h="16840"/>
          <w:pgMar w:footer="979" w:header="747"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997"/>
        <w:gridCol w:w="1838"/>
        <w:gridCol w:w="1913"/>
        <w:gridCol w:w="1913"/>
        <w:gridCol w:w="1913"/>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持续和非持续第一层次公允价值计量项目市价的确定依据" w:id="440"/>
      <w:bookmarkEnd w:id="4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256" w:lineRule="auto" w:before="0"/>
        <w:ind w:left="1133" w:right="109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Times New Roman" w:hAnsi="Times New Roman" w:cs="Times New Roman" w:eastAsia="Times New Roman" w:hint="default"/>
          <w:sz w:val="21"/>
          <w:szCs w:val="21"/>
        </w:rPr>
        <w:t>14 </w:t>
      </w:r>
      <w:r>
        <w:rPr>
          <w:rFonts w:ascii="宋体" w:hAnsi="宋体" w:cs="宋体" w:eastAsia="宋体" w:hint="default"/>
          <w:sz w:val="21"/>
          <w:szCs w:val="21"/>
        </w:rPr>
        <w:t>日本公司与</w:t>
      </w:r>
      <w:r>
        <w:rPr>
          <w:rFonts w:ascii="Times New Roman" w:hAnsi="Times New Roman" w:cs="Times New Roman" w:eastAsia="Times New Roman" w:hint="default"/>
          <w:sz w:val="21"/>
          <w:szCs w:val="21"/>
        </w:rPr>
        <w:t>Pudu Investment(Australia) PTY</w:t>
      </w:r>
      <w:r>
        <w:rPr>
          <w:rFonts w:ascii="Times New Roman" w:hAnsi="Times New Roman" w:cs="Times New Roman" w:eastAsia="Times New Roman" w:hint="default"/>
          <w:spacing w:val="41"/>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“PIA”</w:t>
      </w:r>
      <w:r>
        <w:rPr>
          <w:rFonts w:ascii="宋体" w:hAnsi="宋体" w:cs="宋体" w:eastAsia="宋体" w:hint="default"/>
          <w:sz w:val="21"/>
          <w:szCs w:val="21"/>
        </w:rPr>
        <w:t>）共同签署了《股份</w:t>
      </w:r>
      <w:r>
        <w:rPr>
          <w:rFonts w:ascii="宋体" w:hAnsi="宋体" w:cs="宋体" w:eastAsia="宋体" w:hint="default"/>
          <w:w w:val="99"/>
          <w:sz w:val="21"/>
          <w:szCs w:val="21"/>
        </w:rPr>
        <w:t> </w:t>
      </w:r>
      <w:r>
        <w:rPr>
          <w:rFonts w:ascii="宋体" w:hAnsi="宋体" w:cs="宋体" w:eastAsia="宋体" w:hint="default"/>
          <w:spacing w:val="11"/>
          <w:sz w:val="21"/>
          <w:szCs w:val="21"/>
        </w:rPr>
        <w:t>转让协议》，根据协议本公司将受让 </w:t>
      </w:r>
      <w:r>
        <w:rPr>
          <w:rFonts w:ascii="Times New Roman" w:hAnsi="Times New Roman" w:cs="Times New Roman" w:eastAsia="Times New Roman" w:hint="default"/>
          <w:sz w:val="21"/>
          <w:szCs w:val="21"/>
        </w:rPr>
        <w:t>PIA </w:t>
      </w:r>
      <w:r>
        <w:rPr>
          <w:rFonts w:ascii="宋体" w:hAnsi="宋体" w:cs="宋体" w:eastAsia="宋体" w:hint="default"/>
          <w:spacing w:val="3"/>
          <w:sz w:val="21"/>
          <w:szCs w:val="21"/>
        </w:rPr>
        <w:t>所持有的</w:t>
      </w:r>
      <w:r>
        <w:rPr>
          <w:rFonts w:ascii="Times New Roman" w:hAnsi="Times New Roman" w:cs="Times New Roman" w:eastAsia="Times New Roman" w:hint="default"/>
          <w:spacing w:val="3"/>
          <w:sz w:val="21"/>
          <w:szCs w:val="21"/>
        </w:rPr>
        <w:t>Rectifier </w:t>
      </w:r>
      <w:r>
        <w:rPr>
          <w:rFonts w:ascii="Times New Roman" w:hAnsi="Times New Roman" w:cs="Times New Roman" w:eastAsia="Times New Roman" w:hint="default"/>
          <w:sz w:val="21"/>
          <w:szCs w:val="21"/>
        </w:rPr>
        <w:t>Technologies </w:t>
      </w:r>
      <w:r>
        <w:rPr>
          <w:rFonts w:ascii="Times New Roman" w:hAnsi="Times New Roman" w:cs="Times New Roman" w:eastAsia="Times New Roman" w:hint="default"/>
          <w:spacing w:val="4"/>
          <w:sz w:val="21"/>
          <w:szCs w:val="21"/>
        </w:rPr>
        <w:t>Limited</w:t>
      </w:r>
      <w:r>
        <w:rPr>
          <w:rFonts w:ascii="宋体" w:hAnsi="宋体" w:cs="宋体" w:eastAsia="宋体" w:hint="default"/>
          <w:spacing w:val="4"/>
          <w:sz w:val="21"/>
          <w:szCs w:val="21"/>
        </w:rPr>
        <w:t>（以下简称</w:t>
      </w:r>
      <w:r>
        <w:rPr>
          <w:rFonts w:ascii="Times New Roman" w:hAnsi="Times New Roman" w:cs="Times New Roman" w:eastAsia="Times New Roman" w:hint="default"/>
          <w:spacing w:val="4"/>
          <w:sz w:val="21"/>
          <w:szCs w:val="21"/>
        </w:rPr>
        <w:t>“RFT”</w:t>
      </w:r>
      <w:r>
        <w:rPr>
          <w:rFonts w:ascii="宋体" w:hAnsi="宋体" w:cs="宋体" w:eastAsia="宋体" w:hint="default"/>
          <w:spacing w:val="4"/>
          <w:sz w:val="21"/>
          <w:szCs w:val="21"/>
        </w:rPr>
        <w:t>）</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189,975,136</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股份（占</w:t>
      </w:r>
      <w:r>
        <w:rPr>
          <w:rFonts w:ascii="Times New Roman" w:hAnsi="Times New Roman" w:cs="Times New Roman" w:eastAsia="Times New Roman" w:hint="default"/>
          <w:sz w:val="21"/>
          <w:szCs w:val="21"/>
        </w:rPr>
        <w:t>RFT</w:t>
      </w:r>
      <w:r>
        <w:rPr>
          <w:rFonts w:ascii="宋体" w:hAnsi="宋体" w:cs="宋体" w:eastAsia="宋体" w:hint="default"/>
          <w:sz w:val="21"/>
          <w:szCs w:val="21"/>
        </w:rPr>
        <w:t>总股份的</w:t>
      </w:r>
      <w:r>
        <w:rPr>
          <w:rFonts w:ascii="Times New Roman" w:hAnsi="Times New Roman" w:cs="Times New Roman" w:eastAsia="Times New Roman" w:hint="default"/>
          <w:sz w:val="21"/>
          <w:szCs w:val="21"/>
        </w:rPr>
        <w:t>17.69%</w:t>
      </w:r>
      <w:r>
        <w:rPr>
          <w:rFonts w:ascii="宋体" w:hAnsi="宋体" w:cs="宋体" w:eastAsia="宋体" w:hint="default"/>
          <w:sz w:val="21"/>
          <w:szCs w:val="21"/>
        </w:rPr>
        <w:t>，后由于其他股东增资，本公司持股比例下降为</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16.35%</w:t>
      </w:r>
      <w:r>
        <w:rPr>
          <w:rFonts w:ascii="宋体" w:hAnsi="宋体" w:cs="宋体" w:eastAsia="宋体" w:hint="default"/>
          <w:sz w:val="21"/>
          <w:szCs w:val="21"/>
        </w:rPr>
        <w:t>），转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让价格为</w:t>
      </w:r>
      <w:r>
        <w:rPr>
          <w:rFonts w:ascii="Times New Roman" w:hAnsi="Times New Roman" w:cs="Times New Roman" w:eastAsia="Times New Roman" w:hint="default"/>
          <w:sz w:val="21"/>
          <w:szCs w:val="21"/>
        </w:rPr>
        <w:t>0.005 </w:t>
      </w:r>
      <w:r>
        <w:rPr>
          <w:rFonts w:ascii="宋体" w:hAnsi="宋体" w:cs="宋体" w:eastAsia="宋体" w:hint="default"/>
          <w:sz w:val="21"/>
          <w:szCs w:val="21"/>
        </w:rPr>
        <w:t>澳元</w:t>
      </w:r>
      <w:r>
        <w:rPr>
          <w:rFonts w:ascii="Times New Roman" w:hAnsi="Times New Roman" w:cs="Times New Roman" w:eastAsia="Times New Roman" w:hint="default"/>
          <w:sz w:val="21"/>
          <w:szCs w:val="21"/>
        </w:rPr>
        <w:t>/</w:t>
      </w:r>
      <w:r>
        <w:rPr>
          <w:rFonts w:ascii="宋体" w:hAnsi="宋体" w:cs="宋体" w:eastAsia="宋体" w:hint="default"/>
          <w:sz w:val="21"/>
          <w:szCs w:val="21"/>
        </w:rPr>
        <w:t>股，转让总价为</w:t>
      </w:r>
      <w:r>
        <w:rPr>
          <w:rFonts w:ascii="Times New Roman" w:hAnsi="Times New Roman" w:cs="Times New Roman" w:eastAsia="Times New Roman" w:hint="default"/>
          <w:sz w:val="21"/>
          <w:szCs w:val="21"/>
        </w:rPr>
        <w:t>949,875.68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澳元，根据付款当日汇率折合成人民币约</w:t>
      </w:r>
      <w:r>
        <w:rPr>
          <w:rFonts w:ascii="Times New Roman" w:hAnsi="Times New Roman" w:cs="Times New Roman" w:eastAsia="Times New Roman" w:hint="default"/>
          <w:sz w:val="21"/>
          <w:szCs w:val="21"/>
        </w:rPr>
        <w:t>5,522,085.16</w:t>
      </w:r>
      <w:r>
        <w:rPr>
          <w:rFonts w:ascii="宋体" w:hAnsi="宋体" w:cs="宋体" w:eastAsia="宋体" w:hint="default"/>
          <w:sz w:val="21"/>
          <w:szCs w:val="21"/>
        </w:rPr>
        <w:t>元， </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年本公司已支付了全部股权受让款。</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w:t>
      </w:r>
      <w:r>
        <w:rPr>
          <w:rFonts w:ascii="Times New Roman" w:hAnsi="Times New Roman" w:cs="Times New Roman" w:eastAsia="Times New Roman" w:hint="default"/>
          <w:spacing w:val="-1"/>
          <w:sz w:val="21"/>
          <w:szCs w:val="21"/>
        </w:rPr>
        <w:t>RFT</w:t>
      </w:r>
      <w:r>
        <w:rPr>
          <w:rFonts w:ascii="宋体" w:hAnsi="宋体" w:cs="宋体" w:eastAsia="宋体" w:hint="default"/>
          <w:spacing w:val="-1"/>
          <w:sz w:val="21"/>
          <w:szCs w:val="21"/>
        </w:rPr>
        <w:t>公司在澳大利亚股票交易所收盘价为</w:t>
      </w:r>
      <w:r>
        <w:rPr>
          <w:rFonts w:ascii="Times New Roman" w:hAnsi="Times New Roman" w:cs="Times New Roman" w:eastAsia="Times New Roman" w:hint="default"/>
          <w:spacing w:val="-1"/>
          <w:sz w:val="21"/>
          <w:szCs w:val="21"/>
        </w:rPr>
        <w:t>0.007</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澳元，本公司持有</w:t>
      </w:r>
      <w:r>
        <w:rPr>
          <w:rFonts w:ascii="Times New Roman" w:hAnsi="Times New Roman" w:cs="Times New Roman" w:eastAsia="Times New Roman" w:hint="default"/>
          <w:sz w:val="21"/>
          <w:szCs w:val="21"/>
        </w:rPr>
        <w:t>RFT</w:t>
      </w:r>
      <w:r>
        <w:rPr>
          <w:rFonts w:ascii="宋体" w:hAnsi="宋体" w:cs="宋体" w:eastAsia="宋体" w:hint="default"/>
          <w:sz w:val="21"/>
          <w:szCs w:val="21"/>
        </w:rPr>
        <w:t>公司股权的公允价值折合人民币为</w:t>
      </w:r>
      <w:r>
        <w:rPr>
          <w:rFonts w:ascii="Times New Roman" w:hAnsi="Times New Roman" w:cs="Times New Roman" w:eastAsia="Times New Roman" w:hint="default"/>
          <w:sz w:val="21"/>
          <w:szCs w:val="21"/>
        </w:rPr>
        <w:t>6,286,885.17</w:t>
      </w:r>
      <w:r>
        <w:rPr>
          <w:rFonts w:ascii="宋体" w:hAnsi="宋体" w:cs="宋体" w:eastAsia="宋体" w:hint="default"/>
          <w:sz w:val="21"/>
          <w:szCs w:val="21"/>
        </w:rPr>
        <w:t>元。</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r>
        <w:rPr>
          <w:rFonts w:ascii="Times New Roman" w:hAnsi="Times New Roman" w:cs="Times New Roman" w:eastAsia="Times New Roman" w:hint="default"/>
          <w:sz w:val="21"/>
          <w:szCs w:val="21"/>
        </w:rPr>
        <w:t>RFT</w:t>
      </w:r>
      <w:r>
        <w:rPr>
          <w:rFonts w:ascii="宋体" w:hAnsi="宋体" w:cs="宋体" w:eastAsia="宋体" w:hint="default"/>
          <w:sz w:val="21"/>
          <w:szCs w:val="21"/>
        </w:rPr>
        <w:t>定向增发</w:t>
      </w:r>
      <w:r>
        <w:rPr>
          <w:rFonts w:ascii="宋体" w:hAnsi="宋体" w:cs="宋体" w:eastAsia="宋体" w:hint="default"/>
          <w:spacing w:val="-16"/>
          <w:sz w:val="21"/>
          <w:szCs w:val="21"/>
        </w:rPr>
        <w:t> </w:t>
      </w:r>
      <w:r>
        <w:rPr>
          <w:rFonts w:ascii="宋体" w:hAnsi="宋体" w:cs="宋体" w:eastAsia="宋体" w:hint="default"/>
          <w:sz w:val="21"/>
          <w:szCs w:val="21"/>
        </w:rPr>
        <w:t>股份</w:t>
      </w:r>
      <w:r>
        <w:rPr>
          <w:rFonts w:ascii="Times New Roman" w:hAnsi="Times New Roman" w:cs="Times New Roman" w:eastAsia="Times New Roman" w:hint="default"/>
          <w:sz w:val="21"/>
          <w:szCs w:val="21"/>
        </w:rPr>
        <w:t>(</w:t>
      </w:r>
      <w:r>
        <w:rPr>
          <w:rFonts w:ascii="宋体" w:hAnsi="宋体" w:cs="宋体" w:eastAsia="宋体" w:hint="default"/>
          <w:sz w:val="21"/>
          <w:szCs w:val="21"/>
        </w:rPr>
        <w:t>债转股</w:t>
      </w:r>
      <w:r>
        <w:rPr>
          <w:rFonts w:ascii="Times New Roman" w:hAnsi="Times New Roman" w:cs="Times New Roman" w:eastAsia="Times New Roman" w:hint="default"/>
          <w:sz w:val="21"/>
          <w:szCs w:val="21"/>
        </w:rPr>
        <w:t>)51,142,150</w:t>
      </w:r>
      <w:r>
        <w:rPr>
          <w:rFonts w:ascii="宋体" w:hAnsi="宋体" w:cs="宋体" w:eastAsia="宋体" w:hint="default"/>
          <w:sz w:val="21"/>
          <w:szCs w:val="21"/>
        </w:rPr>
        <w:t>股股权，本公司持股比例下降为</w:t>
      </w:r>
      <w:r>
        <w:rPr>
          <w:rFonts w:ascii="Times New Roman" w:hAnsi="Times New Roman" w:cs="Times New Roman" w:eastAsia="Times New Roman" w:hint="default"/>
          <w:sz w:val="21"/>
          <w:szCs w:val="21"/>
        </w:rPr>
        <w:t>15.66%</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r>
        <w:rPr>
          <w:rFonts w:ascii="Times New Roman" w:hAnsi="Times New Roman" w:cs="Times New Roman" w:eastAsia="Times New Roman" w:hint="default"/>
          <w:sz w:val="21"/>
          <w:szCs w:val="21"/>
        </w:rPr>
        <w:t>RFT</w:t>
      </w:r>
      <w:r>
        <w:rPr>
          <w:rFonts w:ascii="宋体" w:hAnsi="宋体" w:cs="宋体" w:eastAsia="宋体" w:hint="default"/>
          <w:sz w:val="21"/>
          <w:szCs w:val="21"/>
        </w:rPr>
        <w:t>定向增发股份</w:t>
      </w:r>
      <w:r>
        <w:rPr>
          <w:rFonts w:ascii="Times New Roman" w:hAnsi="Times New Roman" w:cs="Times New Roman" w:eastAsia="Times New Roman" w:hint="default"/>
          <w:sz w:val="21"/>
          <w:szCs w:val="21"/>
        </w:rPr>
        <w:t>(</w:t>
      </w:r>
      <w:r>
        <w:rPr>
          <w:rFonts w:ascii="宋体" w:hAnsi="宋体" w:cs="宋体" w:eastAsia="宋体" w:hint="default"/>
          <w:sz w:val="21"/>
          <w:szCs w:val="21"/>
        </w:rPr>
        <w:t>债</w:t>
      </w:r>
      <w:r>
        <w:rPr>
          <w:rFonts w:ascii="宋体" w:hAnsi="宋体" w:cs="宋体" w:eastAsia="宋体" w:hint="default"/>
          <w:spacing w:val="-19"/>
          <w:sz w:val="21"/>
          <w:szCs w:val="21"/>
        </w:rPr>
        <w:t> </w:t>
      </w:r>
      <w:r>
        <w:rPr>
          <w:rFonts w:ascii="宋体" w:hAnsi="宋体" w:cs="宋体" w:eastAsia="宋体" w:hint="default"/>
          <w:sz w:val="21"/>
          <w:szCs w:val="21"/>
        </w:rPr>
        <w:t>转股</w:t>
      </w:r>
      <w:r>
        <w:rPr>
          <w:rFonts w:ascii="Times New Roman" w:hAnsi="Times New Roman" w:cs="Times New Roman" w:eastAsia="Times New Roman" w:hint="default"/>
          <w:sz w:val="21"/>
          <w:szCs w:val="21"/>
        </w:rPr>
        <w:t>)31,827,348</w:t>
      </w:r>
      <w:r>
        <w:rPr>
          <w:rFonts w:ascii="宋体" w:hAnsi="宋体" w:cs="宋体" w:eastAsia="宋体" w:hint="default"/>
          <w:sz w:val="21"/>
          <w:szCs w:val="21"/>
        </w:rPr>
        <w:t>股股权</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本公司持股比例下降为</w:t>
      </w:r>
      <w:r>
        <w:rPr>
          <w:rFonts w:ascii="Times New Roman" w:hAnsi="Times New Roman" w:cs="Times New Roman" w:eastAsia="Times New Roman" w:hint="default"/>
          <w:sz w:val="21"/>
          <w:szCs w:val="21"/>
        </w:rPr>
        <w:t>15.26%</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62"/>
        <w:ind w:left="1133" w:right="1033" w:firstLine="0"/>
        <w:jc w:val="left"/>
        <w:rPr>
          <w:rFonts w:ascii="宋体" w:hAnsi="宋体" w:cs="宋体" w:eastAsia="宋体" w:hint="default"/>
          <w:sz w:val="21"/>
          <w:szCs w:val="21"/>
        </w:rPr>
      </w:pPr>
      <w:bookmarkStart w:name="3、持续和非持续第二层次公允价值计量项目，采用的估值技术和重要参数的定性及定量信" w:id="441"/>
      <w:bookmarkEnd w:id="44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4、持续和非持续第三层次公允价值计量项目，采用的估值技术和重要参数的定性及定量信" w:id="442"/>
      <w:bookmarkEnd w:id="44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5、持续的第三层次公允价值计量项目，期初与期末账面价值间的调节信息及不可观察参数" w:id="443"/>
      <w:bookmarkEnd w:id="44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6、持续的公允价值计量项目，本期内发生各层级之间转换的，转换的原因及确定转换时点" w:id="444"/>
      <w:bookmarkEnd w:id="44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7、本期内发生的估值技术变更及变更原因" w:id="445"/>
      <w:bookmarkEnd w:id="445"/>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8、不以公允价值计量的金融资产和金融负债的公允价值情况" w:id="446"/>
      <w:bookmarkEnd w:id="44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487" w:lineRule="auto" w:before="0"/>
        <w:ind w:left="1134" w:right="8113" w:firstLine="0"/>
        <w:jc w:val="left"/>
        <w:rPr>
          <w:rFonts w:ascii="宋体" w:hAnsi="宋体" w:cs="宋体" w:eastAsia="宋体" w:hint="default"/>
          <w:sz w:val="21"/>
          <w:szCs w:val="21"/>
        </w:rPr>
      </w:pPr>
      <w:bookmarkStart w:name="9、其他" w:id="447"/>
      <w:bookmarkEnd w:id="447"/>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8"/>
      <w:bookmarkEnd w:id="44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9"/>
      <w:bookmarkEnd w:id="44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四川依米康环境科 技股份有限公司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成都市高新区</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其他专业设备制造</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175972779.00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7" w:right="0"/>
              <w:jc w:val="lef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6" w:right="0"/>
              <w:jc w:val="lef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312" w:lineRule="exact" w:before="97"/>
        <w:ind w:left="1134" w:right="1132"/>
        <w:jc w:val="left"/>
      </w:pPr>
      <w:r>
        <w:rPr/>
        <w:t>本公司股东孙屹峥、张菀系夫妻关系，合计持有本公司总股本的</w:t>
      </w:r>
      <w:r>
        <w:rPr>
          <w:rFonts w:ascii="Times New Roman" w:hAnsi="Times New Roman" w:cs="Times New Roman" w:eastAsia="Times New Roman" w:hint="default"/>
        </w:rPr>
        <w:t>34.98%</w:t>
      </w:r>
      <w:r>
        <w:rPr/>
        <w:t>股份，为本公司的实 际控制人。</w:t>
      </w:r>
    </w:p>
    <w:p>
      <w:pPr>
        <w:spacing w:line="360" w:lineRule="auto" w:before="59"/>
        <w:ind w:left="1134" w:right="8952" w:firstLine="0"/>
        <w:jc w:val="left"/>
        <w:rPr>
          <w:rFonts w:ascii="宋体" w:hAnsi="宋体" w:cs="宋体" w:eastAsia="宋体" w:hint="default"/>
          <w:sz w:val="18"/>
          <w:szCs w:val="18"/>
        </w:rPr>
      </w:pPr>
      <w:r>
        <w:rPr>
          <w:rFonts w:ascii="宋体" w:hAnsi="宋体" w:cs="宋体" w:eastAsia="宋体" w:hint="default"/>
          <w:sz w:val="18"/>
          <w:szCs w:val="18"/>
        </w:rPr>
        <w:t>本企业最终控制方是。 其他说明：</w:t>
      </w:r>
    </w:p>
    <w:p>
      <w:pPr>
        <w:spacing w:after="0" w:line="360" w:lineRule="auto"/>
        <w:jc w:val="left"/>
        <w:rPr>
          <w:rFonts w:ascii="宋体" w:hAnsi="宋体" w:cs="宋体" w:eastAsia="宋体" w:hint="default"/>
          <w:sz w:val="18"/>
          <w:szCs w:val="18"/>
        </w:rPr>
        <w:sectPr>
          <w:footerReference w:type="default" r:id="rId30"/>
          <w:pgSz w:w="11910" w:h="16840"/>
          <w:pgMar w:footer="979" w:header="747" w:top="1060" w:bottom="1160" w:left="0" w:right="0"/>
          <w:pgNumType w:start="201"/>
        </w:sectPr>
      </w:pPr>
    </w:p>
    <w:p>
      <w:pPr>
        <w:spacing w:line="240" w:lineRule="auto" w:before="9"/>
        <w:rPr>
          <w:rFonts w:ascii="宋体" w:hAnsi="宋体" w:cs="宋体" w:eastAsia="宋体" w:hint="default"/>
          <w:sz w:val="24"/>
          <w:szCs w:val="24"/>
        </w:rPr>
      </w:pPr>
    </w:p>
    <w:p>
      <w:pPr>
        <w:spacing w:line="547" w:lineRule="auto" w:before="35"/>
        <w:ind w:left="1133" w:right="5623" w:firstLine="0"/>
        <w:jc w:val="left"/>
        <w:rPr>
          <w:rFonts w:ascii="宋体" w:hAnsi="宋体" w:cs="宋体" w:eastAsia="宋体" w:hint="default"/>
          <w:sz w:val="21"/>
          <w:szCs w:val="21"/>
        </w:rPr>
      </w:pPr>
      <w:bookmarkStart w:name="2、本企业的子公司情况" w:id="450"/>
      <w:bookmarkEnd w:id="45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3"/>
          <w:sz w:val="18"/>
          <w:szCs w:val="18"/>
        </w:rPr>
        <w:t>本企业子公司的情况详见第十节、九、</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）企业集团的构成。</w:t>
      </w:r>
      <w:r>
        <w:rPr>
          <w:rFonts w:ascii="宋体" w:hAnsi="宋体" w:cs="宋体" w:eastAsia="宋体" w:hint="default"/>
          <w:sz w:val="18"/>
          <w:szCs w:val="18"/>
        </w:rPr>
        <w:t> </w:t>
      </w:r>
      <w:bookmarkStart w:name="3、本企业合营和联营企业情况" w:id="451"/>
      <w:bookmarkEnd w:id="45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1"/>
        <w:ind w:left="1133" w:right="2293"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本企业重要的合营或联营企业详见第十节、九、</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）重要的合营企业或联营企业。</w:t>
      </w:r>
      <w:r>
        <w:rPr>
          <w:rFonts w:ascii="宋体" w:hAnsi="宋体" w:cs="宋体" w:eastAsia="宋体" w:hint="default"/>
          <w:spacing w:val="-63"/>
          <w:sz w:val="18"/>
          <w:szCs w:val="18"/>
        </w:rPr>
        <w:t> </w:t>
      </w: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4、其他关联方情况" w:id="452"/>
      <w:bookmarkEnd w:id="45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5、关联交易情况" w:id="453"/>
      <w:bookmarkEnd w:id="45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购销商品、提供和接受劳务的关联交易" w:id="454"/>
      <w:bookmarkEnd w:id="4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上海虹港数据信息 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工程项目</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5,459,700.91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上海虹港数据信息 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666,666.66</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2）关联受托管理/承包及委托管理/出包情况" w:id="455"/>
      <w:bookmarkEnd w:id="4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spacing w:before="0"/>
        <w:ind w:left="1134" w:right="1033" w:firstLine="0"/>
        <w:jc w:val="left"/>
        <w:rPr>
          <w:rFonts w:ascii="宋体" w:hAnsi="宋体" w:cs="宋体" w:eastAsia="宋体" w:hint="default"/>
          <w:sz w:val="21"/>
          <w:szCs w:val="21"/>
        </w:rPr>
      </w:pPr>
      <w:bookmarkStart w:name="（3）关联租赁情况" w:id="456"/>
      <w:bookmarkEnd w:id="4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4）关联担保情况" w:id="457"/>
      <w:bookmarkEnd w:id="4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深圳市龙控智能技术有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江苏亿金环保科技有限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江苏亿金环保科技有限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江苏亿金环保科技有限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江苏亿金环保科技有限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江苏亿金环保科技有限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江苏亿金环保科技有限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江苏亿金环保科技有限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江苏亿金环保科技有限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916"/>
        <w:gridCol w:w="1916"/>
        <w:gridCol w:w="1914"/>
        <w:gridCol w:w="1914"/>
        <w:gridCol w:w="1914"/>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江苏亿金环保科技有限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1" w:right="0"/>
              <w:jc w:val="left"/>
              <w:rPr>
                <w:rFonts w:ascii="Times New Roman" w:hAnsi="Times New Roman" w:cs="Times New Roman" w:eastAsia="Times New Roman" w:hint="default"/>
                <w:sz w:val="18"/>
                <w:szCs w:val="18"/>
              </w:rPr>
            </w:pPr>
            <w:r>
              <w:rPr>
                <w:rFonts w:ascii="Times New Roman"/>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孙屹峥、张菀及四川桑 瑞思环境技术工程有限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5）关联方资金拆借" w:id="458"/>
      <w:bookmarkEnd w:id="4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6）关联方资产转让、债务重组情况" w:id="459"/>
      <w:bookmarkEnd w:id="4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7）关键管理人员报酬" w:id="460"/>
      <w:bookmarkEnd w:id="4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董事、监事、高级管理人员及其他核心 人员报酬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2,038,000.00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2,228,000.00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8）其他关联交易" w:id="461"/>
      <w:bookmarkEnd w:id="4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6、关联方应收应付款项" w:id="462"/>
      <w:bookmarkEnd w:id="46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应收项目" w:id="463"/>
      <w:bookmarkEnd w:id="4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上海虹港数据信息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36,331,196.91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9,378,433.85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40,871,496.00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4,996,149.60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应付项目" w:id="464"/>
      <w:bookmarkEnd w:id="4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3"/>
        <w:gridCol w:w="2392"/>
      </w:tblGrid>
      <w:tr>
        <w:trPr>
          <w:trHeight w:val="39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9"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6"/>
              <w:ind w:left="22" w:right="729"/>
              <w:jc w:val="left"/>
              <w:rPr>
                <w:rFonts w:ascii="Times New Roman" w:hAnsi="Times New Roman" w:cs="Times New Roman" w:eastAsia="Times New Roman" w:hint="default"/>
                <w:sz w:val="18"/>
                <w:szCs w:val="18"/>
              </w:rPr>
            </w:pPr>
            <w:r>
              <w:rPr>
                <w:rFonts w:ascii="Times New Roman"/>
                <w:sz w:val="18"/>
              </w:rPr>
              <w:t>Rectifier</w:t>
            </w:r>
            <w:r>
              <w:rPr>
                <w:rFonts w:ascii="Times New Roman"/>
                <w:spacing w:val="-15"/>
                <w:sz w:val="18"/>
              </w:rPr>
              <w:t> </w:t>
            </w:r>
            <w:r>
              <w:rPr>
                <w:rFonts w:ascii="Times New Roman"/>
                <w:sz w:val="18"/>
              </w:rPr>
              <w:t>Technologies</w:t>
            </w:r>
            <w:r>
              <w:rPr>
                <w:rFonts w:ascii="Times New Roman"/>
                <w:w w:val="99"/>
                <w:sz w:val="18"/>
              </w:rPr>
              <w:t> </w:t>
            </w:r>
            <w:r>
              <w:rPr>
                <w:rFonts w:ascii="Times New Roman"/>
                <w:sz w:val="18"/>
              </w:rPr>
              <w:t>PacificPty</w:t>
            </w:r>
            <w:r>
              <w:rPr>
                <w:rFonts w:ascii="Times New Roman"/>
                <w:spacing w:val="-3"/>
                <w:sz w:val="18"/>
              </w:rPr>
              <w:t> </w:t>
            </w:r>
            <w:r>
              <w:rPr>
                <w:rFonts w:ascii="Times New Roman"/>
                <w:sz w:val="18"/>
              </w:rPr>
              <w:t>Ltd</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14,769.00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14,769.00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387,985.00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7、关联方承诺" w:id="465"/>
      <w:bookmarkEnd w:id="465"/>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8、其他" w:id="466"/>
      <w:bookmarkEnd w:id="46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61" w:lineRule="auto" w:before="0"/>
        <w:ind w:left="1133" w:right="994" w:firstLine="630"/>
        <w:jc w:val="left"/>
        <w:rPr>
          <w:rFonts w:ascii="宋体" w:hAnsi="宋体" w:cs="宋体" w:eastAsia="宋体" w:hint="default"/>
          <w:sz w:val="21"/>
          <w:szCs w:val="21"/>
        </w:rPr>
      </w:pPr>
      <w:r>
        <w:rPr>
          <w:rFonts w:ascii="宋体" w:hAnsi="宋体" w:cs="宋体" w:eastAsia="宋体" w:hint="default"/>
          <w:sz w:val="21"/>
          <w:szCs w:val="21"/>
        </w:rPr>
        <w:t>经本公司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日在公司会议室召开了第三届董事会第四次会议审议通过了《关于签订</w:t>
      </w:r>
      <w:r>
        <w:rPr>
          <w:rFonts w:ascii="Times New Roman" w:hAnsi="Times New Roman" w:cs="Times New Roman" w:eastAsia="Times New Roman" w:hint="default"/>
          <w:sz w:val="21"/>
          <w:szCs w:val="21"/>
        </w:rPr>
        <w:t>&lt;</w:t>
      </w:r>
      <w:r>
        <w:rPr>
          <w:rFonts w:ascii="宋体" w:hAnsi="宋体" w:cs="宋体" w:eastAsia="宋体" w:hint="default"/>
          <w:sz w:val="21"/>
          <w:szCs w:val="21"/>
        </w:rPr>
        <w:t>建 设工程施工合同</w:t>
      </w:r>
      <w:r>
        <w:rPr>
          <w:rFonts w:ascii="Times New Roman" w:hAnsi="Times New Roman" w:cs="Times New Roman" w:eastAsia="Times New Roman" w:hint="default"/>
          <w:sz w:val="21"/>
          <w:szCs w:val="21"/>
        </w:rPr>
        <w:t>&gt;</w:t>
      </w:r>
      <w:r>
        <w:rPr>
          <w:rFonts w:ascii="宋体" w:hAnsi="宋体" w:cs="宋体" w:eastAsia="宋体" w:hint="default"/>
          <w:sz w:val="21"/>
          <w:szCs w:val="21"/>
        </w:rPr>
        <w:t>暨关联交易事项的议案》：因本公司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依米康绿色精密环境产业基地项目</w:t>
      </w:r>
      <w:r>
        <w:rPr>
          <w:rFonts w:ascii="Times New Roman" w:hAnsi="Times New Roman" w:cs="Times New Roman" w:eastAsia="Times New Roman" w:hint="default"/>
          <w:sz w:val="21"/>
          <w:szCs w:val="21"/>
        </w:rPr>
        <w:t>”</w:t>
      </w:r>
      <w:r>
        <w:rPr>
          <w:rFonts w:ascii="宋体" w:hAnsi="宋体" w:cs="宋体" w:eastAsia="宋体" w:hint="default"/>
          <w:sz w:val="21"/>
          <w:szCs w:val="21"/>
        </w:rPr>
        <w:t>一期建设施工</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需要，本公司拟与四川辰兴建设有限公司（以下简称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四川辰兴</w:t>
      </w:r>
      <w:r>
        <w:rPr>
          <w:rFonts w:ascii="Times New Roman" w:hAnsi="Times New Roman" w:cs="Times New Roman" w:eastAsia="Times New Roman" w:hint="default"/>
          <w:sz w:val="21"/>
          <w:szCs w:val="21"/>
        </w:rPr>
        <w:t>”</w:t>
      </w:r>
      <w:r>
        <w:rPr>
          <w:rFonts w:ascii="宋体" w:hAnsi="宋体" w:cs="宋体" w:eastAsia="宋体" w:hint="default"/>
          <w:sz w:val="21"/>
          <w:szCs w:val="21"/>
        </w:rPr>
        <w:t>）签订《建设工程施工合同》，合同总价 约</w:t>
      </w:r>
      <w:r>
        <w:rPr>
          <w:rFonts w:ascii="Times New Roman" w:hAnsi="Times New Roman" w:cs="Times New Roman" w:eastAsia="Times New Roman" w:hint="default"/>
          <w:sz w:val="21"/>
          <w:szCs w:val="21"/>
        </w:rPr>
        <w:t>3900</w:t>
      </w:r>
      <w:r>
        <w:rPr>
          <w:rFonts w:ascii="宋体" w:hAnsi="宋体" w:cs="宋体" w:eastAsia="宋体" w:hint="default"/>
          <w:sz w:val="21"/>
          <w:szCs w:val="21"/>
        </w:rPr>
        <w:t>万元。因四川辰兴为公司行政总监孙晶晶女士的配偶及其配偶的父母所控制的公司，为公司的关联 </w:t>
      </w:r>
      <w:r>
        <w:rPr>
          <w:rFonts w:ascii="宋体" w:hAnsi="宋体" w:cs="宋体" w:eastAsia="宋体" w:hint="default"/>
          <w:spacing w:val="-3"/>
          <w:sz w:val="21"/>
          <w:szCs w:val="21"/>
        </w:rPr>
        <w:t>法人，参照深圳证券交易所《创业板股票上市规则》及《公司章程》、《关联交易决策制度》的相关规定，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本次交易构成关联交易。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ind w:right="1033"/>
        <w:jc w:val="left"/>
        <w:rPr>
          <w:b w:val="0"/>
          <w:bCs w:val="0"/>
        </w:rPr>
      </w:pPr>
      <w:bookmarkStart w:name="十三、股份支付" w:id="467"/>
      <w:bookmarkEnd w:id="467"/>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股份支付总体情况" w:id="468"/>
      <w:bookmarkEnd w:id="4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2、以权益结算的股份支付情况" w:id="469"/>
      <w:bookmarkEnd w:id="4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3、以现金结算的股份支付情况" w:id="470"/>
      <w:bookmarkEnd w:id="47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4、股份支付的修改、终止情况" w:id="471"/>
      <w:bookmarkEnd w:id="47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134" w:right="8113" w:firstLine="0"/>
        <w:jc w:val="left"/>
        <w:rPr>
          <w:rFonts w:ascii="宋体" w:hAnsi="宋体" w:cs="宋体" w:eastAsia="宋体" w:hint="default"/>
          <w:sz w:val="21"/>
          <w:szCs w:val="21"/>
        </w:rPr>
      </w:pPr>
      <w:bookmarkStart w:name="5、其他" w:id="472"/>
      <w:bookmarkEnd w:id="4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3"/>
      <w:bookmarkEnd w:id="47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74"/>
      <w:bookmarkEnd w:id="474"/>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134" w:right="1033"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1"/>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2、或有事项" w:id="475"/>
      <w:bookmarkEnd w:id="47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资产负债表日存在的重要或有事项" w:id="476"/>
      <w:bookmarkEnd w:id="4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2）公司没有需要披露的重要或有事项，也应予以说明" w:id="477"/>
      <w:bookmarkEnd w:id="4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33" w:right="7326" w:firstLine="0"/>
        <w:jc w:val="left"/>
        <w:rPr>
          <w:rFonts w:ascii="宋体" w:hAnsi="宋体" w:cs="宋体" w:eastAsia="宋体" w:hint="default"/>
          <w:sz w:val="21"/>
          <w:szCs w:val="21"/>
        </w:rPr>
      </w:pPr>
      <w:bookmarkStart w:name="3、其他" w:id="478"/>
      <w:bookmarkEnd w:id="47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9"/>
      <w:bookmarkEnd w:id="47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0"/>
      <w:bookmarkEnd w:id="48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利润分配情况" w:id="481"/>
      <w:bookmarkEnd w:id="48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5,279,183.37</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销售退回" w:id="482"/>
      <w:bookmarkEnd w:id="48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4、其他资产负债表日后事项说明" w:id="483"/>
      <w:bookmarkEnd w:id="48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56" w:lineRule="auto" w:before="0"/>
        <w:ind w:left="1493" w:right="1026" w:hanging="36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经本公司</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日召开的第三届董事会第五次会议审议通过《关于投资开展大数据业务的议案》</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21"/>
          <w:szCs w:val="21"/>
        </w:rPr>
        <w:t>同意本公司使用现金</w:t>
      </w:r>
      <w:r>
        <w:rPr>
          <w:rFonts w:ascii="Times New Roman" w:hAnsi="Times New Roman" w:cs="Times New Roman" w:eastAsia="Times New Roman" w:hint="default"/>
          <w:sz w:val="21"/>
          <w:szCs w:val="21"/>
        </w:rPr>
        <w:t>1,530</w:t>
      </w:r>
      <w:r>
        <w:rPr>
          <w:rFonts w:ascii="宋体" w:hAnsi="宋体" w:cs="宋体" w:eastAsia="宋体" w:hint="default"/>
          <w:sz w:val="21"/>
          <w:szCs w:val="21"/>
        </w:rPr>
        <w:t>万元收购吴伟先生所持有的北京资采信息技术有限公司（以下简称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北京资 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股权（对应出资额为</w:t>
      </w:r>
      <w:r>
        <w:rPr>
          <w:rFonts w:ascii="Times New Roman" w:hAnsi="Times New Roman" w:cs="Times New Roman" w:eastAsia="Times New Roman" w:hint="default"/>
          <w:sz w:val="21"/>
          <w:szCs w:val="21"/>
        </w:rPr>
        <w:t>510</w:t>
      </w:r>
      <w:r>
        <w:rPr>
          <w:rFonts w:ascii="宋体" w:hAnsi="宋体" w:cs="宋体" w:eastAsia="宋体" w:hint="default"/>
          <w:sz w:val="21"/>
          <w:szCs w:val="21"/>
        </w:rPr>
        <w:t>万元），成为北京资采的控股股东。</w:t>
      </w:r>
      <w:r>
        <w:rPr>
          <w:rFonts w:ascii="宋体" w:hAnsi="宋体" w:cs="宋体" w:eastAsia="宋体" w:hint="default"/>
          <w:spacing w:val="-23"/>
          <w:sz w:val="21"/>
          <w:szCs w:val="21"/>
        </w:rPr>
        <w:t> </w:t>
      </w:r>
      <w:r>
        <w:rPr>
          <w:rFonts w:ascii="宋体" w:hAnsi="宋体" w:cs="宋体" w:eastAsia="宋体" w:hint="default"/>
          <w:sz w:val="21"/>
          <w:szCs w:val="21"/>
        </w:rPr>
        <w:t>截止本报告出具日，本公司已</w:t>
      </w:r>
      <w:r>
        <w:rPr>
          <w:rFonts w:ascii="宋体" w:hAnsi="宋体" w:cs="宋体" w:eastAsia="宋体" w:hint="default"/>
          <w:sz w:val="21"/>
          <w:szCs w:val="21"/>
        </w:rPr>
        <w:t> 支付</w:t>
      </w:r>
      <w:r>
        <w:rPr>
          <w:rFonts w:ascii="Times New Roman" w:hAnsi="Times New Roman" w:cs="Times New Roman" w:eastAsia="Times New Roman" w:hint="default"/>
          <w:sz w:val="21"/>
          <w:szCs w:val="21"/>
        </w:rPr>
        <w:t>510</w:t>
      </w:r>
      <w:r>
        <w:rPr>
          <w:rFonts w:ascii="宋体" w:hAnsi="宋体" w:cs="宋体" w:eastAsia="宋体" w:hint="default"/>
          <w:sz w:val="21"/>
          <w:szCs w:val="21"/>
        </w:rPr>
        <w:t>万收购款。</w:t>
      </w:r>
    </w:p>
    <w:p>
      <w:pPr>
        <w:spacing w:line="240" w:lineRule="auto" w:before="9"/>
        <w:rPr>
          <w:rFonts w:ascii="宋体" w:hAnsi="宋体" w:cs="宋体" w:eastAsia="宋体" w:hint="default"/>
          <w:sz w:val="18"/>
          <w:szCs w:val="18"/>
        </w:rPr>
      </w:pPr>
    </w:p>
    <w:p>
      <w:pPr>
        <w:spacing w:line="256" w:lineRule="auto" w:before="0"/>
        <w:ind w:left="1494" w:right="1115" w:hanging="36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3"/>
          <w:sz w:val="21"/>
          <w:szCs w:val="21"/>
        </w:rPr>
        <w:t> </w:t>
      </w:r>
      <w:r>
        <w:rPr>
          <w:rFonts w:ascii="宋体" w:hAnsi="宋体" w:cs="宋体" w:eastAsia="宋体" w:hint="default"/>
          <w:sz w:val="21"/>
          <w:szCs w:val="21"/>
        </w:rPr>
        <w:t>经本公司于</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日召开的第三届董事会第六次会议、第三届监事会第五次会议审议通过《关于 向上海虹港数据信息有限公司提供财务资助的议案》：同意本公司向上海虹港提供一年期限的有偿借</w:t>
      </w:r>
    </w:p>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261" w:lineRule="auto" w:before="35"/>
        <w:ind w:left="1493" w:right="1014" w:firstLine="0"/>
        <w:jc w:val="left"/>
        <w:rPr>
          <w:rFonts w:ascii="宋体" w:hAnsi="宋体" w:cs="宋体" w:eastAsia="宋体" w:hint="default"/>
          <w:sz w:val="21"/>
          <w:szCs w:val="21"/>
        </w:rPr>
      </w:pPr>
      <w:r>
        <w:rPr>
          <w:rFonts w:ascii="宋体" w:hAnsi="宋体" w:cs="宋体" w:eastAsia="宋体" w:hint="default"/>
          <w:sz w:val="21"/>
          <w:szCs w:val="21"/>
        </w:rPr>
        <w:t>款</w:t>
      </w:r>
      <w:r>
        <w:rPr>
          <w:rFonts w:ascii="Times New Roman" w:hAnsi="Times New Roman" w:cs="Times New Roman" w:eastAsia="Times New Roman" w:hint="default"/>
          <w:sz w:val="21"/>
          <w:szCs w:val="21"/>
        </w:rPr>
        <w:t>1,500</w:t>
      </w:r>
      <w:r>
        <w:rPr>
          <w:rFonts w:ascii="宋体" w:hAnsi="宋体" w:cs="宋体" w:eastAsia="宋体" w:hint="default"/>
          <w:sz w:val="21"/>
          <w:szCs w:val="21"/>
        </w:rPr>
        <w:t>万元，以购买购买坐落在上海市浦东新区宁桥路</w:t>
      </w:r>
      <w:r>
        <w:rPr>
          <w:rFonts w:ascii="Times New Roman" w:hAnsi="Times New Roman" w:cs="Times New Roman" w:eastAsia="Times New Roman" w:hint="default"/>
          <w:sz w:val="21"/>
          <w:szCs w:val="21"/>
        </w:rPr>
        <w:t>999</w:t>
      </w:r>
      <w:r>
        <w:rPr>
          <w:rFonts w:ascii="宋体" w:hAnsi="宋体" w:cs="宋体" w:eastAsia="宋体" w:hint="default"/>
          <w:sz w:val="21"/>
          <w:szCs w:val="21"/>
        </w:rPr>
        <w:t>号</w:t>
      </w:r>
      <w:r>
        <w:rPr>
          <w:rFonts w:ascii="Times New Roman" w:hAnsi="Times New Roman" w:cs="Times New Roman" w:eastAsia="Times New Roman" w:hint="default"/>
          <w:sz w:val="21"/>
          <w:szCs w:val="21"/>
        </w:rPr>
        <w:t>T15-7</w:t>
      </w:r>
      <w:r>
        <w:rPr>
          <w:rFonts w:ascii="宋体" w:hAnsi="宋体" w:cs="宋体" w:eastAsia="宋体" w:hint="default"/>
          <w:sz w:val="21"/>
          <w:szCs w:val="21"/>
        </w:rPr>
        <w:t>室号（部位：</w:t>
      </w:r>
      <w:r>
        <w:rPr>
          <w:rFonts w:ascii="宋体" w:hAnsi="宋体" w:cs="宋体" w:eastAsia="宋体" w:hint="default"/>
          <w:spacing w:val="-64"/>
          <w:sz w:val="21"/>
          <w:szCs w:val="21"/>
        </w:rPr>
        <w:t> </w:t>
      </w:r>
      <w:r>
        <w:rPr>
          <w:rFonts w:ascii="Times New Roman" w:hAnsi="Times New Roman" w:cs="Times New Roman" w:eastAsia="Times New Roman" w:hint="default"/>
          <w:spacing w:val="-3"/>
          <w:sz w:val="21"/>
          <w:szCs w:val="21"/>
        </w:rPr>
        <w:t>T15-7</w:t>
      </w:r>
      <w:r>
        <w:rPr>
          <w:rFonts w:ascii="宋体" w:hAnsi="宋体" w:cs="宋体" w:eastAsia="宋体" w:hint="default"/>
          <w:spacing w:val="-3"/>
          <w:sz w:val="21"/>
          <w:szCs w:val="21"/>
        </w:rPr>
        <w:t>）【产权证号：</w:t>
      </w:r>
      <w:r>
        <w:rPr>
          <w:rFonts w:ascii="宋体" w:hAnsi="宋体" w:cs="宋体" w:eastAsia="宋体" w:hint="default"/>
          <w:sz w:val="21"/>
          <w:szCs w:val="21"/>
        </w:rPr>
        <w:t> 沪房地浦字（</w:t>
      </w:r>
      <w:r>
        <w:rPr>
          <w:rFonts w:ascii="Times New Roman" w:hAnsi="Times New Roman" w:cs="Times New Roman" w:eastAsia="Times New Roman" w:hint="default"/>
          <w:sz w:val="21"/>
          <w:szCs w:val="21"/>
        </w:rPr>
        <w:t>2013</w:t>
      </w:r>
      <w:r>
        <w:rPr>
          <w:rFonts w:ascii="宋体" w:hAnsi="宋体" w:cs="宋体" w:eastAsia="宋体" w:hint="default"/>
          <w:sz w:val="21"/>
          <w:szCs w:val="21"/>
        </w:rPr>
        <w:t>）第</w:t>
      </w:r>
      <w:r>
        <w:rPr>
          <w:rFonts w:ascii="Times New Roman" w:hAnsi="Times New Roman" w:cs="Times New Roman" w:eastAsia="Times New Roman" w:hint="default"/>
          <w:sz w:val="21"/>
          <w:szCs w:val="21"/>
        </w:rPr>
        <w:t>051978</w:t>
      </w:r>
      <w:r>
        <w:rPr>
          <w:rFonts w:ascii="宋体" w:hAnsi="宋体" w:cs="宋体" w:eastAsia="宋体" w:hint="default"/>
          <w:sz w:val="21"/>
          <w:szCs w:val="21"/>
        </w:rPr>
        <w:t>号】的物业；同时，上海虹港其他股东（上海虹港其他股东上海瓦研信 息技术有限公司、深圳市前海和钧天源资产管理中心）同意以其持有的上海虹港部分股权质押给公司 作为该项借款的担保，股权出质额根据借款额和利息总额按其持有上海虹港的股份比例计算。</w:t>
      </w:r>
    </w:p>
    <w:p>
      <w:pPr>
        <w:spacing w:line="240" w:lineRule="auto" w:before="2"/>
        <w:rPr>
          <w:rFonts w:ascii="宋体" w:hAnsi="宋体" w:cs="宋体" w:eastAsia="宋体" w:hint="default"/>
          <w:sz w:val="19"/>
          <w:szCs w:val="19"/>
        </w:rPr>
      </w:pPr>
    </w:p>
    <w:p>
      <w:pPr>
        <w:spacing w:line="256" w:lineRule="auto" w:before="0"/>
        <w:ind w:left="1493" w:right="1122" w:hanging="360"/>
        <w:jc w:val="left"/>
        <w:rPr>
          <w:rFonts w:ascii="宋体" w:hAnsi="宋体" w:cs="宋体" w:eastAsia="宋体" w:hint="default"/>
          <w:sz w:val="21"/>
          <w:szCs w:val="21"/>
        </w:rPr>
      </w:pPr>
      <w:r>
        <w:rPr>
          <w:rFonts w:ascii="宋体" w:hAnsi="宋体" w:cs="宋体" w:eastAsia="宋体" w:hint="default"/>
          <w:sz w:val="18"/>
          <w:szCs w:val="18"/>
        </w:rPr>
        <w:t>3.</w:t>
      </w:r>
      <w:r>
        <w:rPr>
          <w:rFonts w:ascii="宋体" w:hAnsi="宋体" w:cs="宋体" w:eastAsia="宋体" w:hint="default"/>
          <w:spacing w:val="41"/>
          <w:sz w:val="18"/>
          <w:szCs w:val="18"/>
        </w:rPr>
        <w:t> </w:t>
      </w:r>
      <w:r>
        <w:rPr>
          <w:rFonts w:ascii="宋体" w:hAnsi="宋体" w:cs="宋体" w:eastAsia="宋体" w:hint="default"/>
          <w:sz w:val="22"/>
          <w:szCs w:val="22"/>
        </w:rPr>
        <w:t>经本公司</w:t>
      </w:r>
      <w:r>
        <w:rPr>
          <w:rFonts w:ascii="Times New Roman" w:hAnsi="Times New Roman" w:cs="Times New Roman" w:eastAsia="Times New Roman" w:hint="default"/>
          <w:sz w:val="22"/>
          <w:szCs w:val="22"/>
        </w:rPr>
        <w:t>2016</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20</w:t>
      </w:r>
      <w:r>
        <w:rPr>
          <w:rFonts w:ascii="宋体" w:hAnsi="宋体" w:cs="宋体" w:eastAsia="宋体" w:hint="default"/>
          <w:sz w:val="22"/>
          <w:szCs w:val="22"/>
        </w:rPr>
        <w:t>日召开的第三届董事会第七次会议审议通过</w:t>
      </w:r>
      <w:r>
        <w:rPr>
          <w:rFonts w:ascii="Times New Roman" w:hAnsi="Times New Roman" w:cs="Times New Roman" w:eastAsia="Times New Roman" w:hint="default"/>
          <w:sz w:val="22"/>
          <w:szCs w:val="22"/>
        </w:rPr>
        <w:t>2015</w:t>
      </w:r>
      <w:r>
        <w:rPr>
          <w:rFonts w:ascii="宋体" w:hAnsi="宋体" w:cs="宋体" w:eastAsia="宋体" w:hint="default"/>
          <w:sz w:val="22"/>
          <w:szCs w:val="22"/>
        </w:rPr>
        <w:t>年度利润分配方案：</w:t>
      </w:r>
      <w:r>
        <w:rPr>
          <w:rFonts w:ascii="宋体" w:hAnsi="宋体" w:cs="宋体" w:eastAsia="宋体" w:hint="default"/>
          <w:sz w:val="21"/>
          <w:szCs w:val="21"/>
        </w:rPr>
        <w:t>本公司</w:t>
      </w:r>
      <w:r>
        <w:rPr>
          <w:rFonts w:ascii="宋体" w:hAnsi="宋体" w:cs="宋体" w:eastAsia="宋体" w:hint="default"/>
          <w:sz w:val="21"/>
          <w:szCs w:val="21"/>
        </w:rPr>
        <w:t> 控股股东、实际控制人孙屹峥先生、张菀女士于</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日向公司董事会提交了《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年度利润 </w:t>
      </w:r>
      <w:r>
        <w:rPr>
          <w:rFonts w:ascii="宋体" w:hAnsi="宋体" w:cs="宋体" w:eastAsia="宋体" w:hint="default"/>
          <w:spacing w:val="-2"/>
          <w:sz w:val="21"/>
          <w:szCs w:val="21"/>
        </w:rPr>
        <w:t>分配预案的提案和承诺》，本公司以</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日总股本</w:t>
      </w:r>
      <w:r>
        <w:rPr>
          <w:rFonts w:ascii="Times New Roman" w:hAnsi="Times New Roman" w:cs="Times New Roman" w:eastAsia="Times New Roman" w:hint="default"/>
          <w:spacing w:val="-2"/>
          <w:sz w:val="21"/>
          <w:szCs w:val="21"/>
        </w:rPr>
        <w:t>175,972,779.00</w:t>
      </w:r>
      <w:r>
        <w:rPr>
          <w:rFonts w:ascii="宋体" w:hAnsi="宋体" w:cs="宋体" w:eastAsia="宋体" w:hint="default"/>
          <w:spacing w:val="-2"/>
          <w:sz w:val="21"/>
          <w:szCs w:val="21"/>
        </w:rPr>
        <w:t>股为基数向全体股东每</w:t>
      </w:r>
      <w:r>
        <w:rPr>
          <w:rFonts w:ascii="Times New Roman" w:hAnsi="Times New Roman" w:cs="Times New Roman" w:eastAsia="Times New Roman" w:hint="default"/>
          <w:spacing w:val="-2"/>
          <w:sz w:val="21"/>
          <w:szCs w:val="21"/>
        </w:rPr>
        <w:t>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股 派发现金红利</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宋体" w:hAnsi="宋体" w:cs="宋体" w:eastAsia="宋体" w:hint="default"/>
          <w:sz w:val="21"/>
          <w:szCs w:val="21"/>
        </w:rPr>
        <w:t>元（含税），共计派发现金</w:t>
      </w:r>
      <w:r>
        <w:rPr>
          <w:rFonts w:ascii="Times New Roman" w:hAnsi="Times New Roman" w:cs="Times New Roman" w:eastAsia="Times New Roman" w:hint="default"/>
          <w:sz w:val="21"/>
          <w:szCs w:val="21"/>
        </w:rPr>
        <w:t>5,279,183.37</w:t>
      </w:r>
      <w:r>
        <w:rPr>
          <w:rFonts w:ascii="宋体" w:hAnsi="宋体" w:cs="宋体" w:eastAsia="宋体" w:hint="default"/>
          <w:sz w:val="21"/>
          <w:szCs w:val="21"/>
        </w:rPr>
        <w:t>元；</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年度以资本公积转增股本，每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 转增</w:t>
      </w:r>
      <w:r>
        <w:rPr>
          <w:rFonts w:ascii="Times New Roman" w:hAnsi="Times New Roman" w:cs="Times New Roman" w:eastAsia="Times New Roman" w:hint="default"/>
          <w:sz w:val="21"/>
          <w:szCs w:val="21"/>
        </w:rPr>
        <w:t>15</w:t>
      </w:r>
      <w:r>
        <w:rPr>
          <w:rFonts w:ascii="宋体" w:hAnsi="宋体" w:cs="宋体" w:eastAsia="宋体" w:hint="default"/>
          <w:sz w:val="21"/>
          <w:szCs w:val="21"/>
        </w:rPr>
        <w:t>股，本次转增后公司总股本将由</w:t>
      </w:r>
      <w:r>
        <w:rPr>
          <w:rFonts w:ascii="Times New Roman" w:hAnsi="Times New Roman" w:cs="Times New Roman" w:eastAsia="Times New Roman" w:hint="default"/>
          <w:sz w:val="21"/>
          <w:szCs w:val="21"/>
        </w:rPr>
        <w:t>175,972,779 .00</w:t>
      </w:r>
      <w:r>
        <w:rPr>
          <w:rFonts w:ascii="宋体" w:hAnsi="宋体" w:cs="宋体" w:eastAsia="宋体" w:hint="default"/>
          <w:sz w:val="21"/>
          <w:szCs w:val="21"/>
        </w:rPr>
        <w:t>股增加至 </w:t>
      </w:r>
      <w:r>
        <w:rPr>
          <w:rFonts w:ascii="Times New Roman" w:hAnsi="Times New Roman" w:cs="Times New Roman" w:eastAsia="Times New Roman" w:hint="default"/>
          <w:sz w:val="21"/>
          <w:szCs w:val="21"/>
        </w:rPr>
        <w:t>439,931,947 .00</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该利润分配方案将 提请</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年度股东大会审议表决通过后实施。</w:t>
      </w:r>
    </w:p>
    <w:p>
      <w:pPr>
        <w:spacing w:line="240" w:lineRule="auto" w:before="9"/>
        <w:rPr>
          <w:rFonts w:ascii="宋体" w:hAnsi="宋体" w:cs="宋体" w:eastAsia="宋体" w:hint="default"/>
          <w:sz w:val="18"/>
          <w:szCs w:val="18"/>
        </w:rPr>
      </w:pPr>
    </w:p>
    <w:p>
      <w:pPr>
        <w:spacing w:before="0"/>
        <w:ind w:left="1134" w:right="1033"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除存在上述资产负债表日后事项披露事项外，本集团无其他重大资产负债表日后事项。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3"/>
        <w:spacing w:line="240" w:lineRule="auto"/>
        <w:ind w:left="1133" w:right="1033"/>
        <w:jc w:val="left"/>
        <w:rPr>
          <w:b w:val="0"/>
          <w:bCs w:val="0"/>
        </w:rPr>
      </w:pPr>
      <w:bookmarkStart w:name="十六、其他重要事项" w:id="484"/>
      <w:bookmarkEnd w:id="484"/>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前期会计差错更正" w:id="485"/>
      <w:bookmarkEnd w:id="48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追溯重述法" w:id="486"/>
      <w:bookmarkEnd w:id="4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未来适用法" w:id="487"/>
      <w:bookmarkEnd w:id="4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spacing w:before="35"/>
        <w:ind w:left="1134" w:right="1033" w:firstLine="0"/>
        <w:jc w:val="left"/>
        <w:rPr>
          <w:rFonts w:ascii="宋体" w:hAnsi="宋体" w:cs="宋体" w:eastAsia="宋体" w:hint="default"/>
          <w:sz w:val="21"/>
          <w:szCs w:val="21"/>
        </w:rPr>
      </w:pPr>
      <w:bookmarkStart w:name="2、债务重组" w:id="488"/>
      <w:bookmarkEnd w:id="48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3、资产置换" w:id="489"/>
      <w:bookmarkEnd w:id="48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非货币性资产交换" w:id="490"/>
      <w:bookmarkEnd w:id="4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2）其他资产置换" w:id="491"/>
      <w:bookmarkEnd w:id="4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4、年金计划" w:id="492"/>
      <w:bookmarkEnd w:id="49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5、终止经营" w:id="493"/>
      <w:bookmarkEnd w:id="49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归属于母公司所 有者的终止经营</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6、分部信息" w:id="494"/>
      <w:bookmarkEnd w:id="49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报告分部的确定依据与会计政策" w:id="495"/>
      <w:bookmarkEnd w:id="4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2）报告分部的财务信息" w:id="496"/>
      <w:bookmarkEnd w:id="4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公司无报告分部的，或者不能披露各报告分部的资产总额和负债总额的，应说明原因" w:id="497"/>
      <w:bookmarkEnd w:id="4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4）其他说明" w:id="498"/>
      <w:bookmarkEnd w:id="4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7、其他对投资者决策有影响的重要交易和事项" w:id="499"/>
      <w:bookmarkEnd w:id="49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8、其他" w:id="500"/>
      <w:bookmarkEnd w:id="50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256" w:lineRule="auto" w:before="0"/>
        <w:ind w:left="1133" w:right="1027"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月，本公司参加成都市公共资源交易服务中心组织的国有建设用地使用权挂牌出让活动，</w:t>
      </w:r>
      <w:r>
        <w:rPr>
          <w:rFonts w:ascii="宋体" w:hAnsi="宋体" w:cs="宋体" w:eastAsia="宋体" w:hint="default"/>
          <w:sz w:val="21"/>
          <w:szCs w:val="21"/>
        </w:rPr>
        <w:t> 并通过竞拍取得宗地编号为</w:t>
      </w:r>
      <w:r>
        <w:rPr>
          <w:rFonts w:ascii="Times New Roman" w:hAnsi="Times New Roman" w:cs="Times New Roman" w:eastAsia="Times New Roman" w:hint="default"/>
          <w:sz w:val="21"/>
          <w:szCs w:val="21"/>
        </w:rPr>
        <w:t>GX2014-03-02</w:t>
      </w:r>
      <w:r>
        <w:rPr>
          <w:rFonts w:ascii="宋体" w:hAnsi="宋体" w:cs="宋体" w:eastAsia="宋体" w:hint="default"/>
          <w:sz w:val="21"/>
          <w:szCs w:val="21"/>
        </w:rPr>
        <w:t>地块的国有建设用地使用权。并于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日取得《国有土 地使用证》【成高国用（</w:t>
      </w:r>
      <w:r>
        <w:rPr>
          <w:rFonts w:ascii="Times New Roman" w:hAnsi="Times New Roman" w:cs="Times New Roman" w:eastAsia="Times New Roman" w:hint="default"/>
          <w:sz w:val="21"/>
          <w:szCs w:val="21"/>
        </w:rPr>
        <w:t>2015</w:t>
      </w:r>
      <w:r>
        <w:rPr>
          <w:rFonts w:ascii="宋体" w:hAnsi="宋体" w:cs="宋体" w:eastAsia="宋体" w:hint="default"/>
          <w:sz w:val="21"/>
          <w:szCs w:val="21"/>
        </w:rPr>
        <w:t>）第</w:t>
      </w:r>
      <w:r>
        <w:rPr>
          <w:rFonts w:ascii="Times New Roman" w:hAnsi="Times New Roman" w:cs="Times New Roman" w:eastAsia="Times New Roman" w:hint="default"/>
          <w:sz w:val="21"/>
          <w:szCs w:val="21"/>
        </w:rPr>
        <w:t>12958</w:t>
      </w:r>
      <w:r>
        <w:rPr>
          <w:rFonts w:ascii="宋体" w:hAnsi="宋体" w:cs="宋体" w:eastAsia="宋体" w:hint="default"/>
          <w:sz w:val="21"/>
          <w:szCs w:val="21"/>
        </w:rPr>
        <w:t>号】。</w:t>
      </w:r>
    </w:p>
    <w:p>
      <w:pPr>
        <w:spacing w:line="240" w:lineRule="auto" w:before="9"/>
        <w:rPr>
          <w:rFonts w:ascii="宋体" w:hAnsi="宋体" w:cs="宋体" w:eastAsia="宋体" w:hint="default"/>
          <w:sz w:val="18"/>
          <w:szCs w:val="18"/>
        </w:rPr>
      </w:pPr>
    </w:p>
    <w:p>
      <w:pPr>
        <w:spacing w:line="256" w:lineRule="auto" w:before="0"/>
        <w:ind w:left="1134" w:right="1117" w:firstLine="50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日，公司取得成都高新区经贸发展局出具的《关于四川依米康环境科技股份有限公司依 米康绿色精密环境产业基地项目备案通知书》【备案号：成高经审（</w:t>
      </w:r>
      <w:r>
        <w:rPr>
          <w:rFonts w:ascii="Times New Roman" w:hAnsi="Times New Roman" w:cs="Times New Roman" w:eastAsia="Times New Roman" w:hint="default"/>
          <w:sz w:val="21"/>
          <w:szCs w:val="21"/>
        </w:rPr>
        <w:t>2015</w:t>
      </w:r>
      <w:r>
        <w:rPr>
          <w:rFonts w:ascii="宋体" w:hAnsi="宋体" w:cs="宋体" w:eastAsia="宋体" w:hint="default"/>
          <w:sz w:val="21"/>
          <w:szCs w:val="21"/>
        </w:rPr>
        <w:t>）</w:t>
      </w:r>
      <w:r>
        <w:rPr>
          <w:rFonts w:ascii="Times New Roman" w:hAnsi="Times New Roman" w:cs="Times New Roman" w:eastAsia="Times New Roman" w:hint="default"/>
          <w:sz w:val="21"/>
          <w:szCs w:val="21"/>
        </w:rPr>
        <w:t>152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号】。</w:t>
      </w:r>
    </w:p>
    <w:p>
      <w:pPr>
        <w:spacing w:line="240" w:lineRule="auto" w:before="9"/>
        <w:rPr>
          <w:rFonts w:ascii="宋体" w:hAnsi="宋体" w:cs="宋体" w:eastAsia="宋体" w:hint="default"/>
          <w:sz w:val="18"/>
          <w:szCs w:val="18"/>
        </w:rPr>
      </w:pPr>
    </w:p>
    <w:p>
      <w:pPr>
        <w:spacing w:line="256" w:lineRule="auto" w:before="0"/>
        <w:ind w:left="1133" w:right="1117" w:firstLine="420"/>
        <w:jc w:val="left"/>
        <w:rPr>
          <w:rFonts w:ascii="宋体" w:hAnsi="宋体" w:cs="宋体" w:eastAsia="宋体" w:hint="default"/>
          <w:sz w:val="21"/>
          <w:szCs w:val="21"/>
        </w:rPr>
      </w:pPr>
      <w:r>
        <w:rPr>
          <w:rFonts w:ascii="宋体" w:hAnsi="宋体" w:cs="宋体" w:eastAsia="宋体" w:hint="default"/>
          <w:sz w:val="21"/>
          <w:szCs w:val="21"/>
        </w:rPr>
        <w:t>本公司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日召开的第三届董事会第四次会议审议通过《关于投资建设</w:t>
      </w:r>
      <w:r>
        <w:rPr>
          <w:rFonts w:ascii="Times New Roman" w:hAnsi="Times New Roman" w:cs="Times New Roman" w:eastAsia="Times New Roman" w:hint="default"/>
          <w:sz w:val="21"/>
          <w:szCs w:val="21"/>
        </w:rPr>
        <w:t>“</w:t>
      </w:r>
      <w:r>
        <w:rPr>
          <w:rFonts w:ascii="宋体" w:hAnsi="宋体" w:cs="宋体" w:eastAsia="宋体" w:hint="default"/>
          <w:sz w:val="21"/>
          <w:szCs w:val="21"/>
        </w:rPr>
        <w:t>依米康绿色环境产 业基地项目</w:t>
      </w:r>
      <w:r>
        <w:rPr>
          <w:rFonts w:ascii="Times New Roman" w:hAnsi="Times New Roman" w:cs="Times New Roman" w:eastAsia="Times New Roman" w:hint="default"/>
          <w:sz w:val="21"/>
          <w:szCs w:val="21"/>
        </w:rPr>
        <w:t>”</w:t>
      </w:r>
      <w:r>
        <w:rPr>
          <w:rFonts w:ascii="宋体" w:hAnsi="宋体" w:cs="宋体" w:eastAsia="宋体" w:hint="default"/>
          <w:sz w:val="21"/>
          <w:szCs w:val="21"/>
        </w:rPr>
        <w:t>的议案》：本公司拟以自筹资金方式在成都高新区西部园区投资建设</w:t>
      </w:r>
      <w:r>
        <w:rPr>
          <w:rFonts w:ascii="Times New Roman" w:hAnsi="Times New Roman" w:cs="Times New Roman" w:eastAsia="Times New Roman" w:hint="default"/>
          <w:sz w:val="21"/>
          <w:szCs w:val="21"/>
        </w:rPr>
        <w:t>“</w:t>
      </w:r>
      <w:r>
        <w:rPr>
          <w:rFonts w:ascii="宋体" w:hAnsi="宋体" w:cs="宋体" w:eastAsia="宋体" w:hint="default"/>
          <w:sz w:val="21"/>
          <w:szCs w:val="21"/>
        </w:rPr>
        <w:t>依米康绿色精密环境产 </w:t>
      </w:r>
      <w:r>
        <w:rPr>
          <w:rFonts w:ascii="宋体" w:hAnsi="宋体" w:cs="宋体" w:eastAsia="宋体" w:hint="default"/>
          <w:spacing w:val="-2"/>
          <w:sz w:val="21"/>
          <w:szCs w:val="21"/>
        </w:rPr>
        <w:t>业基地项目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，项目总投资金额预计为</w:t>
      </w:r>
      <w:r>
        <w:rPr>
          <w:rFonts w:ascii="Times New Roman" w:hAnsi="Times New Roman" w:cs="Times New Roman" w:eastAsia="Times New Roman" w:hint="default"/>
          <w:spacing w:val="-2"/>
          <w:sz w:val="21"/>
          <w:szCs w:val="21"/>
        </w:rPr>
        <w:t>5.08</w:t>
      </w:r>
      <w:r>
        <w:rPr>
          <w:rFonts w:ascii="宋体" w:hAnsi="宋体" w:cs="宋体" w:eastAsia="宋体" w:hint="default"/>
          <w:spacing w:val="-2"/>
          <w:sz w:val="21"/>
          <w:szCs w:val="21"/>
        </w:rPr>
        <w:t>亿元，其中固定资产投资</w:t>
      </w:r>
      <w:r>
        <w:rPr>
          <w:rFonts w:ascii="Times New Roman" w:hAnsi="Times New Roman" w:cs="Times New Roman" w:eastAsia="Times New Roman" w:hint="default"/>
          <w:spacing w:val="-2"/>
          <w:sz w:val="21"/>
          <w:szCs w:val="21"/>
        </w:rPr>
        <w:t>3.58</w:t>
      </w:r>
      <w:r>
        <w:rPr>
          <w:rFonts w:ascii="宋体" w:hAnsi="宋体" w:cs="宋体" w:eastAsia="宋体" w:hint="default"/>
          <w:spacing w:val="-2"/>
          <w:sz w:val="21"/>
          <w:szCs w:val="21"/>
        </w:rPr>
        <w:t>亿（含土地款</w:t>
      </w:r>
      <w:r>
        <w:rPr>
          <w:rFonts w:ascii="Times New Roman" w:hAnsi="Times New Roman" w:cs="Times New Roman" w:eastAsia="Times New Roman" w:hint="default"/>
          <w:spacing w:val="-2"/>
          <w:sz w:val="21"/>
          <w:szCs w:val="21"/>
        </w:rPr>
        <w:t>1572.6762</w:t>
      </w:r>
      <w:r>
        <w:rPr>
          <w:rFonts w:ascii="宋体" w:hAnsi="宋体" w:cs="宋体" w:eastAsia="宋体" w:hint="default"/>
          <w:spacing w:val="-2"/>
          <w:sz w:val="21"/>
          <w:szCs w:val="21"/>
        </w:rPr>
        <w:t>万元），项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目铺地流动资金约</w:t>
      </w:r>
      <w:r>
        <w:rPr>
          <w:rFonts w:ascii="Times New Roman" w:hAnsi="Times New Roman" w:cs="Times New Roman" w:eastAsia="Times New Roman" w:hint="default"/>
          <w:sz w:val="21"/>
          <w:szCs w:val="21"/>
        </w:rPr>
        <w:t>1.5</w:t>
      </w:r>
      <w:r>
        <w:rPr>
          <w:rFonts w:ascii="宋体" w:hAnsi="宋体" w:cs="宋体" w:eastAsia="宋体" w:hint="default"/>
          <w:sz w:val="21"/>
          <w:szCs w:val="21"/>
        </w:rPr>
        <w:t>亿元。本次对外投资事项尚需提交公司股东大会审议。</w:t>
      </w:r>
    </w:p>
    <w:p>
      <w:pPr>
        <w:spacing w:line="240" w:lineRule="auto" w:before="9"/>
        <w:rPr>
          <w:rFonts w:ascii="宋体" w:hAnsi="宋体" w:cs="宋体" w:eastAsia="宋体" w:hint="default"/>
          <w:sz w:val="18"/>
          <w:szCs w:val="18"/>
        </w:rPr>
      </w:pPr>
    </w:p>
    <w:p>
      <w:pPr>
        <w:spacing w:line="256" w:lineRule="auto" w:before="0"/>
        <w:ind w:left="1133" w:right="1033"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日召开的</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年第一次临时股东大会审议通过了《关于投资建设</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依米康绿色环境产业基</w:t>
      </w:r>
      <w:r>
        <w:rPr>
          <w:rFonts w:ascii="宋体" w:hAnsi="宋体" w:cs="宋体" w:eastAsia="宋体" w:hint="default"/>
          <w:sz w:val="21"/>
          <w:szCs w:val="21"/>
        </w:rPr>
        <w:t> 地项目</w:t>
      </w:r>
      <w:r>
        <w:rPr>
          <w:rFonts w:ascii="Times New Roman" w:hAnsi="Times New Roman" w:cs="Times New Roman" w:eastAsia="Times New Roman" w:hint="default"/>
          <w:sz w:val="21"/>
          <w:szCs w:val="21"/>
        </w:rPr>
        <w:t>”</w:t>
      </w:r>
      <w:r>
        <w:rPr>
          <w:rFonts w:ascii="宋体" w:hAnsi="宋体" w:cs="宋体" w:eastAsia="宋体" w:hint="default"/>
          <w:sz w:val="21"/>
          <w:szCs w:val="21"/>
        </w:rPr>
        <w:t>的议案》。</w:t>
      </w:r>
    </w:p>
    <w:p>
      <w:pPr>
        <w:spacing w:line="240" w:lineRule="auto" w:before="9"/>
        <w:rPr>
          <w:rFonts w:ascii="宋体" w:hAnsi="宋体" w:cs="宋体" w:eastAsia="宋体" w:hint="default"/>
          <w:sz w:val="18"/>
          <w:szCs w:val="18"/>
        </w:rPr>
      </w:pPr>
    </w:p>
    <w:p>
      <w:pPr>
        <w:spacing w:line="259" w:lineRule="auto" w:before="0"/>
        <w:ind w:left="1133" w:right="1033"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日，本公司控股股东、实际控制人张菀女士因个人资金需求将其持有的</w:t>
      </w:r>
      <w:r>
        <w:rPr>
          <w:rFonts w:ascii="Times New Roman" w:hAnsi="Times New Roman" w:cs="Times New Roman" w:eastAsia="Times New Roman" w:hint="default"/>
          <w:spacing w:val="-2"/>
          <w:sz w:val="21"/>
          <w:szCs w:val="21"/>
        </w:rPr>
        <w:t>10,000,000.00</w:t>
      </w:r>
      <w:r>
        <w:rPr>
          <w:rFonts w:ascii="Times New Roman" w:hAnsi="Times New Roman" w:cs="Times New Roman" w:eastAsia="Times New Roman" w:hint="default"/>
          <w:sz w:val="21"/>
          <w:szCs w:val="21"/>
        </w:rPr>
        <w:t> </w:t>
      </w:r>
      <w:r>
        <w:rPr>
          <w:rFonts w:ascii="宋体" w:hAnsi="宋体" w:cs="宋体" w:eastAsia="宋体" w:hint="default"/>
          <w:sz w:val="21"/>
          <w:szCs w:val="21"/>
        </w:rPr>
        <w:t>股作为标的证券，质押给川财证券有限责任公司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川财证券</w:t>
      </w:r>
      <w:r>
        <w:rPr>
          <w:rFonts w:ascii="Times New Roman" w:hAnsi="Times New Roman" w:cs="Times New Roman" w:eastAsia="Times New Roman" w:hint="default"/>
          <w:sz w:val="21"/>
          <w:szCs w:val="21"/>
        </w:rPr>
        <w:t>”)</w:t>
      </w:r>
      <w:r>
        <w:rPr>
          <w:rFonts w:ascii="宋体" w:hAnsi="宋体" w:cs="宋体" w:eastAsia="宋体" w:hint="default"/>
          <w:sz w:val="21"/>
          <w:szCs w:val="21"/>
        </w:rPr>
        <w:t>，办理股票质押式回购交易，该次 </w:t>
      </w:r>
      <w:r>
        <w:rPr>
          <w:rFonts w:ascii="宋体" w:hAnsi="宋体" w:cs="宋体" w:eastAsia="宋体" w:hint="default"/>
          <w:spacing w:val="-1"/>
          <w:sz w:val="21"/>
          <w:szCs w:val="21"/>
        </w:rPr>
        <w:t>交易的初始交易日为</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日，购回交易日为</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日。</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日质押期限届满，张菀女士</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将该部分股票申请了延期购回，质押给川财证券，办理了股票质押式回购交易延期购回业务，此次延期购</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回业务约定购回交易日期为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日，张菀女士因个人资金需求将其持有的 </w:t>
      </w:r>
      <w:r>
        <w:rPr>
          <w:rFonts w:ascii="Times New Roman" w:hAnsi="Times New Roman" w:cs="Times New Roman" w:eastAsia="Times New Roman" w:hint="default"/>
          <w:spacing w:val="-2"/>
          <w:sz w:val="21"/>
          <w:szCs w:val="21"/>
        </w:rPr>
        <w:t>7,500,000.00</w:t>
      </w:r>
      <w:r>
        <w:rPr>
          <w:rFonts w:ascii="宋体" w:hAnsi="宋体" w:cs="宋体" w:eastAsia="宋体" w:hint="default"/>
          <w:spacing w:val="-2"/>
          <w:sz w:val="21"/>
          <w:szCs w:val="21"/>
        </w:rPr>
        <w:t>股作为标的证券，质押给川财证券，办理股票质押式回购交易，该次交易的初始交易日为</w:t>
      </w:r>
      <w:r>
        <w:rPr>
          <w:rFonts w:ascii="Times New Roman" w:hAnsi="Times New Roman" w:cs="Times New Roman" w:eastAsia="Times New Roman" w:hint="default"/>
          <w:spacing w:val="-2"/>
          <w:sz w:val="21"/>
          <w:szCs w:val="21"/>
        </w:rPr>
        <w:t>2015</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日，购回交易日为</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p>
      <w:pPr>
        <w:spacing w:line="240" w:lineRule="auto" w:before="7"/>
        <w:rPr>
          <w:rFonts w:ascii="宋体" w:hAnsi="宋体" w:cs="宋体" w:eastAsia="宋体" w:hint="default"/>
          <w:sz w:val="18"/>
          <w:szCs w:val="18"/>
        </w:rPr>
      </w:pPr>
    </w:p>
    <w:p>
      <w:pPr>
        <w:spacing w:line="256" w:lineRule="auto" w:before="0"/>
        <w:ind w:left="1133" w:right="1033"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日，本公司控股股东、实际控制人孙屹峥先生因个人资金需求将其持有的</w:t>
      </w:r>
      <w:r>
        <w:rPr>
          <w:rFonts w:ascii="Times New Roman" w:hAnsi="Times New Roman" w:cs="Times New Roman" w:eastAsia="Times New Roman" w:hint="default"/>
          <w:spacing w:val="-2"/>
          <w:sz w:val="21"/>
          <w:szCs w:val="21"/>
        </w:rPr>
        <w:t>9,920,000.00</w:t>
      </w:r>
      <w:r>
        <w:rPr>
          <w:rFonts w:ascii="宋体" w:hAnsi="宋体" w:cs="宋体" w:eastAsia="宋体" w:hint="default"/>
          <w:spacing w:val="-2"/>
          <w:sz w:val="21"/>
          <w:szCs w:val="21"/>
        </w:rPr>
        <w:t>股作 </w:t>
      </w:r>
      <w:r>
        <w:rPr>
          <w:rFonts w:ascii="宋体" w:hAnsi="宋体" w:cs="宋体" w:eastAsia="宋体" w:hint="default"/>
          <w:sz w:val="21"/>
          <w:szCs w:val="21"/>
        </w:rPr>
        <w:t>为标的证券，质押给长江证券（上海）资产管理有限公司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长江证券</w:t>
      </w:r>
      <w:r>
        <w:rPr>
          <w:rFonts w:ascii="Times New Roman" w:hAnsi="Times New Roman" w:cs="Times New Roman" w:eastAsia="Times New Roman" w:hint="default"/>
          <w:sz w:val="21"/>
          <w:szCs w:val="21"/>
        </w:rPr>
        <w:t>”)</w:t>
      </w:r>
      <w:r>
        <w:rPr>
          <w:rFonts w:ascii="宋体" w:hAnsi="宋体" w:cs="宋体" w:eastAsia="宋体" w:hint="default"/>
          <w:sz w:val="21"/>
          <w:szCs w:val="21"/>
        </w:rPr>
        <w:t>，办理股票质押式回购交</w:t>
      </w:r>
    </w:p>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r>
        <w:rPr>
          <w:rFonts w:ascii="宋体" w:hAnsi="宋体" w:cs="宋体" w:eastAsia="宋体" w:hint="default"/>
          <w:sz w:val="21"/>
          <w:szCs w:val="21"/>
        </w:rPr>
        <w:t>易，该次交易的初始交易日为</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日，购回交易日为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p>
      <w:pPr>
        <w:spacing w:line="240" w:lineRule="auto" w:before="13"/>
        <w:rPr>
          <w:rFonts w:ascii="宋体" w:hAnsi="宋体" w:cs="宋体" w:eastAsia="宋体" w:hint="default"/>
          <w:sz w:val="19"/>
          <w:szCs w:val="19"/>
        </w:rPr>
      </w:pPr>
    </w:p>
    <w:p>
      <w:pPr>
        <w:spacing w:line="256" w:lineRule="auto" w:before="0"/>
        <w:ind w:left="1133" w:right="1110" w:firstLine="420"/>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）本公司分别于</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日召开第二届董事会第二十六次会议、</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24</w:t>
      </w:r>
      <w:r>
        <w:rPr>
          <w:rFonts w:ascii="宋体" w:hAnsi="宋体" w:cs="宋体" w:eastAsia="宋体" w:hint="default"/>
          <w:spacing w:val="-1"/>
          <w:sz w:val="21"/>
          <w:szCs w:val="21"/>
        </w:rPr>
        <w:t>日召开</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年度第</w:t>
      </w:r>
      <w:r>
        <w:rPr>
          <w:rFonts w:ascii="宋体" w:hAnsi="宋体" w:cs="宋体" w:eastAsia="宋体" w:hint="default"/>
          <w:sz w:val="21"/>
          <w:szCs w:val="21"/>
        </w:rPr>
        <w:t> 一次临时股东大会，审议通过了《关于＜四川依米康环境科技股份有限公司第一期员工持股计划（草案）</w:t>
      </w:r>
    </w:p>
    <w:p>
      <w:pPr>
        <w:spacing w:line="256" w:lineRule="auto" w:before="23"/>
        <w:ind w:left="1133" w:right="1117" w:firstLine="0"/>
        <w:jc w:val="left"/>
        <w:rPr>
          <w:rFonts w:ascii="宋体" w:hAnsi="宋体" w:cs="宋体" w:eastAsia="宋体" w:hint="default"/>
          <w:sz w:val="21"/>
          <w:szCs w:val="21"/>
        </w:rPr>
      </w:pPr>
      <w:r>
        <w:rPr>
          <w:rFonts w:ascii="宋体" w:hAnsi="宋体" w:cs="宋体" w:eastAsia="宋体" w:hint="default"/>
          <w:sz w:val="21"/>
          <w:szCs w:val="21"/>
        </w:rPr>
        <w:t>＞及其摘要的议案》及相关议案：同意本公司实施第一期员工持股计划（以下简称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本员工持股计划</w:t>
      </w:r>
      <w:r>
        <w:rPr>
          <w:rFonts w:ascii="Times New Roman" w:hAnsi="Times New Roman" w:cs="Times New Roman" w:eastAsia="Times New Roman" w:hint="default"/>
          <w:sz w:val="21"/>
          <w:szCs w:val="21"/>
        </w:rPr>
        <w:t>”</w:t>
      </w:r>
      <w:r>
        <w:rPr>
          <w:rFonts w:ascii="宋体" w:hAnsi="宋体" w:cs="宋体" w:eastAsia="宋体" w:hint="default"/>
          <w:sz w:val="21"/>
          <w:szCs w:val="21"/>
        </w:rPr>
        <w:t>）， 本员工持股计划已委托广发证券资产管理（广东）有限公司管理成立广发恒众</w:t>
      </w:r>
      <w:r>
        <w:rPr>
          <w:rFonts w:ascii="Times New Roman" w:hAnsi="Times New Roman" w:cs="Times New Roman" w:eastAsia="Times New Roman" w:hint="default"/>
          <w:sz w:val="21"/>
          <w:szCs w:val="21"/>
        </w:rPr>
        <w:t>•</w:t>
      </w:r>
      <w:r>
        <w:rPr>
          <w:rFonts w:ascii="宋体" w:hAnsi="宋体" w:cs="宋体" w:eastAsia="宋体" w:hint="default"/>
          <w:sz w:val="21"/>
          <w:szCs w:val="21"/>
        </w:rPr>
        <w:t>依米康</w:t>
      </w:r>
      <w:r>
        <w:rPr>
          <w:rFonts w:ascii="Times New Roman" w:hAnsi="Times New Roman" w:cs="Times New Roman" w:eastAsia="Times New Roman" w:hint="default"/>
          <w:sz w:val="21"/>
          <w:szCs w:val="21"/>
        </w:rPr>
        <w:t>1</w:t>
      </w:r>
      <w:r>
        <w:rPr>
          <w:rFonts w:ascii="宋体" w:hAnsi="宋体" w:cs="宋体" w:eastAsia="宋体" w:hint="default"/>
          <w:sz w:val="21"/>
          <w:szCs w:val="21"/>
        </w:rPr>
        <w:t>号集合资产管理计 划（以下简称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本资管计划</w:t>
      </w:r>
      <w:r>
        <w:rPr>
          <w:rFonts w:ascii="Times New Roman" w:hAnsi="Times New Roman" w:cs="Times New Roman" w:eastAsia="Times New Roman" w:hint="default"/>
          <w:sz w:val="21"/>
          <w:szCs w:val="21"/>
        </w:rPr>
        <w:t>”</w:t>
      </w:r>
      <w:r>
        <w:rPr>
          <w:rFonts w:ascii="宋体" w:hAnsi="宋体" w:cs="宋体" w:eastAsia="宋体" w:hint="default"/>
          <w:sz w:val="21"/>
          <w:szCs w:val="21"/>
        </w:rPr>
        <w:t>）进行管理，报告期内已完成该资产计划设立的各项手续。截至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9 </w:t>
      </w:r>
      <w:r>
        <w:rPr>
          <w:rFonts w:ascii="宋体" w:hAnsi="宋体" w:cs="宋体" w:eastAsia="宋体" w:hint="default"/>
          <w:sz w:val="21"/>
          <w:szCs w:val="21"/>
        </w:rPr>
        <w:t>日，本资管计划已通过二级市场竞价方式购买本公司股票</w:t>
      </w:r>
      <w:r>
        <w:rPr>
          <w:rFonts w:ascii="Times New Roman" w:hAnsi="Times New Roman" w:cs="Times New Roman" w:eastAsia="Times New Roman" w:hint="default"/>
          <w:sz w:val="21"/>
          <w:szCs w:val="21"/>
        </w:rPr>
        <w:t>1,719,500.00</w:t>
      </w:r>
      <w:r>
        <w:rPr>
          <w:rFonts w:ascii="宋体" w:hAnsi="宋体" w:cs="宋体" w:eastAsia="宋体" w:hint="default"/>
          <w:sz w:val="21"/>
          <w:szCs w:val="21"/>
        </w:rPr>
        <w:t>股，占本公司总股本的</w:t>
      </w:r>
      <w:r>
        <w:rPr>
          <w:rFonts w:ascii="Times New Roman" w:hAnsi="Times New Roman" w:cs="Times New Roman" w:eastAsia="Times New Roman" w:hint="default"/>
          <w:sz w:val="21"/>
          <w:szCs w:val="21"/>
        </w:rPr>
        <w:t>0.9771%</w:t>
      </w:r>
      <w:r>
        <w:rPr>
          <w:rFonts w:ascii="宋体" w:hAnsi="宋体" w:cs="宋体" w:eastAsia="宋体" w:hint="default"/>
          <w:sz w:val="21"/>
          <w:szCs w:val="21"/>
        </w:rPr>
        <w:t>，成 </w:t>
      </w:r>
      <w:r>
        <w:rPr>
          <w:rFonts w:ascii="宋体" w:hAnsi="宋体" w:cs="宋体" w:eastAsia="宋体" w:hint="default"/>
          <w:spacing w:val="-1"/>
          <w:sz w:val="21"/>
          <w:szCs w:val="21"/>
        </w:rPr>
        <w:t>交均价为</w:t>
      </w:r>
      <w:r>
        <w:rPr>
          <w:rFonts w:ascii="Times New Roman" w:hAnsi="Times New Roman" w:cs="Times New Roman" w:eastAsia="Times New Roman" w:hint="default"/>
          <w:spacing w:val="-1"/>
          <w:sz w:val="21"/>
          <w:szCs w:val="21"/>
        </w:rPr>
        <w:t>22.3119</w:t>
      </w:r>
      <w:r>
        <w:rPr>
          <w:rFonts w:ascii="宋体" w:hAnsi="宋体" w:cs="宋体" w:eastAsia="宋体" w:hint="default"/>
          <w:spacing w:val="-1"/>
          <w:sz w:val="21"/>
          <w:szCs w:val="21"/>
        </w:rPr>
        <w:t>元</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股。本公司一期员工持股计划于</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日至</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29</w:t>
      </w:r>
      <w:r>
        <w:rPr>
          <w:rFonts w:ascii="宋体" w:hAnsi="宋体" w:cs="宋体" w:eastAsia="宋体" w:hint="default"/>
          <w:spacing w:val="-1"/>
          <w:sz w:val="21"/>
          <w:szCs w:val="21"/>
        </w:rPr>
        <w:t>日期间通过二级市场以竞</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价方式累计买入本公司股票</w:t>
      </w:r>
      <w:r>
        <w:rPr>
          <w:rFonts w:ascii="Times New Roman" w:hAnsi="Times New Roman" w:cs="Times New Roman" w:eastAsia="Times New Roman" w:hint="default"/>
          <w:spacing w:val="-2"/>
          <w:sz w:val="21"/>
          <w:szCs w:val="21"/>
        </w:rPr>
        <w:t>2,810,126</w:t>
      </w:r>
      <w:r>
        <w:rPr>
          <w:rFonts w:ascii="宋体" w:hAnsi="宋体" w:cs="宋体" w:eastAsia="宋体" w:hint="default"/>
          <w:spacing w:val="-2"/>
          <w:sz w:val="21"/>
          <w:szCs w:val="21"/>
        </w:rPr>
        <w:t>股，占本公司总股本的</w:t>
      </w:r>
      <w:r>
        <w:rPr>
          <w:rFonts w:ascii="Times New Roman" w:hAnsi="Times New Roman" w:cs="Times New Roman" w:eastAsia="Times New Roman" w:hint="default"/>
          <w:spacing w:val="-2"/>
          <w:sz w:val="21"/>
          <w:szCs w:val="21"/>
        </w:rPr>
        <w:t>1.5969%</w:t>
      </w:r>
      <w:r>
        <w:rPr>
          <w:rFonts w:ascii="宋体" w:hAnsi="宋体" w:cs="宋体" w:eastAsia="宋体" w:hint="default"/>
          <w:spacing w:val="-2"/>
          <w:sz w:val="21"/>
          <w:szCs w:val="21"/>
        </w:rPr>
        <w:t>，成交累计金额</w:t>
      </w:r>
      <w:r>
        <w:rPr>
          <w:rFonts w:ascii="Times New Roman" w:hAnsi="Times New Roman" w:cs="Times New Roman" w:eastAsia="Times New Roman" w:hint="default"/>
          <w:spacing w:val="-2"/>
          <w:sz w:val="21"/>
          <w:szCs w:val="21"/>
        </w:rPr>
        <w:t>65,735,162.39</w:t>
      </w:r>
      <w:r>
        <w:rPr>
          <w:rFonts w:ascii="宋体" w:hAnsi="宋体" w:cs="宋体" w:eastAsia="宋体" w:hint="default"/>
          <w:spacing w:val="-2"/>
          <w:sz w:val="21"/>
          <w:szCs w:val="21"/>
        </w:rPr>
        <w:t>元，成交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均价为</w:t>
      </w:r>
      <w:r>
        <w:rPr>
          <w:rFonts w:ascii="Times New Roman" w:hAnsi="Times New Roman" w:cs="Times New Roman" w:eastAsia="Times New Roman" w:hint="default"/>
          <w:sz w:val="21"/>
          <w:szCs w:val="21"/>
        </w:rPr>
        <w:t>23.3922</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p>
      <w:pPr>
        <w:spacing w:line="240" w:lineRule="auto" w:before="9"/>
        <w:rPr>
          <w:rFonts w:ascii="宋体" w:hAnsi="宋体" w:cs="宋体" w:eastAsia="宋体" w:hint="default"/>
          <w:sz w:val="18"/>
          <w:szCs w:val="18"/>
        </w:rPr>
      </w:pPr>
    </w:p>
    <w:p>
      <w:pPr>
        <w:spacing w:line="268" w:lineRule="auto" w:before="0"/>
        <w:ind w:left="1134" w:right="1131" w:firstLine="420"/>
        <w:jc w:val="both"/>
        <w:rPr>
          <w:rFonts w:ascii="宋体" w:hAnsi="宋体" w:cs="宋体" w:eastAsia="宋体" w:hint="default"/>
          <w:sz w:val="21"/>
          <w:szCs w:val="21"/>
        </w:rPr>
      </w:pPr>
      <w:r>
        <w:rPr>
          <w:rFonts w:ascii="宋体" w:hAnsi="宋体" w:cs="宋体" w:eastAsia="宋体" w:hint="default"/>
          <w:spacing w:val="-1"/>
          <w:sz w:val="21"/>
          <w:szCs w:val="21"/>
        </w:rPr>
        <w:t>本公司实际控制人之一张菀女士做为本员工持股计划的资金补偿方，若优先级的预期年化收益无法实</w:t>
      </w:r>
      <w:r>
        <w:rPr>
          <w:rFonts w:ascii="宋体" w:hAnsi="宋体" w:cs="宋体" w:eastAsia="宋体" w:hint="default"/>
          <w:sz w:val="21"/>
          <w:szCs w:val="21"/>
        </w:rPr>
        <w:t> </w:t>
      </w:r>
      <w:r>
        <w:rPr>
          <w:rFonts w:ascii="宋体" w:hAnsi="宋体" w:cs="宋体" w:eastAsia="宋体" w:hint="default"/>
          <w:spacing w:val="-1"/>
          <w:sz w:val="21"/>
          <w:szCs w:val="21"/>
        </w:rPr>
        <w:t>现，或本金出现亏损，差额由资金补偿方进行补偿，资金补偿方并对此承担不可撤销的补偿责任。若进取</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级的本金出现亏损，差额由资金补偿方进行补偿，资金补偿方并对此承担不可撤销的补偿责任。本员工持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股计划到</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29</w:t>
      </w:r>
      <w:r>
        <w:rPr>
          <w:rFonts w:ascii="宋体" w:hAnsi="宋体" w:cs="宋体" w:eastAsia="宋体" w:hint="default"/>
          <w:spacing w:val="-1"/>
          <w:sz w:val="21"/>
          <w:szCs w:val="21"/>
        </w:rPr>
        <w:t>日购买完毕，进入锁定期，锁定期为</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日至</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日。在本报告期未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发生资金补偿方承担资金补偿的情况。</w:t>
      </w:r>
    </w:p>
    <w:p>
      <w:pPr>
        <w:spacing w:line="240" w:lineRule="auto" w:before="3"/>
        <w:rPr>
          <w:rFonts w:ascii="宋体" w:hAnsi="宋体" w:cs="宋体" w:eastAsia="宋体" w:hint="default"/>
          <w:sz w:val="19"/>
          <w:szCs w:val="19"/>
        </w:rPr>
      </w:pPr>
    </w:p>
    <w:p>
      <w:pPr>
        <w:spacing w:line="264" w:lineRule="auto" w:before="0"/>
        <w:ind w:left="1133" w:right="1093"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）在</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年重组江苏亿金公司的交易（交易情况详见</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年报告附注六的披露）中，根据</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日本公司与宋正兴、叶春娥、宋丽娜、张家港市立业投资发展有限公司等四方签署的《四川依米康环 境科技股份有限公司以发行股份的方式购买资产的利润补偿协议》，江苏亿金公司股东宋正兴、叶春娥、 </w:t>
      </w:r>
      <w:r>
        <w:rPr>
          <w:rFonts w:ascii="宋体" w:hAnsi="宋体" w:cs="宋体" w:eastAsia="宋体" w:hint="default"/>
          <w:spacing w:val="-1"/>
          <w:sz w:val="21"/>
          <w:szCs w:val="21"/>
        </w:rPr>
        <w:t>宋丽娜、张家港市立业投资发展有限公司（以下简称立业投资）四方保证，在本次交易实施完毕当年度起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三年内，江苏亿金公司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年实现扣除非经常损益后归属于母公司所有者的净利润不低于</w:t>
      </w:r>
      <w:r>
        <w:rPr>
          <w:rFonts w:ascii="Times New Roman" w:hAnsi="Times New Roman" w:cs="Times New Roman" w:eastAsia="Times New Roman" w:hint="default"/>
          <w:sz w:val="21"/>
          <w:szCs w:val="21"/>
        </w:rPr>
        <w:t>2,941.19</w:t>
      </w:r>
      <w:r>
        <w:rPr>
          <w:rFonts w:ascii="宋体" w:hAnsi="宋体" w:cs="宋体" w:eastAsia="宋体" w:hint="default"/>
          <w:sz w:val="21"/>
          <w:szCs w:val="21"/>
        </w:rPr>
        <w:t>万元，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年和</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年实现扣除非经常损益后归属于母公司所有者的净利润之和不低于</w:t>
      </w:r>
      <w:r>
        <w:rPr>
          <w:rFonts w:ascii="Times New Roman" w:hAnsi="Times New Roman" w:cs="Times New Roman" w:eastAsia="Times New Roman" w:hint="default"/>
          <w:sz w:val="21"/>
          <w:szCs w:val="21"/>
        </w:rPr>
        <w:t>6,400.00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p>
      <w:pPr>
        <w:spacing w:line="289" w:lineRule="exact" w:before="0"/>
        <w:ind w:left="1134" w:right="10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年及</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年实现扣除非经常损益后归属于母公司所有者的净利润之和不低于</w:t>
      </w:r>
      <w:r>
        <w:rPr>
          <w:rFonts w:ascii="Times New Roman" w:hAnsi="Times New Roman" w:cs="Times New Roman" w:eastAsia="Times New Roman" w:hint="default"/>
          <w:sz w:val="21"/>
          <w:szCs w:val="21"/>
        </w:rPr>
        <w:t>10,500.00</w:t>
      </w:r>
      <w:r>
        <w:rPr>
          <w:rFonts w:ascii="宋体" w:hAnsi="宋体" w:cs="宋体" w:eastAsia="宋体" w:hint="default"/>
          <w:sz w:val="21"/>
          <w:szCs w:val="21"/>
        </w:rPr>
        <w:t>万元。</w:t>
      </w:r>
    </w:p>
    <w:p>
      <w:pPr>
        <w:spacing w:line="240" w:lineRule="auto" w:before="13"/>
        <w:rPr>
          <w:rFonts w:ascii="宋体" w:hAnsi="宋体" w:cs="宋体" w:eastAsia="宋体" w:hint="default"/>
          <w:sz w:val="19"/>
          <w:szCs w:val="19"/>
        </w:rPr>
      </w:pPr>
    </w:p>
    <w:p>
      <w:pPr>
        <w:spacing w:line="266" w:lineRule="auto" w:before="0"/>
        <w:ind w:left="1133" w:right="1132" w:firstLine="420"/>
        <w:jc w:val="both"/>
        <w:rPr>
          <w:rFonts w:ascii="宋体" w:hAnsi="宋体" w:cs="宋体" w:eastAsia="宋体" w:hint="default"/>
          <w:sz w:val="21"/>
          <w:szCs w:val="21"/>
        </w:rPr>
      </w:pPr>
      <w:r>
        <w:rPr>
          <w:rFonts w:ascii="宋体" w:hAnsi="宋体" w:cs="宋体" w:eastAsia="宋体" w:hint="default"/>
          <w:spacing w:val="-1"/>
          <w:sz w:val="21"/>
          <w:szCs w:val="21"/>
        </w:rPr>
        <w:t>补偿义务由宋正兴、叶春娥、宋丽娜、立业投资按照比例分担，如江苏亿金公司实际净利润不满足约</w:t>
      </w:r>
      <w:r>
        <w:rPr>
          <w:rFonts w:ascii="宋体" w:hAnsi="宋体" w:cs="宋体" w:eastAsia="宋体" w:hint="default"/>
          <w:sz w:val="21"/>
          <w:szCs w:val="21"/>
        </w:rPr>
        <w:t> </w:t>
      </w:r>
      <w:r>
        <w:rPr>
          <w:rFonts w:ascii="宋体" w:hAnsi="宋体" w:cs="宋体" w:eastAsia="宋体" w:hint="default"/>
          <w:spacing w:val="-2"/>
          <w:sz w:val="21"/>
          <w:szCs w:val="21"/>
        </w:rPr>
        <w:t>定的承诺，则宋正兴、叶春娥、宋丽娜、立业投资按照</w:t>
      </w:r>
      <w:r>
        <w:rPr>
          <w:rFonts w:ascii="Times New Roman" w:hAnsi="Times New Roman" w:cs="Times New Roman" w:eastAsia="Times New Roman" w:hint="default"/>
          <w:spacing w:val="-2"/>
          <w:sz w:val="21"/>
          <w:szCs w:val="21"/>
        </w:rPr>
        <w:t>72.48%</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6.48%</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6.48%</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14.56%</w:t>
      </w:r>
      <w:r>
        <w:rPr>
          <w:rFonts w:ascii="宋体" w:hAnsi="宋体" w:cs="宋体" w:eastAsia="宋体" w:hint="default"/>
          <w:spacing w:val="-2"/>
          <w:sz w:val="21"/>
          <w:szCs w:val="21"/>
        </w:rPr>
        <w:t>比例向本公司补偿</w:t>
      </w:r>
      <w:r>
        <w:rPr>
          <w:rFonts w:ascii="宋体" w:hAnsi="宋体" w:cs="宋体" w:eastAsia="宋体" w:hint="default"/>
          <w:spacing w:val="-91"/>
          <w:sz w:val="21"/>
          <w:szCs w:val="21"/>
        </w:rPr>
        <w:t> </w:t>
      </w:r>
      <w:r>
        <w:rPr>
          <w:rFonts w:ascii="宋体" w:hAnsi="宋体" w:cs="宋体" w:eastAsia="宋体" w:hint="default"/>
          <w:spacing w:val="-1"/>
          <w:sz w:val="21"/>
          <w:szCs w:val="21"/>
        </w:rPr>
        <w:t>净利润差额。若当年的累计应补偿股份数额大于宋正兴、叶春娥、宋丽娜、立业投资本次认购本公司的股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份数，不足部分免除宋正兴、叶春娥、宋丽娜、立业投资的补偿义务。</w:t>
      </w:r>
    </w:p>
    <w:p>
      <w:pPr>
        <w:spacing w:line="240" w:lineRule="auto" w:before="5"/>
        <w:rPr>
          <w:rFonts w:ascii="宋体" w:hAnsi="宋体" w:cs="宋体" w:eastAsia="宋体" w:hint="default"/>
          <w:sz w:val="19"/>
          <w:szCs w:val="19"/>
        </w:rPr>
      </w:pPr>
    </w:p>
    <w:p>
      <w:pPr>
        <w:spacing w:line="256" w:lineRule="auto" w:before="0"/>
        <w:ind w:left="1133" w:right="1131" w:firstLine="420"/>
        <w:jc w:val="both"/>
        <w:rPr>
          <w:rFonts w:ascii="宋体" w:hAnsi="宋体" w:cs="宋体" w:eastAsia="宋体" w:hint="default"/>
          <w:sz w:val="21"/>
          <w:szCs w:val="21"/>
        </w:rPr>
      </w:pPr>
      <w:r>
        <w:rPr>
          <w:rFonts w:ascii="宋体" w:hAnsi="宋体" w:cs="宋体" w:eastAsia="宋体" w:hint="default"/>
          <w:spacing w:val="-2"/>
          <w:sz w:val="21"/>
          <w:szCs w:val="21"/>
        </w:rPr>
        <w:t>根据信永中和会计师事务所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特殊普通合伙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于</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日出具的《发行股份购买资产事宜盈利预测</w:t>
      </w:r>
      <w:r>
        <w:rPr>
          <w:rFonts w:ascii="宋体" w:hAnsi="宋体" w:cs="宋体" w:eastAsia="宋体" w:hint="default"/>
          <w:sz w:val="21"/>
          <w:szCs w:val="21"/>
        </w:rPr>
        <w:t> 实现情况鉴证报告》（</w:t>
      </w:r>
      <w:r>
        <w:rPr>
          <w:rFonts w:ascii="Times New Roman" w:hAnsi="Times New Roman" w:cs="Times New Roman" w:eastAsia="Times New Roman" w:hint="default"/>
          <w:sz w:val="21"/>
          <w:szCs w:val="21"/>
        </w:rPr>
        <w:t>XYZH/2016CDA40074</w:t>
      </w:r>
      <w:r>
        <w:rPr>
          <w:rFonts w:ascii="宋体" w:hAnsi="宋体" w:cs="宋体" w:eastAsia="宋体" w:hint="default"/>
          <w:sz w:val="21"/>
          <w:szCs w:val="21"/>
        </w:rPr>
        <w:t>），江苏亿金</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年和</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年实现扣除非经常损益后归属于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母公司所有者的净利润之和为</w:t>
      </w:r>
      <w:r>
        <w:rPr>
          <w:rFonts w:ascii="Times New Roman" w:hAnsi="Times New Roman" w:cs="Times New Roman" w:eastAsia="Times New Roman" w:hint="default"/>
          <w:sz w:val="21"/>
          <w:szCs w:val="21"/>
        </w:rPr>
        <w:t>6,644.01</w:t>
      </w:r>
      <w:r>
        <w:rPr>
          <w:rFonts w:ascii="宋体" w:hAnsi="宋体" w:cs="宋体" w:eastAsia="宋体" w:hint="default"/>
          <w:sz w:val="21"/>
          <w:szCs w:val="21"/>
        </w:rPr>
        <w:t>万元，实际实现金额超过承诺金额，宋正兴、叶春娥、宋丽娜、立</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业投资无需对本公司进行补偿。</w:t>
      </w:r>
    </w:p>
    <w:p>
      <w:pPr>
        <w:spacing w:line="240" w:lineRule="auto" w:before="1"/>
        <w:rPr>
          <w:rFonts w:ascii="宋体" w:hAnsi="宋体" w:cs="宋体" w:eastAsia="宋体" w:hint="default"/>
          <w:sz w:val="20"/>
          <w:szCs w:val="20"/>
        </w:rPr>
      </w:pPr>
    </w:p>
    <w:p>
      <w:pPr>
        <w:spacing w:line="261" w:lineRule="auto" w:before="0"/>
        <w:ind w:left="1133" w:right="104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）关于西安华西收购事项的业绩承诺事项情况说明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日公司与西安华西信息智能工程有 </w:t>
      </w:r>
      <w:r>
        <w:rPr>
          <w:rFonts w:ascii="宋体" w:hAnsi="宋体" w:cs="宋体" w:eastAsia="宋体" w:hint="default"/>
          <w:spacing w:val="-3"/>
          <w:sz w:val="21"/>
          <w:szCs w:val="21"/>
        </w:rPr>
        <w:t>限公司、深圳市西秦商贸有限公司签署的《股权转让协议》中有关</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三、业绩承诺与补偿 </w:t>
      </w:r>
      <w:r>
        <w:rPr>
          <w:rFonts w:ascii="Times New Roman" w:hAnsi="Times New Roman" w:cs="Times New Roman" w:eastAsia="Times New Roman" w:hint="default"/>
          <w:sz w:val="21"/>
          <w:szCs w:val="21"/>
        </w:rPr>
        <w:t>”</w:t>
      </w:r>
      <w:r>
        <w:rPr>
          <w:rFonts w:ascii="宋体" w:hAnsi="宋体" w:cs="宋体" w:eastAsia="宋体" w:hint="default"/>
          <w:sz w:val="21"/>
          <w:szCs w:val="21"/>
        </w:rPr>
        <w:t>条款约定西安华</w:t>
      </w:r>
      <w:r>
        <w:rPr>
          <w:rFonts w:ascii="宋体" w:hAnsi="宋体" w:cs="宋体" w:eastAsia="宋体" w:hint="default"/>
          <w:spacing w:val="-91"/>
          <w:sz w:val="21"/>
          <w:szCs w:val="21"/>
        </w:rPr>
        <w:t> </w:t>
      </w:r>
      <w:r>
        <w:rPr>
          <w:rFonts w:ascii="宋体" w:hAnsi="宋体" w:cs="宋体" w:eastAsia="宋体" w:hint="default"/>
          <w:sz w:val="21"/>
          <w:szCs w:val="21"/>
        </w:rPr>
        <w:t>西</w:t>
      </w:r>
      <w:r>
        <w:rPr>
          <w:rFonts w:ascii="Times New Roman" w:hAnsi="Times New Roman" w:cs="Times New Roman" w:eastAsia="Times New Roman" w:hint="default"/>
          <w:sz w:val="21"/>
          <w:szCs w:val="21"/>
        </w:rPr>
        <w:t>2014</w:t>
      </w:r>
      <w:r>
        <w:rPr>
          <w:rFonts w:ascii="宋体" w:hAnsi="宋体" w:cs="宋体" w:eastAsia="宋体" w:hint="default"/>
          <w:sz w:val="21"/>
          <w:szCs w:val="21"/>
        </w:rPr>
        <w:t>年经审计的净利润不低于</w:t>
      </w:r>
      <w:r>
        <w:rPr>
          <w:rFonts w:ascii="Times New Roman" w:hAnsi="Times New Roman" w:cs="Times New Roman" w:eastAsia="Times New Roman" w:hint="default"/>
          <w:sz w:val="21"/>
          <w:szCs w:val="21"/>
        </w:rPr>
        <w:t>1,728</w:t>
      </w:r>
      <w:r>
        <w:rPr>
          <w:rFonts w:ascii="宋体" w:hAnsi="宋体" w:cs="宋体" w:eastAsia="宋体" w:hint="default"/>
          <w:sz w:val="21"/>
          <w:szCs w:val="21"/>
        </w:rPr>
        <w:t>万元净利润指税后净利润（以扣除非经常性损益前后较低值为准）， </w:t>
      </w:r>
      <w:r>
        <w:rPr>
          <w:rFonts w:ascii="宋体" w:hAnsi="宋体" w:cs="宋体" w:eastAsia="宋体" w:hint="default"/>
          <w:spacing w:val="-3"/>
          <w:sz w:val="21"/>
          <w:szCs w:val="21"/>
        </w:rPr>
        <w:t>经信永中和会计师事务所（特殊普通合伙）于</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22</w:t>
      </w:r>
      <w:r>
        <w:rPr>
          <w:rFonts w:ascii="宋体" w:hAnsi="宋体" w:cs="宋体" w:eastAsia="宋体" w:hint="default"/>
          <w:spacing w:val="-3"/>
          <w:sz w:val="21"/>
          <w:szCs w:val="21"/>
        </w:rPr>
        <w:t>日出具的《</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年度审计报告》，西安华西</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年度实现净利润</w:t>
      </w:r>
      <w:r>
        <w:rPr>
          <w:rFonts w:ascii="Times New Roman" w:hAnsi="Times New Roman" w:cs="Times New Roman" w:eastAsia="Times New Roman" w:hint="default"/>
          <w:sz w:val="21"/>
          <w:szCs w:val="21"/>
        </w:rPr>
        <w:t>17,393,614.00</w:t>
      </w:r>
      <w:r>
        <w:rPr>
          <w:rFonts w:ascii="宋体" w:hAnsi="宋体" w:cs="宋体" w:eastAsia="宋体" w:hint="default"/>
          <w:sz w:val="21"/>
          <w:szCs w:val="21"/>
        </w:rPr>
        <w:t>元，扣除非经常性损益后的净利润为</w:t>
      </w:r>
      <w:r>
        <w:rPr>
          <w:rFonts w:ascii="Times New Roman" w:hAnsi="Times New Roman" w:cs="Times New Roman" w:eastAsia="Times New Roman" w:hint="default"/>
          <w:sz w:val="21"/>
          <w:szCs w:val="21"/>
        </w:rPr>
        <w:t>16,831,338.66</w:t>
      </w:r>
      <w:r>
        <w:rPr>
          <w:rFonts w:ascii="宋体" w:hAnsi="宋体" w:cs="宋体" w:eastAsia="宋体" w:hint="default"/>
          <w:sz w:val="21"/>
          <w:szCs w:val="21"/>
        </w:rPr>
        <w:t>元。比</w:t>
      </w:r>
      <w:r>
        <w:rPr>
          <w:rFonts w:ascii="Times New Roman" w:hAnsi="Times New Roman" w:cs="Times New Roman" w:eastAsia="Times New Roman" w:hint="default"/>
          <w:sz w:val="21"/>
          <w:szCs w:val="21"/>
        </w:rPr>
        <w:t>2014</w:t>
      </w:r>
      <w:r>
        <w:rPr>
          <w:rFonts w:ascii="宋体" w:hAnsi="宋体" w:cs="宋体" w:eastAsia="宋体" w:hint="default"/>
          <w:sz w:val="21"/>
          <w:szCs w:val="21"/>
        </w:rPr>
        <w:t>年的业绩承诺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值低</w:t>
      </w:r>
      <w:r>
        <w:rPr>
          <w:rFonts w:ascii="Times New Roman" w:hAnsi="Times New Roman" w:cs="Times New Roman" w:eastAsia="Times New Roman" w:hint="default"/>
          <w:sz w:val="21"/>
          <w:szCs w:val="21"/>
        </w:rPr>
        <w:t>448,64161.934</w:t>
      </w:r>
      <w:r>
        <w:rPr>
          <w:rFonts w:ascii="宋体" w:hAnsi="宋体" w:cs="宋体" w:eastAsia="宋体" w:hint="default"/>
          <w:sz w:val="21"/>
          <w:szCs w:val="21"/>
        </w:rPr>
        <w:t>元，未达到</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年度承诺业绩。根据协议约定的补偿相关条款</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若未实现</w:t>
      </w:r>
      <w:r>
        <w:rPr>
          <w:rFonts w:ascii="Times New Roman" w:hAnsi="Times New Roman" w:cs="Times New Roman" w:eastAsia="Times New Roman" w:hint="default"/>
          <w:sz w:val="21"/>
          <w:szCs w:val="21"/>
        </w:rPr>
        <w:t>2014</w:t>
      </w:r>
      <w:r>
        <w:rPr>
          <w:rFonts w:ascii="宋体" w:hAnsi="宋体" w:cs="宋体" w:eastAsia="宋体" w:hint="default"/>
          <w:sz w:val="21"/>
          <w:szCs w:val="21"/>
        </w:rPr>
        <w:t>年业绩承</w:t>
      </w:r>
      <w:r>
        <w:rPr>
          <w:rFonts w:ascii="宋体" w:hAnsi="宋体" w:cs="宋体" w:eastAsia="宋体" w:hint="default"/>
          <w:spacing w:val="-103"/>
          <w:sz w:val="21"/>
          <w:szCs w:val="21"/>
        </w:rPr>
        <w:t> </w:t>
      </w:r>
      <w:r>
        <w:rPr>
          <w:rFonts w:ascii="宋体" w:hAnsi="宋体" w:cs="宋体" w:eastAsia="宋体" w:hint="default"/>
          <w:sz w:val="21"/>
          <w:szCs w:val="21"/>
        </w:rPr>
        <w:t>诺，标的公司实际控制人高峰夫妇则需向股权收购方支付差额（承诺净利润与当年实际净利润之间的差） 部分的等额现金作为补偿；补偿款应由高峰夫妇自审计机构对标的公司年度财务报表出具正式的《审计报</w:t>
      </w:r>
      <w:r>
        <w:rPr>
          <w:rFonts w:ascii="宋体" w:hAnsi="宋体" w:cs="宋体" w:eastAsia="宋体" w:hint="default"/>
          <w:sz w:val="21"/>
          <w:szCs w:val="21"/>
        </w:rPr>
        <w:t> 告》之日起</w:t>
      </w:r>
      <w:r>
        <w:rPr>
          <w:rFonts w:ascii="Times New Roman" w:hAnsi="Times New Roman" w:cs="Times New Roman" w:eastAsia="Times New Roman" w:hint="default"/>
          <w:sz w:val="21"/>
          <w:szCs w:val="21"/>
        </w:rPr>
        <w:t>15 </w:t>
      </w:r>
      <w:r>
        <w:rPr>
          <w:rFonts w:ascii="宋体" w:hAnsi="宋体" w:cs="宋体" w:eastAsia="宋体" w:hint="default"/>
          <w:sz w:val="21"/>
          <w:szCs w:val="21"/>
        </w:rPr>
        <w:t>日内一次性支付给股权收购方；逾期未支付的，高峰夫妇应将其持有的标的公司股权按净</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资产的价格转让等额补偿款对应的股权给股权收购方，股权收购方也可直接从质押股权中行使补偿款对应</w:t>
      </w:r>
    </w:p>
    <w:p>
      <w:pPr>
        <w:spacing w:after="0" w:line="261"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4" w:right="0" w:firstLine="0"/>
        <w:jc w:val="left"/>
        <w:rPr>
          <w:rFonts w:ascii="宋体" w:hAnsi="宋体" w:cs="宋体" w:eastAsia="宋体" w:hint="default"/>
          <w:sz w:val="21"/>
          <w:szCs w:val="21"/>
        </w:rPr>
      </w:pPr>
      <w:r>
        <w:rPr>
          <w:rFonts w:ascii="宋体" w:hAnsi="宋体" w:cs="宋体" w:eastAsia="宋体" w:hint="default"/>
          <w:sz w:val="21"/>
          <w:szCs w:val="21"/>
        </w:rPr>
        <w:t>股权的质权</w:t>
      </w:r>
      <w:r>
        <w:rPr>
          <w:rFonts w:ascii="Times New Roman" w:hAnsi="Times New Roman" w:cs="Times New Roman" w:eastAsia="Times New Roman" w:hint="default"/>
          <w:sz w:val="21"/>
          <w:szCs w:val="21"/>
        </w:rPr>
        <w:t>”</w:t>
      </w:r>
      <w:r>
        <w:rPr>
          <w:rFonts w:ascii="宋体" w:hAnsi="宋体" w:cs="宋体" w:eastAsia="宋体" w:hint="default"/>
          <w:sz w:val="21"/>
          <w:szCs w:val="21"/>
        </w:rPr>
        <w:t>，业绩承诺方高峰、郭倩夫妻已于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日向本公司支付</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年度业绩承诺差额款</w:t>
      </w:r>
      <w:r>
        <w:rPr>
          <w:rFonts w:ascii="Times New Roman" w:hAnsi="Times New Roman" w:cs="Times New Roman" w:eastAsia="Times New Roman" w:hint="default"/>
          <w:sz w:val="21"/>
          <w:szCs w:val="21"/>
        </w:rPr>
        <w:t>448</w:t>
      </w:r>
      <w:r>
        <w:rPr>
          <w:rFonts w:ascii="宋体" w:hAnsi="宋体" w:cs="宋体" w:eastAsia="宋体" w:hint="default"/>
          <w:sz w:val="21"/>
          <w:szCs w:val="21"/>
        </w:rPr>
        <w:t>，</w:t>
      </w:r>
    </w:p>
    <w:p>
      <w:pPr>
        <w:spacing w:before="21"/>
        <w:ind w:left="1134" w:right="10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641.94</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pStyle w:val="Heading3"/>
        <w:spacing w:line="240" w:lineRule="auto"/>
        <w:ind w:right="1033"/>
        <w:jc w:val="left"/>
        <w:rPr>
          <w:b w:val="0"/>
          <w:bCs w:val="0"/>
        </w:rPr>
      </w:pPr>
      <w:bookmarkStart w:name="十七、母公司财务报表主要项目注释" w:id="501"/>
      <w:bookmarkEnd w:id="501"/>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应收账款" w:id="502"/>
      <w:bookmarkEnd w:id="50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应收账款分类披露" w:id="503"/>
      <w:bookmarkEnd w:id="5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121,272,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403.22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18,736,5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102,535,8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10.73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133,600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,052.94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19,648,11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113,951,93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4.17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121,272,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403.22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18,736,5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15.45%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102,535,8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10.73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133,600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,052.94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19,648,11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113,951,93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4.17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54,636,923.49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2,731,846.17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30,925,836.41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3,092,583.64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23,818,936.49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7,145,680.95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3,353,533.33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1,676,766.67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2,798,766.96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1,399,383.48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2,690,331.58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2,690,331.58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118,224,328.26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18,736,592.49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6"/>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spacing w:before="44"/>
        <w:ind w:left="1134" w:right="1033"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组合中，采用其他方法计提坏账准备的应收账款：</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2）本期计提、收回或转回的坏账准备情况" w:id="504"/>
      <w:bookmarkEnd w:id="5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911,526.28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6888" w:space="1941"/>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本期实际核销的应收账款情况" w:id="505"/>
      <w:bookmarkEnd w:id="5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610" w:lineRule="atLeast" w:before="31"/>
        <w:ind w:left="1554" w:right="1033" w:hanging="420"/>
        <w:jc w:val="left"/>
        <w:rPr>
          <w:rFonts w:ascii="宋体" w:hAnsi="宋体" w:cs="宋体" w:eastAsia="宋体" w:hint="default"/>
          <w:sz w:val="21"/>
          <w:szCs w:val="21"/>
        </w:rPr>
      </w:pPr>
      <w:bookmarkStart w:name="（4）按欠款方归集的期末余额前五名的应收账款情况" w:id="506"/>
      <w:bookmarkEnd w:id="5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本年按欠款方归集的年末余额前五名应收账款汇总金额</w:t>
      </w:r>
      <w:r>
        <w:rPr>
          <w:rFonts w:ascii="Times New Roman" w:hAnsi="Times New Roman" w:cs="Times New Roman" w:eastAsia="Times New Roman" w:hint="default"/>
          <w:sz w:val="21"/>
          <w:szCs w:val="21"/>
        </w:rPr>
        <w:t>39,377,841.49</w:t>
      </w:r>
      <w:r>
        <w:rPr>
          <w:rFonts w:ascii="宋体" w:hAnsi="宋体" w:cs="宋体" w:eastAsia="宋体" w:hint="default"/>
          <w:sz w:val="21"/>
          <w:szCs w:val="21"/>
        </w:rPr>
        <w:t>元，占应收账款年末余额合计数</w:t>
      </w:r>
    </w:p>
    <w:p>
      <w:pPr>
        <w:spacing w:before="21"/>
        <w:ind w:left="1133" w:right="1033" w:firstLine="0"/>
        <w:jc w:val="left"/>
        <w:rPr>
          <w:rFonts w:ascii="宋体" w:hAnsi="宋体" w:cs="宋体" w:eastAsia="宋体"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32.47%</w:t>
      </w:r>
      <w:r>
        <w:rPr>
          <w:rFonts w:ascii="宋体" w:hAnsi="宋体" w:cs="宋体" w:eastAsia="宋体" w:hint="default"/>
          <w:sz w:val="21"/>
          <w:szCs w:val="21"/>
        </w:rPr>
        <w:t>，相应计提的坏账准备年末余额汇总金额</w:t>
      </w:r>
      <w:r>
        <w:rPr>
          <w:rFonts w:ascii="Times New Roman" w:hAnsi="Times New Roman" w:cs="Times New Roman" w:eastAsia="Times New Roman" w:hint="default"/>
          <w:sz w:val="21"/>
          <w:szCs w:val="21"/>
        </w:rPr>
        <w:t>6,492,494.25</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5）因金融资产转移而终止确认的应收账款" w:id="507"/>
      <w:bookmarkEnd w:id="5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6）转移应收账款且继续涉入形成的资产、负债金额" w:id="508"/>
      <w:bookmarkEnd w:id="5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2、其他应收款" w:id="509"/>
      <w:bookmarkEnd w:id="5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其他应收款分类披露" w:id="510"/>
      <w:bookmarkEnd w:id="5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46"/>
        <w:gridCol w:w="752"/>
        <w:gridCol w:w="762"/>
        <w:gridCol w:w="774"/>
        <w:gridCol w:w="739"/>
        <w:gridCol w:w="800"/>
        <w:gridCol w:w="655"/>
        <w:gridCol w:w="762"/>
        <w:gridCol w:w="813"/>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7,586,65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603,821.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7.96%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6,982,828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47,552,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783,221.1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1.65%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46,769,060.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0.06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Times New Roman" w:hAnsi="Times New Roman" w:cs="Times New Roman" w:eastAsia="Times New Roman" w:hint="default"/>
                <w:sz w:val="18"/>
                <w:szCs w:val="18"/>
              </w:rPr>
            </w:pPr>
            <w:r>
              <w:rPr>
                <w:rFonts w:ascii="Times New Roman"/>
                <w:sz w:val="18"/>
              </w:rPr>
              <w:t>281.82</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7,586,65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603,821.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6,982,828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47,552,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281.82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783,221.1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46,769,060.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1,709,267.41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85,463.37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295,170.72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29,517.07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43,710.00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12,323.46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862,415.00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431,207.50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3,038,800.05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603,821.40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2）本期计提、收回或转回的坏账准备情况" w:id="511"/>
      <w:bookmarkEnd w:id="5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spacing w:line="338" w:lineRule="auto" w:before="44"/>
        <w:ind w:left="1133"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179,399.71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6895" w:space="193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3）本期实际核销的其他应收款情况" w:id="512"/>
      <w:bookmarkEnd w:id="5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spacing w:before="0"/>
        <w:ind w:left="1134" w:right="1033" w:firstLine="0"/>
        <w:jc w:val="left"/>
        <w:rPr>
          <w:rFonts w:ascii="宋体" w:hAnsi="宋体" w:cs="宋体" w:eastAsia="宋体" w:hint="default"/>
          <w:sz w:val="21"/>
          <w:szCs w:val="21"/>
        </w:rPr>
      </w:pPr>
      <w:bookmarkStart w:name="（4）其他应收款按款项性质分类情况" w:id="513"/>
      <w:bookmarkEnd w:id="5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2,261,689.21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2,426,110.26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735,922.97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1,329,647.77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4,547,850.01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43,103,938.32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564,690.47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41,187.87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58,695.00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7,586,650.06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47,552,281.82</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5）按欠款方归集的期末余额前五名的其他应收款情况" w:id="514"/>
      <w:bookmarkEnd w:id="5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2"/>
        <w:gridCol w:w="1615"/>
        <w:gridCol w:w="1615"/>
      </w:tblGrid>
      <w:tr>
        <w:trPr>
          <w:trHeight w:val="710"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9"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29"/>
              <w:jc w:val="left"/>
              <w:rPr>
                <w:rFonts w:ascii="宋体" w:hAnsi="宋体" w:cs="宋体" w:eastAsia="宋体" w:hint="default"/>
                <w:sz w:val="18"/>
                <w:szCs w:val="18"/>
              </w:rPr>
            </w:pPr>
            <w:r>
              <w:rPr>
                <w:rFonts w:ascii="宋体" w:hAnsi="宋体" w:cs="宋体" w:eastAsia="宋体" w:hint="default"/>
                <w:sz w:val="18"/>
                <w:szCs w:val="18"/>
              </w:rPr>
              <w:t>深圳市龙控智能技术 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3,779,781.53</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四川桑瑞思环境技术 工程有限公司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768,068.48</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上海鑫意达企业发展 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国富瑞数据系统有限 公司</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290,500.00</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145,250.00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中国邮电器材东北公 司</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200,500.00</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10,025.00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5,438,850.01</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355,275.00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6）涉及政府补助的应收款项" w:id="515"/>
      <w:bookmarkEnd w:id="5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1033" w:firstLine="0"/>
        <w:jc w:val="left"/>
        <w:rPr>
          <w:rFonts w:ascii="宋体" w:hAnsi="宋体" w:cs="宋体" w:eastAsia="宋体" w:hint="default"/>
          <w:sz w:val="21"/>
          <w:szCs w:val="21"/>
        </w:rPr>
      </w:pPr>
      <w:bookmarkStart w:name="（7）因金融资产转移而终止确认的其他应收款" w:id="516"/>
      <w:bookmarkEnd w:id="5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8）转移其他应收款且继续涉入形成的资产、负债金额" w:id="517"/>
      <w:bookmarkEnd w:id="5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3、长期股权投资" w:id="518"/>
      <w:bookmarkEnd w:id="51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356,776,181.45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356,776,181.45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286,512,615.43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286,512,615.43</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14,346,199.42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14,346,199.42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11,596,057.64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11,596,057.64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371,122,380.87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371,122,380.87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298,108,673.07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298,108,673.07</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1）对子公司投资" w:id="519"/>
      <w:bookmarkEnd w:id="5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both"/>
              <w:rPr>
                <w:rFonts w:ascii="宋体" w:hAnsi="宋体" w:cs="宋体" w:eastAsia="宋体" w:hint="default"/>
                <w:sz w:val="18"/>
                <w:szCs w:val="18"/>
              </w:rPr>
            </w:pPr>
            <w:r>
              <w:rPr>
                <w:rFonts w:ascii="宋体" w:hAnsi="宋体" w:cs="宋体" w:eastAsia="宋体" w:hint="default"/>
                <w:sz w:val="18"/>
                <w:szCs w:val="18"/>
              </w:rPr>
              <w:t>四川桑瑞思环境 技术工程有限公 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60,934,425.18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60,934,425.18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四川依米康软件 有限责任公司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深圳市龙控智能 技术有限公司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西安华西信息智 能工程有限公司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46,722,100.00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10,418,200.00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57,140,300.00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江苏亿金环保科 技有限公司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144,196,090.25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59,845,366.02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204,041,456.27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286,512,615.43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70,263,566.02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356,776,181.45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对联营、合营企业投资" w:id="520"/>
      <w:bookmarkEnd w:id="5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上海虹港 数据信息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11,596,05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-3,130,12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5,880,271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14,346,19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11,596,05</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7.64</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-3,130,12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5,880,271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14,346,19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9.42</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11,596,05</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7.64</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-3,130,12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5,880,271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14,346,19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9.42</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both"/>
        <w:rPr>
          <w:rFonts w:ascii="宋体" w:hAnsi="宋体" w:cs="宋体" w:eastAsia="宋体" w:hint="default"/>
          <w:sz w:val="21"/>
          <w:szCs w:val="21"/>
        </w:rPr>
      </w:pPr>
      <w:bookmarkStart w:name="（3）其他说明" w:id="521"/>
      <w:bookmarkEnd w:id="5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6"/>
        <w:rPr>
          <w:rFonts w:ascii="宋体" w:hAnsi="宋体" w:cs="宋体" w:eastAsia="宋体" w:hint="default"/>
          <w:b/>
          <w:bCs/>
          <w:sz w:val="31"/>
          <w:szCs w:val="31"/>
        </w:rPr>
      </w:pPr>
    </w:p>
    <w:p>
      <w:pPr>
        <w:spacing w:before="0"/>
        <w:ind w:left="1554" w:right="1033" w:firstLine="0"/>
        <w:jc w:val="left"/>
        <w:rPr>
          <w:rFonts w:ascii="宋体" w:hAnsi="宋体" w:cs="宋体" w:eastAsia="宋体" w:hint="default"/>
          <w:sz w:val="21"/>
          <w:szCs w:val="21"/>
        </w:rPr>
      </w:pPr>
      <w:bookmarkStart w:name="1、2015年10月20日，根据西安华西公司股东会决议，同意原股东和新股东上海乐" w:id="522"/>
      <w:bookmarkEnd w:id="522"/>
      <w:r>
        <w:rPr/>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日，根据西安华西公司股东会决议，同意原股东和新股东上海乐长长投资有限公</w:t>
      </w:r>
    </w:p>
    <w:p>
      <w:pPr>
        <w:spacing w:before="177"/>
        <w:ind w:left="1133" w:right="0" w:firstLine="0"/>
        <w:jc w:val="both"/>
        <w:rPr>
          <w:rFonts w:ascii="宋体" w:hAnsi="宋体" w:cs="宋体" w:eastAsia="宋体" w:hint="default"/>
          <w:sz w:val="21"/>
          <w:szCs w:val="21"/>
        </w:rPr>
      </w:pPr>
      <w:r>
        <w:rPr>
          <w:rFonts w:ascii="宋体" w:hAnsi="宋体" w:cs="宋体" w:eastAsia="宋体" w:hint="default"/>
          <w:sz w:val="21"/>
          <w:szCs w:val="21"/>
        </w:rPr>
        <w:t>司（西安华西核心员工持股的公司，以下简称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长乐乐</w:t>
      </w:r>
      <w:r>
        <w:rPr>
          <w:rFonts w:ascii="Times New Roman" w:hAnsi="Times New Roman" w:cs="Times New Roman" w:eastAsia="Times New Roman" w:hint="default"/>
          <w:sz w:val="21"/>
          <w:szCs w:val="21"/>
        </w:rPr>
        <w:t>”</w:t>
      </w:r>
      <w:r>
        <w:rPr>
          <w:rFonts w:ascii="宋体" w:hAnsi="宋体" w:cs="宋体" w:eastAsia="宋体" w:hint="default"/>
          <w:sz w:val="21"/>
          <w:szCs w:val="21"/>
        </w:rPr>
        <w:t>）出资对其进行增资，注册资本由 </w:t>
      </w:r>
      <w:r>
        <w:rPr>
          <w:rFonts w:ascii="Times New Roman" w:hAnsi="Times New Roman" w:cs="Times New Roman" w:eastAsia="Times New Roman" w:hint="default"/>
          <w:sz w:val="21"/>
          <w:szCs w:val="21"/>
        </w:rPr>
        <w:t>3,010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万元增至</w:t>
      </w:r>
    </w:p>
    <w:p>
      <w:pPr>
        <w:spacing w:before="177"/>
        <w:ind w:left="1134"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5,050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万元；出资情况如下：本公司出资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1,041.82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万元、高峰出资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582.5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万元、郭倩出资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万元、汇金天</w:t>
      </w:r>
    </w:p>
    <w:p>
      <w:pPr>
        <w:spacing w:before="177"/>
        <w:ind w:left="1133" w:right="0" w:firstLine="0"/>
        <w:jc w:val="both"/>
        <w:rPr>
          <w:rFonts w:ascii="宋体" w:hAnsi="宋体" w:cs="宋体" w:eastAsia="宋体" w:hint="default"/>
          <w:sz w:val="21"/>
          <w:szCs w:val="21"/>
        </w:rPr>
      </w:pPr>
      <w:r>
        <w:rPr>
          <w:rFonts w:ascii="宋体" w:hAnsi="宋体" w:cs="宋体" w:eastAsia="宋体" w:hint="default"/>
          <w:sz w:val="21"/>
          <w:szCs w:val="21"/>
        </w:rPr>
        <w:t>源出资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万元、长乐乐出资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240.68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万元。西安华西公司于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日收到该笔增资款。本次增</w:t>
      </w:r>
    </w:p>
    <w:p>
      <w:pPr>
        <w:spacing w:before="178"/>
        <w:ind w:left="1133" w:right="0" w:firstLine="0"/>
        <w:jc w:val="both"/>
        <w:rPr>
          <w:rFonts w:ascii="宋体" w:hAnsi="宋体" w:cs="宋体" w:eastAsia="宋体" w:hint="default"/>
          <w:sz w:val="21"/>
          <w:szCs w:val="21"/>
        </w:rPr>
      </w:pPr>
      <w:r>
        <w:rPr>
          <w:rFonts w:ascii="宋体" w:hAnsi="宋体" w:cs="宋体" w:eastAsia="宋体" w:hint="default"/>
          <w:sz w:val="21"/>
          <w:szCs w:val="21"/>
        </w:rPr>
        <w:t>资事项于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月完成工商变更登记手续。</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5"/>
          <w:szCs w:val="15"/>
        </w:rPr>
      </w:pPr>
    </w:p>
    <w:p>
      <w:pPr>
        <w:spacing w:before="0"/>
        <w:ind w:left="1553" w:right="1033" w:firstLine="0"/>
        <w:jc w:val="left"/>
        <w:rPr>
          <w:rFonts w:ascii="宋体" w:hAnsi="宋体" w:cs="宋体" w:eastAsia="宋体" w:hint="default"/>
          <w:sz w:val="21"/>
          <w:szCs w:val="21"/>
        </w:rPr>
      </w:pPr>
      <w:bookmarkStart w:name="2、2014年12月31日，根据江苏亿金公司股东会决议，同意本公司单方面以货币出" w:id="523"/>
      <w:bookmarkEnd w:id="523"/>
      <w:r>
        <w:rPr/>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日，根据江苏亿金公司股东会决议，同意本公司单方面以货币出资方式向本公司</w:t>
      </w:r>
    </w:p>
    <w:p>
      <w:pPr>
        <w:spacing w:before="177"/>
        <w:ind w:left="1133" w:right="0" w:firstLine="0"/>
        <w:jc w:val="both"/>
        <w:rPr>
          <w:rFonts w:ascii="宋体" w:hAnsi="宋体" w:cs="宋体" w:eastAsia="宋体" w:hint="default"/>
          <w:sz w:val="21"/>
          <w:szCs w:val="21"/>
        </w:rPr>
      </w:pPr>
      <w:r>
        <w:rPr>
          <w:rFonts w:ascii="宋体" w:hAnsi="宋体" w:cs="宋体" w:eastAsia="宋体" w:hint="default"/>
          <w:sz w:val="21"/>
          <w:szCs w:val="21"/>
        </w:rPr>
        <w:t>增资，增资金额为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41,510,366.02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元，其中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9,140,000.00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元作为注册资本，</w:t>
      </w:r>
      <w:r>
        <w:rPr>
          <w:rFonts w:ascii="Times New Roman" w:hAnsi="Times New Roman" w:cs="Times New Roman" w:eastAsia="Times New Roman" w:hint="default"/>
          <w:sz w:val="21"/>
          <w:szCs w:val="21"/>
        </w:rPr>
        <w:t>32,370,366.02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元作为资本公积。</w:t>
      </w:r>
    </w:p>
    <w:p>
      <w:pPr>
        <w:spacing w:line="386" w:lineRule="auto" w:before="177"/>
        <w:ind w:left="1133" w:right="1130" w:firstLine="0"/>
        <w:jc w:val="both"/>
        <w:rPr>
          <w:rFonts w:ascii="宋体" w:hAnsi="宋体" w:cs="宋体" w:eastAsia="宋体" w:hint="default"/>
          <w:sz w:val="21"/>
          <w:szCs w:val="21"/>
        </w:rPr>
      </w:pPr>
      <w:r>
        <w:rPr>
          <w:rFonts w:ascii="宋体" w:hAnsi="宋体" w:cs="宋体" w:eastAsia="宋体" w:hint="default"/>
          <w:sz w:val="21"/>
          <w:szCs w:val="21"/>
        </w:rPr>
        <w:t>江苏亿金公司于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日收到本公司增资款</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41,510,366.02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元。本次增资由天衡会计师事务所（特 殊普通合伙）江阴分所验资，并出具的天衡澄验字（</w:t>
      </w:r>
      <w:r>
        <w:rPr>
          <w:rFonts w:ascii="Times New Roman" w:hAnsi="Times New Roman" w:cs="Times New Roman" w:eastAsia="Times New Roman" w:hint="default"/>
          <w:sz w:val="21"/>
          <w:szCs w:val="21"/>
        </w:rPr>
        <w:t>2015</w:t>
      </w:r>
      <w:r>
        <w:rPr>
          <w:rFonts w:ascii="宋体" w:hAnsi="宋体" w:cs="宋体" w:eastAsia="宋体" w:hint="default"/>
          <w:sz w:val="21"/>
          <w:szCs w:val="21"/>
        </w:rPr>
        <w:t>）</w:t>
      </w:r>
      <w:r>
        <w:rPr>
          <w:rFonts w:ascii="Times New Roman" w:hAnsi="Times New Roman" w:cs="Times New Roman" w:eastAsia="Times New Roman" w:hint="default"/>
          <w:sz w:val="21"/>
          <w:szCs w:val="21"/>
        </w:rPr>
        <w:t>002 </w:t>
      </w:r>
      <w:r>
        <w:rPr>
          <w:rFonts w:ascii="宋体" w:hAnsi="宋体" w:cs="宋体" w:eastAsia="宋体" w:hint="default"/>
          <w:spacing w:val="-8"/>
          <w:sz w:val="21"/>
          <w:szCs w:val="21"/>
        </w:rPr>
        <w:t>号《验资报告》。本次增资事项于</w:t>
      </w:r>
      <w:r>
        <w:rPr>
          <w:rFonts w:ascii="宋体" w:hAnsi="宋体" w:cs="宋体" w:eastAsia="宋体" w:hint="default"/>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日在无锡市江阴工商行政管理局完成工商备案。</w:t>
      </w:r>
    </w:p>
    <w:p>
      <w:pPr>
        <w:spacing w:line="287" w:lineRule="exact" w:before="0"/>
        <w:ind w:left="1553" w:right="1033" w:firstLine="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日，根据江苏亿金公司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年第一次临时股东会决议，同意公司股东以货币出资方</w:t>
      </w:r>
    </w:p>
    <w:p>
      <w:pPr>
        <w:spacing w:line="264" w:lineRule="auto" w:before="21"/>
        <w:ind w:left="1133" w:right="1131" w:firstLine="0"/>
        <w:jc w:val="both"/>
        <w:rPr>
          <w:rFonts w:ascii="宋体" w:hAnsi="宋体" w:cs="宋体" w:eastAsia="宋体" w:hint="default"/>
          <w:sz w:val="21"/>
          <w:szCs w:val="21"/>
        </w:rPr>
      </w:pPr>
      <w:r>
        <w:rPr>
          <w:rFonts w:ascii="宋体" w:hAnsi="宋体" w:cs="宋体" w:eastAsia="宋体" w:hint="default"/>
          <w:sz w:val="21"/>
          <w:szCs w:val="21"/>
        </w:rPr>
        <w:t>式对本公司进行增资，将公司现有注册资本</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6,904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万元增加至</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万元。股东张家港市嘉明商贸有限公 </w:t>
      </w:r>
      <w:r>
        <w:rPr>
          <w:rFonts w:ascii="宋体" w:hAnsi="宋体" w:cs="宋体" w:eastAsia="宋体" w:hint="default"/>
          <w:spacing w:val="-1"/>
          <w:sz w:val="21"/>
          <w:szCs w:val="21"/>
        </w:rPr>
        <w:t>司、上海同航投资管理有限公司自愿放弃本次增资，两个股东自愿放弃增资的部分由公司股东宋正兴全部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认购。截至</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日止，江苏亿金公司收到全体股东缴纳的新增注册资本（实收资本）合计人民</w:t>
      </w:r>
    </w:p>
    <w:p>
      <w:pPr>
        <w:spacing w:line="289" w:lineRule="exact" w:before="0"/>
        <w:ind w:left="1133" w:right="0" w:firstLine="0"/>
        <w:jc w:val="both"/>
        <w:rPr>
          <w:rFonts w:ascii="宋体" w:hAnsi="宋体" w:cs="宋体" w:eastAsia="宋体" w:hint="default"/>
          <w:sz w:val="21"/>
          <w:szCs w:val="21"/>
        </w:rPr>
      </w:pPr>
      <w:r>
        <w:rPr>
          <w:rFonts w:ascii="宋体" w:hAnsi="宋体" w:cs="宋体" w:eastAsia="宋体" w:hint="default"/>
          <w:sz w:val="21"/>
          <w:szCs w:val="21"/>
        </w:rPr>
        <w:t>币 </w:t>
      </w:r>
      <w:r>
        <w:rPr>
          <w:rFonts w:ascii="Times New Roman" w:hAnsi="Times New Roman" w:cs="Times New Roman" w:eastAsia="Times New Roman" w:hint="default"/>
          <w:sz w:val="21"/>
          <w:szCs w:val="21"/>
        </w:rPr>
        <w:t>3,096</w:t>
      </w:r>
      <w:r>
        <w:rPr>
          <w:rFonts w:ascii="Times New Roman" w:hAnsi="Times New Roman" w:cs="Times New Roman" w:eastAsia="Times New Roman" w:hint="default"/>
          <w:spacing w:val="-16"/>
          <w:sz w:val="21"/>
          <w:szCs w:val="21"/>
        </w:rPr>
        <w:t> </w:t>
      </w:r>
      <w:r>
        <w:rPr>
          <w:rFonts w:ascii="宋体" w:hAnsi="宋体" w:cs="宋体" w:eastAsia="宋体" w:hint="default"/>
          <w:spacing w:val="-7"/>
          <w:sz w:val="21"/>
          <w:szCs w:val="21"/>
        </w:rPr>
        <w:t>万元。本次增资由天衡会计师事务所（特殊普通合伙）江阴分所验资，并出具的天衡澄验字（</w:t>
      </w:r>
      <w:r>
        <w:rPr>
          <w:rFonts w:ascii="Times New Roman" w:hAnsi="Times New Roman" w:cs="Times New Roman" w:eastAsia="Times New Roman" w:hint="default"/>
          <w:spacing w:val="-7"/>
          <w:sz w:val="21"/>
          <w:szCs w:val="21"/>
        </w:rPr>
        <w:t>2015</w:t>
      </w:r>
      <w:r>
        <w:rPr>
          <w:rFonts w:ascii="宋体" w:hAnsi="宋体" w:cs="宋体" w:eastAsia="宋体" w:hint="default"/>
          <w:spacing w:val="-7"/>
          <w:sz w:val="21"/>
          <w:szCs w:val="21"/>
        </w:rPr>
        <w:t>）</w:t>
      </w:r>
    </w:p>
    <w:p>
      <w:pPr>
        <w:spacing w:before="22"/>
        <w:ind w:left="113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005 </w:t>
      </w:r>
      <w:r>
        <w:rPr>
          <w:rFonts w:ascii="宋体" w:hAnsi="宋体" w:cs="宋体" w:eastAsia="宋体" w:hint="default"/>
          <w:sz w:val="21"/>
          <w:szCs w:val="21"/>
        </w:rPr>
        <w:t>号《验</w:t>
      </w:r>
      <w:r>
        <w:rPr>
          <w:rFonts w:ascii="宋体" w:hAnsi="宋体" w:cs="宋体" w:eastAsia="宋体" w:hint="default"/>
          <w:spacing w:val="-2"/>
          <w:sz w:val="21"/>
          <w:szCs w:val="21"/>
        </w:rPr>
        <w:t>资</w:t>
      </w: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z w:val="21"/>
          <w:szCs w:val="21"/>
        </w:rPr>
        <w:t>。本</w:t>
      </w:r>
      <w:r>
        <w:rPr>
          <w:rFonts w:ascii="宋体" w:hAnsi="宋体" w:cs="宋体" w:eastAsia="宋体" w:hint="default"/>
          <w:spacing w:val="-2"/>
          <w:sz w:val="21"/>
          <w:szCs w:val="21"/>
        </w:rPr>
        <w:t>次</w:t>
      </w:r>
      <w:r>
        <w:rPr>
          <w:rFonts w:ascii="宋体" w:hAnsi="宋体" w:cs="宋体" w:eastAsia="宋体" w:hint="default"/>
          <w:sz w:val="21"/>
          <w:szCs w:val="21"/>
        </w:rPr>
        <w:t>增资事项于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日在无锡</w:t>
      </w:r>
      <w:r>
        <w:rPr>
          <w:rFonts w:ascii="宋体" w:hAnsi="宋体" w:cs="宋体" w:eastAsia="宋体" w:hint="default"/>
          <w:spacing w:val="-2"/>
          <w:sz w:val="21"/>
          <w:szCs w:val="21"/>
        </w:rPr>
        <w:t>市</w:t>
      </w:r>
      <w:r>
        <w:rPr>
          <w:rFonts w:ascii="宋体" w:hAnsi="宋体" w:cs="宋体" w:eastAsia="宋体" w:hint="default"/>
          <w:sz w:val="21"/>
          <w:szCs w:val="21"/>
        </w:rPr>
        <w:t>江阴工商行政管理局完成工商备案。</w:t>
      </w:r>
    </w:p>
    <w:p>
      <w:pPr>
        <w:spacing w:line="240" w:lineRule="auto" w:before="7"/>
        <w:rPr>
          <w:rFonts w:ascii="宋体" w:hAnsi="宋体" w:cs="宋体" w:eastAsia="宋体" w:hint="default"/>
          <w:sz w:val="24"/>
          <w:szCs w:val="24"/>
        </w:rPr>
      </w:pPr>
    </w:p>
    <w:p>
      <w:pPr>
        <w:spacing w:before="0"/>
        <w:ind w:left="1133" w:right="0" w:firstLine="0"/>
        <w:jc w:val="both"/>
        <w:rPr>
          <w:rFonts w:ascii="宋体" w:hAnsi="宋体" w:cs="宋体" w:eastAsia="宋体" w:hint="default"/>
          <w:sz w:val="21"/>
          <w:szCs w:val="21"/>
        </w:rPr>
      </w:pPr>
      <w:bookmarkStart w:name="4、营业收入和营业成本" w:id="524"/>
      <w:bookmarkEnd w:id="52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95"/>
        <w:gridCol w:w="1826"/>
        <w:gridCol w:w="1912"/>
        <w:gridCol w:w="1914"/>
        <w:gridCol w:w="1901"/>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738" w:type="dxa"/>
            <w:gridSpan w:val="2"/>
            <w:vMerge/>
            <w:tcBorders>
              <w:left w:val="single" w:sz="4" w:space="0" w:color="000000"/>
              <w:bottom w:val="single" w:sz="4" w:space="0" w:color="000000"/>
              <w:right w:val="single" w:sz="4" w:space="0" w:color="000000"/>
            </w:tcBorders>
            <w:shd w:val="clear" w:color="auto" w:fill="D2D2D2"/>
          </w:tcPr>
          <w:p>
            <w:pP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193,482,379.17</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129,562,545.97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159,392,204.26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107,366,648.90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5,127,643.12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1,459,266.82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7,630,533.34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1,700,731.02</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198,610,022.29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131,021,812.79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167,022,737.60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109,067,379.92</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5、投资收益" w:id="525"/>
      <w:bookmarkEnd w:id="52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5,234,148.03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-3,130,129.90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-1,989,533.26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-3,130,129.90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3,244,614.77</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6、其他" w:id="526"/>
      <w:bookmarkEnd w:id="52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Heading3"/>
        <w:spacing w:line="240" w:lineRule="auto"/>
        <w:ind w:right="1033"/>
        <w:jc w:val="left"/>
        <w:rPr>
          <w:b w:val="0"/>
          <w:bCs w:val="0"/>
        </w:rPr>
      </w:pPr>
      <w:bookmarkStart w:name="十八、补充资料" w:id="527"/>
      <w:bookmarkEnd w:id="527"/>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当期非经常性损益明细表" w:id="528"/>
      <w:bookmarkEnd w:id="5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-24,726.41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2,812,896.56</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47"/>
              <w:jc w:val="left"/>
              <w:rPr>
                <w:rFonts w:ascii="宋体" w:hAnsi="宋体" w:cs="宋体" w:eastAsia="宋体" w:hint="default"/>
                <w:sz w:val="18"/>
                <w:szCs w:val="18"/>
              </w:rPr>
            </w:pPr>
            <w:r>
              <w:rPr>
                <w:rFonts w:ascii="宋体" w:hAnsi="宋体" w:cs="宋体" w:eastAsia="宋体" w:hint="default"/>
                <w:sz w:val="18"/>
                <w:szCs w:val="18"/>
              </w:rPr>
              <w:t>详见第十节、七、</w:t>
            </w: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营业外收入中政府 补助明细</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158,942.99</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505,330.74</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-102,193.89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2,543,976.29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2、净资产收益率及每股收益" w:id="529"/>
      <w:bookmarkEnd w:id="52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92"/>
        <w:gridCol w:w="1902"/>
        <w:gridCol w:w="1901"/>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0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92" w:type="dxa"/>
            <w:vMerge/>
            <w:tcBorders>
              <w:left w:val="single" w:sz="4" w:space="0" w:color="000000"/>
              <w:bottom w:val="nil" w:sz="6" w:space="0" w:color="auto"/>
              <w:right w:val="single" w:sz="4" w:space="0" w:color="000000"/>
            </w:tcBorders>
            <w:shd w:val="clear" w:color="auto" w:fill="D2D2D2"/>
          </w:tcPr>
          <w:p>
            <w:pPr/>
          </w:p>
        </w:tc>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2"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z w:val="18"/>
              </w:rPr>
              <w:t>2.16%</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r>
    </w:tbl>
    <w:p>
      <w:pPr>
        <w:spacing w:line="240" w:lineRule="auto" w:before="2"/>
        <w:rPr>
          <w:rFonts w:ascii="宋体" w:hAnsi="宋体" w:cs="宋体" w:eastAsia="宋体" w:hint="default"/>
          <w:b/>
          <w:bCs/>
          <w:sz w:val="19"/>
          <w:szCs w:val="19"/>
        </w:rPr>
      </w:pPr>
    </w:p>
    <w:p>
      <w:pPr>
        <w:spacing w:before="35"/>
        <w:ind w:left="1134" w:right="1033" w:firstLine="0"/>
        <w:jc w:val="left"/>
        <w:rPr>
          <w:rFonts w:ascii="宋体" w:hAnsi="宋体" w:cs="宋体" w:eastAsia="宋体" w:hint="default"/>
          <w:sz w:val="21"/>
          <w:szCs w:val="21"/>
        </w:rPr>
      </w:pPr>
      <w:bookmarkStart w:name="3、境内外会计准则下会计数据差异" w:id="530"/>
      <w:bookmarkEnd w:id="53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同时按照国际会计准则与按中国会计准则披露的财务报告中净利润和净资产差异情况" w:id="531"/>
      <w:bookmarkEnd w:id="5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1033" w:firstLine="0"/>
        <w:jc w:val="left"/>
        <w:rPr>
          <w:rFonts w:ascii="宋体" w:hAnsi="宋体" w:cs="宋体" w:eastAsia="宋体" w:hint="default"/>
          <w:sz w:val="21"/>
          <w:szCs w:val="21"/>
        </w:rPr>
      </w:pPr>
      <w:bookmarkStart w:name="（2）同时按照境外会计准则与按中国会计准则披露的财务报告中净利润和净资产差异情况" w:id="532"/>
      <w:bookmarkEnd w:id="5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259" w:lineRule="auto" w:before="0"/>
        <w:ind w:left="1133" w:right="1033" w:firstLine="0"/>
        <w:jc w:val="left"/>
        <w:rPr>
          <w:rFonts w:ascii="宋体" w:hAnsi="宋体" w:cs="宋体" w:eastAsia="宋体" w:hint="default"/>
          <w:sz w:val="21"/>
          <w:szCs w:val="21"/>
        </w:rPr>
      </w:pPr>
      <w:bookmarkStart w:name="（3）境内外会计准则下会计数据差异原因说明，对已经境外审计机构审计的数据进行差异" w:id="533"/>
      <w:bookmarkEnd w:id="5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4、其他" w:id="534"/>
      <w:bookmarkEnd w:id="53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992" w:right="993"/>
        <w:jc w:val="center"/>
        <w:rPr>
          <w:rFonts w:ascii="宋体" w:hAnsi="宋体" w:cs="宋体" w:eastAsia="宋体" w:hint="default"/>
          <w:b w:val="0"/>
          <w:bCs w:val="0"/>
        </w:rPr>
      </w:pPr>
      <w:bookmarkStart w:name="第十一节 备查文件目录" w:id="535"/>
      <w:bookmarkEnd w:id="535"/>
      <w:r>
        <w:rPr>
          <w:b w:val="0"/>
          <w:bCs w:val="0"/>
        </w:rPr>
      </w:r>
      <w:bookmarkStart w:name="_bookmark10" w:id="536"/>
      <w:bookmarkEnd w:id="536"/>
      <w:r>
        <w:rPr>
          <w:b w:val="0"/>
          <w:bCs w:val="0"/>
        </w:rPr>
      </w:r>
      <w:r>
        <w:rPr>
          <w:rFonts w:ascii="宋体" w:hAnsi="宋体" w:cs="宋体" w:eastAsia="宋体" w:hint="default"/>
        </w:rPr>
        <w:t>第十一节</w:t>
      </w:r>
      <w:r>
        <w:rPr>
          <w:rFonts w:ascii="宋体" w:hAnsi="宋体" w:cs="宋体" w:eastAsia="宋体" w:hint="default"/>
          <w:spacing w:val="-8"/>
        </w:rPr>
        <w:t> </w:t>
      </w:r>
      <w:r>
        <w:rPr>
          <w:rFonts w:ascii="宋体" w:hAnsi="宋体" w:cs="宋体" w:eastAsia="宋体" w:hint="default"/>
        </w:rPr>
        <w:t>备查文件目录</w:t>
      </w:r>
      <w:r>
        <w:rPr>
          <w:rFonts w:ascii="宋体" w:hAnsi="宋体" w:cs="宋体" w:eastAsia="宋体" w:hint="default"/>
          <w:b w:val="0"/>
          <w:bCs w:val="0"/>
        </w:rPr>
      </w:r>
    </w:p>
    <w:p>
      <w:pPr>
        <w:spacing w:line="240" w:lineRule="auto" w:before="10"/>
        <w:rPr>
          <w:rFonts w:ascii="宋体" w:hAnsi="宋体" w:cs="宋体" w:eastAsia="宋体" w:hint="default"/>
          <w:b/>
          <w:bCs/>
          <w:sz w:val="44"/>
          <w:szCs w:val="44"/>
        </w:rPr>
      </w:pPr>
    </w:p>
    <w:p>
      <w:pPr>
        <w:pStyle w:val="BodyText"/>
        <w:spacing w:line="357" w:lineRule="auto"/>
        <w:ind w:left="1613" w:right="1033"/>
        <w:jc w:val="left"/>
      </w:pPr>
      <w:r>
        <w:rPr/>
        <w:t>一、载有法定代表人张菀女士签名的</w:t>
      </w:r>
      <w:r>
        <w:rPr>
          <w:rFonts w:ascii="宋体" w:hAnsi="宋体" w:cs="宋体" w:eastAsia="宋体" w:hint="default"/>
        </w:rPr>
        <w:t>2015</w:t>
      </w:r>
      <w:r>
        <w:rPr/>
        <w:t>年年度报告文件原件； 二、载有法定代表人张菀女士、主管会计工作负责人黄建军先生、会计机构负责人汤华</w:t>
      </w:r>
    </w:p>
    <w:p>
      <w:pPr>
        <w:pStyle w:val="BodyText"/>
        <w:spacing w:line="357" w:lineRule="auto" w:before="36"/>
        <w:ind w:left="1613" w:right="994" w:hanging="480"/>
        <w:jc w:val="left"/>
      </w:pPr>
      <w:r>
        <w:rPr/>
        <w:t>林先生签名并盖章的财务报告文本； 三、载有会计师事务所盖章、注册会计师签名并盖章的审计报告原件； </w:t>
      </w:r>
      <w:r>
        <w:rPr>
          <w:spacing w:val="-3"/>
        </w:rPr>
        <w:t>四、报告期内在中国证监会指定网站上公开披露过的所有公司文件的正本及公告的原稿；</w:t>
      </w:r>
      <w:r>
        <w:rPr/>
        <w:t> 五、其他相关资料。</w:t>
      </w:r>
    </w:p>
    <w:p>
      <w:pPr>
        <w:pStyle w:val="BodyText"/>
        <w:spacing w:line="240" w:lineRule="auto" w:before="36"/>
        <w:ind w:left="1614" w:right="1033"/>
        <w:jc w:val="left"/>
      </w:pPr>
      <w:r>
        <w:rPr/>
        <w:t>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4"/>
          <w:szCs w:val="34"/>
        </w:rPr>
      </w:pPr>
    </w:p>
    <w:p>
      <w:pPr>
        <w:pStyle w:val="BodyText"/>
        <w:spacing w:line="357" w:lineRule="auto"/>
        <w:ind w:left="6174" w:right="2112"/>
        <w:jc w:val="left"/>
      </w:pPr>
      <w:r>
        <w:rPr/>
        <w:t>四川依米康环境科技股份有限公司 法定代表人：张菀</w:t>
      </w:r>
    </w:p>
    <w:p>
      <w:pPr>
        <w:pStyle w:val="BodyText"/>
        <w:spacing w:line="240" w:lineRule="auto" w:before="36"/>
        <w:ind w:left="6174" w:right="1033"/>
        <w:jc w:val="left"/>
      </w:pPr>
      <w:r>
        <w:rPr/>
        <w:t>日期：</w:t>
      </w:r>
      <w:r>
        <w:rPr>
          <w:rFonts w:ascii="宋体" w:hAnsi="宋体" w:cs="宋体" w:eastAsia="宋体" w:hint="default"/>
        </w:rPr>
        <w:t>2016 </w:t>
      </w:r>
      <w:r>
        <w:rPr/>
        <w:t>年 </w:t>
      </w:r>
      <w:r>
        <w:rPr>
          <w:rFonts w:ascii="宋体" w:hAnsi="宋体" w:cs="宋体" w:eastAsia="宋体" w:hint="default"/>
        </w:rPr>
        <w:t>3 </w:t>
      </w:r>
      <w:r>
        <w:rPr/>
        <w:t>月 </w:t>
      </w:r>
      <w:r>
        <w:rPr>
          <w:rFonts w:ascii="宋体" w:hAnsi="宋体" w:cs="宋体" w:eastAsia="宋体" w:hint="default"/>
        </w:rPr>
        <w:t>22 </w:t>
      </w:r>
      <w:r>
        <w:rPr/>
        <w:t>日</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2112" type="#_x0000_t75" stroked="false">
          <v:imagedata r:id="rId1" o:title=""/>
        </v:shape>
      </w:pict>
    </w:r>
    <w:r>
      <w:rPr/>
      <w:pict>
        <v:shape style="position:absolute;margin-left:294.420013pt;margin-top:795.517944pt;width:6.5pt;height:11pt;mso-position-horizontal-relative:page;mso-position-vertical-relative:page;z-index:-1062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680" type="#_x0000_t75" stroked="false">
          <v:imagedata r:id="rId1" o:title=""/>
        </v:shape>
      </w:pict>
    </w:r>
    <w:r>
      <w:rPr/>
      <w:pict>
        <v:shape style="position:absolute;margin-left:291.200012pt;margin-top:781.957947pt;width:13pt;height:11pt;mso-position-horizontal-relative:page;mso-position-vertical-relative:page;z-index:-1061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632" type="#_x0000_t75" stroked="false">
          <v:imagedata r:id="rId1" o:title=""/>
        </v:shape>
      </w:pict>
    </w:r>
    <w:r>
      <w:rPr/>
      <w:pict>
        <v:shape style="position:absolute;margin-left:289.920013pt;margin-top:781.957947pt;width:15.5pt;height:11pt;mso-position-horizontal-relative:page;mso-position-vertical-relative:page;z-index:-10616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584" type="#_x0000_t75" stroked="false">
          <v:imagedata r:id="rId1" o:title=""/>
        </v:shape>
      </w:pict>
    </w:r>
    <w:r>
      <w:rPr/>
      <w:pict>
        <v:shape style="position:absolute;margin-left:288.920013pt;margin-top:781.957947pt;width:17.5pt;height:11pt;mso-position-horizontal-relative:page;mso-position-vertical-relative:page;z-index:-1061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536" type="#_x0000_t75" stroked="false">
          <v:imagedata r:id="rId1" o:title=""/>
        </v:shape>
      </w:pict>
    </w:r>
    <w:r>
      <w:rPr/>
      <w:pict>
        <v:shape style="position:absolute;margin-left:289.920013pt;margin-top:781.957947pt;width:15.5pt;height:11pt;mso-position-horizontal-relative:page;mso-position-vertical-relative:page;z-index:-1061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488" type="#_x0000_t75" stroked="false">
          <v:imagedata r:id="rId1" o:title=""/>
        </v:shape>
      </w:pict>
    </w:r>
    <w:r>
      <w:rPr/>
      <w:pict>
        <v:shape style="position:absolute;margin-left:288.920013pt;margin-top:781.957947pt;width:17.5pt;height:11pt;mso-position-horizontal-relative:page;mso-position-vertical-relative:page;z-index:-1061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2064" type="#_x0000_t75" stroked="false">
          <v:imagedata r:id="rId1" o:title=""/>
        </v:shape>
      </w:pict>
    </w:r>
    <w:r>
      <w:rPr/>
      <w:pict>
        <v:shape style="position:absolute;margin-left:291.200012pt;margin-top:781.957947pt;width:13pt;height:11pt;mso-position-horizontal-relative:page;mso-position-vertical-relative:page;z-index:-1062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2016" type="#_x0000_t75" stroked="false">
          <v:imagedata r:id="rId1" o:title=""/>
        </v:shape>
      </w:pict>
    </w:r>
    <w:r>
      <w:rPr/>
      <w:pict>
        <v:shape style="position:absolute;margin-left:71pt;margin-top:762.747498pt;width:459.4pt;height:30.25pt;mso-position-horizontal-relative:page;mso-position-vertical-relative:page;z-index:-1061992" type="#_x0000_t202" filled="false" stroked="false">
          <v:textbox inset="0,0,0,0">
            <w:txbxContent>
              <w:p>
                <w:pPr>
                  <w:pStyle w:val="BodyText"/>
                  <w:spacing w:line="260" w:lineRule="exact"/>
                  <w:ind w:left="0" w:right="0"/>
                  <w:jc w:val="center"/>
                </w:pPr>
                <w:r>
                  <w:rPr>
                    <w:spacing w:val="-4"/>
                  </w:rPr>
                  <w:t>工作，完成了公司网站的更新工作，继续与中国数据中心产业联盟网、机房</w:t>
                </w:r>
                <w:r>
                  <w:rPr>
                    <w:spacing w:val="-40"/>
                  </w:rPr>
                  <w:t> </w:t>
                </w:r>
                <w:r>
                  <w:rPr>
                    <w:rFonts w:ascii="宋体" w:hAnsi="宋体" w:cs="宋体" w:eastAsia="宋体" w:hint="default"/>
                    <w:spacing w:val="-6"/>
                  </w:rPr>
                  <w:t>360</w:t>
                </w:r>
                <w:r>
                  <w:rPr>
                    <w:spacing w:val="-6"/>
                  </w:rPr>
                  <w:t>、英才、</w:t>
                </w:r>
              </w:p>
              <w:p>
                <w:pPr>
                  <w:spacing w:before="121"/>
                  <w:ind w:left="0" w:right="117"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968" type="#_x0000_t75" stroked="false">
          <v:imagedata r:id="rId1" o:title=""/>
        </v:shape>
      </w:pict>
    </w:r>
    <w:r>
      <w:rPr/>
      <w:pict>
        <v:shape style="position:absolute;margin-left:71pt;margin-top:762.747498pt;width:453.4pt;height:30.25pt;mso-position-horizontal-relative:page;mso-position-vertical-relative:page;z-index:-1061944" type="#_x0000_t202" filled="false" stroked="false">
          <v:textbox inset="0,0,0,0">
            <w:txbxContent>
              <w:p>
                <w:pPr>
                  <w:pStyle w:val="BodyText"/>
                  <w:spacing w:line="260" w:lineRule="exact"/>
                  <w:ind w:left="0" w:right="0"/>
                  <w:jc w:val="center"/>
                </w:pPr>
                <w:r>
                  <w:rPr>
                    <w:spacing w:val="-3"/>
                  </w:rPr>
                  <w:t>总承包市场竞争，以扩大公司的经营规模、提升市场竞争能力；通过深入分析研究国家</w:t>
                </w:r>
              </w:p>
              <w:p>
                <w:pPr>
                  <w:spacing w:before="121"/>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920" type="#_x0000_t75" stroked="false">
          <v:imagedata r:id="rId1" o:title=""/>
        </v:shape>
      </w:pict>
    </w:r>
    <w:r>
      <w:rPr/>
      <w:pict>
        <v:shape style="position:absolute;margin-left:71pt;margin-top:762.327454pt;width:459.3pt;height:30.65pt;mso-position-horizontal-relative:page;mso-position-vertical-relative:page;z-index:-1061896" type="#_x0000_t202" filled="false" stroked="false">
          <v:textbox inset="0,0,0,0">
            <w:txbxContent>
              <w:p>
                <w:pPr>
                  <w:pStyle w:val="BodyText"/>
                  <w:spacing w:line="260" w:lineRule="exact"/>
                  <w:ind w:left="0" w:right="0"/>
                  <w:jc w:val="center"/>
                </w:pPr>
                <w:r>
                  <w:rPr>
                    <w:spacing w:val="-6"/>
                  </w:rPr>
                  <w:t>技术研发单位的职能建设，继续加强研发人才引进以及培训工作，制定了“产、学、研”</w:t>
                </w:r>
              </w:p>
              <w:p>
                <w:pPr>
                  <w:spacing w:before="129"/>
                  <w:ind w:left="0" w:right="115"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872" type="#_x0000_t75" stroked="false">
          <v:imagedata r:id="rId1" o:title=""/>
        </v:shape>
      </w:pict>
    </w:r>
    <w:r>
      <w:rPr/>
      <w:pict>
        <v:shape style="position:absolute;margin-left:71pt;margin-top:762.747498pt;width:453.4pt;height:30.25pt;mso-position-horizontal-relative:page;mso-position-vertical-relative:page;z-index:-1061848" type="#_x0000_t202" filled="false" stroked="false">
          <v:textbox inset="0,0,0,0">
            <w:txbxContent>
              <w:p>
                <w:pPr>
                  <w:pStyle w:val="BodyText"/>
                  <w:spacing w:line="260" w:lineRule="exact"/>
                  <w:ind w:left="0" w:right="0"/>
                  <w:jc w:val="center"/>
                  <w:rPr>
                    <w:rFonts w:ascii="宋体" w:hAnsi="宋体" w:cs="宋体" w:eastAsia="宋体" w:hint="default"/>
                  </w:rPr>
                </w:pPr>
                <w:r>
                  <w:rPr/>
                  <w:t>司的控股子公司江苏亿金进行增资，增资完成后江苏亿金的注册资本将由人民币</w:t>
                </w:r>
                <w:r>
                  <w:rPr>
                    <w:spacing w:val="-93"/>
                  </w:rPr>
                  <w:t> </w:t>
                </w:r>
                <w:r>
                  <w:rPr>
                    <w:rFonts w:ascii="宋体" w:hAnsi="宋体" w:cs="宋体" w:eastAsia="宋体" w:hint="default"/>
                  </w:rPr>
                  <w:t>6,904</w:t>
                </w:r>
              </w:p>
              <w:p>
                <w:pPr>
                  <w:spacing w:before="121"/>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824" type="#_x0000_t75" stroked="false">
          <v:imagedata r:id="rId1" o:title=""/>
        </v:shape>
      </w:pict>
    </w:r>
    <w:r>
      <w:rPr/>
      <w:pict>
        <v:shape style="position:absolute;margin-left:291.200012pt;margin-top:781.957947pt;width:13pt;height:11pt;mso-position-horizontal-relative:page;mso-position-vertical-relative:page;z-index:-1061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776" type="#_x0000_t75" stroked="false">
          <v:imagedata r:id="rId1" o:title=""/>
        </v:shape>
      </w:pict>
    </w:r>
    <w:r>
      <w:rPr/>
      <w:pict>
        <v:shape style="position:absolute;margin-left:291.200012pt;margin-top:781.957947pt;width:13pt;height:11pt;mso-position-horizontal-relative:page;mso-position-vertical-relative:page;z-index:-1061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728" type="#_x0000_t75" stroked="false">
          <v:imagedata r:id="rId1" o:title=""/>
        </v:shape>
      </w:pict>
    </w:r>
    <w:r>
      <w:rPr/>
      <w:pict>
        <v:shape style="position:absolute;margin-left:71pt;margin-top:762.387512pt;width:453.35pt;height:30.6pt;mso-position-horizontal-relative:page;mso-position-vertical-relative:page;z-index:-1061704" type="#_x0000_t202" filled="false" stroked="false">
          <v:textbox inset="0,0,0,0">
            <w:txbxContent>
              <w:p>
                <w:pPr>
                  <w:pStyle w:val="BodyText"/>
                  <w:spacing w:line="260" w:lineRule="exact"/>
                  <w:ind w:left="0" w:right="0"/>
                  <w:jc w:val="center"/>
                </w:pPr>
                <w:r>
                  <w:rPr>
                    <w:spacing w:val="-3"/>
                  </w:rPr>
                  <w:t>准，土壤环境质量得到好转，生态环境质量全面改善，经济社会发展与环境保护基本协</w:t>
                </w:r>
              </w:p>
              <w:p>
                <w:pPr>
                  <w:spacing w:before="128"/>
                  <w:ind w:left="1"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062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四川依米康环境科技股份有限公司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88"/>
      <w:ind w:left="1133"/>
    </w:pPr>
    <w:rPr>
      <w:rFonts w:ascii="宋体" w:hAnsi="宋体" w:eastAsia="宋体"/>
      <w:sz w:val="24"/>
      <w:szCs w:val="24"/>
    </w:rPr>
  </w:style>
  <w:style w:styleId="TOC2" w:type="paragraph">
    <w:name w:val="TOC 2"/>
    <w:basedOn w:val="Normal"/>
    <w:uiPriority w:val="1"/>
    <w:qFormat/>
    <w:pPr>
      <w:spacing w:before="188"/>
      <w:ind w:left="1133"/>
    </w:pPr>
    <w:rPr>
      <w:rFonts w:ascii="宋体" w:hAnsi="宋体" w:eastAsia="宋体"/>
      <w:b/>
      <w:bCs/>
      <w:i/>
    </w:rPr>
  </w:style>
  <w:style w:styleId="BodyText" w:type="paragraph">
    <w:name w:val="Body Text"/>
    <w:basedOn w:val="Normal"/>
    <w:uiPriority w:val="1"/>
    <w:qFormat/>
    <w:pPr>
      <w:ind w:left="1133"/>
    </w:pPr>
    <w:rPr>
      <w:rFonts w:ascii="宋体" w:hAnsi="宋体" w:eastAsia="宋体"/>
      <w:sz w:val="24"/>
      <w:szCs w:val="24"/>
    </w:rPr>
  </w:style>
  <w:style w:styleId="Heading1" w:type="paragraph">
    <w:name w:val="Heading 1"/>
    <w:basedOn w:val="Normal"/>
    <w:uiPriority w:val="1"/>
    <w:qFormat/>
    <w:pPr>
      <w:spacing w:before="1"/>
      <w:ind w:left="993"/>
      <w:outlineLvl w:val="1"/>
    </w:pPr>
    <w:rPr>
      <w:rFonts w:ascii="黑体" w:hAnsi="黑体" w:eastAsia="黑体"/>
      <w:b/>
      <w:bCs/>
      <w:sz w:val="32"/>
      <w:szCs w:val="32"/>
    </w:rPr>
  </w:style>
  <w:style w:styleId="Heading2" w:type="paragraph">
    <w:name w:val="Heading 2"/>
    <w:basedOn w:val="Normal"/>
    <w:uiPriority w:val="1"/>
    <w:qFormat/>
    <w:pPr>
      <w:ind w:left="1133"/>
      <w:outlineLvl w:val="2"/>
    </w:pPr>
    <w:rPr>
      <w:rFonts w:ascii="宋体" w:hAnsi="宋体" w:eastAsia="宋体"/>
      <w:sz w:val="28"/>
      <w:szCs w:val="28"/>
    </w:rPr>
  </w:style>
  <w:style w:styleId="Heading3" w:type="paragraph">
    <w:name w:val="Heading 3"/>
    <w:basedOn w:val="Normal"/>
    <w:uiPriority w:val="1"/>
    <w:qFormat/>
    <w:pPr>
      <w:ind w:left="1134"/>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baike.sogou.com/lemma/ShowInnerLink.htm?lemmaId=424775&amp;amp;ss_c=ssc.citiao.link" TargetMode="External"/><Relationship Id="rId11" Type="http://schemas.openxmlformats.org/officeDocument/2006/relationships/hyperlink" Target="http://baike.sogou.com/lemma/ShowInnerLink.htm?lemmaId=352342&amp;amp;ss_c=ssc.citiao.link" TargetMode="External"/><Relationship Id="rId12" Type="http://schemas.openxmlformats.org/officeDocument/2006/relationships/hyperlink" Target="http://baike.sogou.com/lemma/ShowInnerLink.htm?lemmaId=21414&amp;amp;ss_c=ssc.citiao.link" TargetMode="External"/><Relationship Id="rId13" Type="http://schemas.openxmlformats.org/officeDocument/2006/relationships/hyperlink" Target="http://baike.sogou.com/lemma/ShowInnerLink.htm?lemmaId=53125203&amp;amp;ss_c=ssc.citiao.link" TargetMode="External"/><Relationship Id="rId14" Type="http://schemas.openxmlformats.org/officeDocument/2006/relationships/hyperlink" Target="http://www.ymk.com.cn/" TargetMode="External"/><Relationship Id="rId15" Type="http://schemas.openxmlformats.org/officeDocument/2006/relationships/hyperlink" Target="mailto:yimikang@ymk.com.cn" TargetMode="External"/><Relationship Id="rId16" Type="http://schemas.openxmlformats.org/officeDocument/2006/relationships/hyperlink" Target="mailto:dshb@sunrisegroup.com.cn" TargetMode="External"/><Relationship Id="rId17" Type="http://schemas.openxmlformats.org/officeDocument/2006/relationships/hyperlink" Target="mailto:zhangmin@ymk.com.cn" TargetMode="Externa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image" Target="media/image3.jpeg"/><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四川依米康环境科技股份有限公司</dc:creator>
  <dc:title>四川依米康环境科技股份有限公司2015年年度报告</dc:title>
  <dcterms:created xsi:type="dcterms:W3CDTF">2020-05-04T16:24:03Z</dcterms:created>
  <dcterms:modified xsi:type="dcterms:W3CDTF">2020-05-04T16:24:03Z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2016-03-21T00:00:00Z</vt:filetime>
  </property>
  <property fmtid="{D5CDD505-2E9C-101B-9397-08002B2CF9AE}" pid="3" name="Creator">
    <vt:lpwstr>Microsoft® Office Word 2007</vt:lpwstr>
  </property>
  <property fmtid="{D5CDD505-2E9C-101B-9397-08002B2CF9AE}" pid="4" name="LastSaved">
    <vt:filetime>2020-05-04T00:00:00Z</vt:filetime>
  </property>
</Properties>
</file>